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Infrastructure Report</w:t>
      </w:r>
    </w:p>
    <w:p>
      <w:r>
        <w:t>This report summarizes the infrastructure changes and performance metrics for the third quarter. All systems were monitored continuously, and the data below reflects averages across the full reporting period. Key improvements were observed in response times and uptime, while storage costs continued to trend downward.</w:t>
      </w:r>
    </w:p>
    <w:p>
      <w:pPr>
        <w:pStyle w:val="Heading2"/>
      </w:pPr>
      <w:r>
        <w:t>System Overview</w:t>
      </w:r>
    </w:p>
    <w:p>
      <w:r>
        <w:t>The following table provides a high-level summary of each production environment, including current status, uptime percentage, and the team responsible for maintenance.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Status</w:t>
            </w:r>
          </w:p>
        </w:tc>
        <w:tc>
          <w:tcPr>
            <w:tcW w:type="dxa" w:w="2160"/>
          </w:tcPr>
          <w:p>
            <w:r>
              <w:t>Uptime</w:t>
            </w:r>
          </w:p>
        </w:tc>
        <w:tc>
          <w:tcPr>
            <w:tcW w:type="dxa" w:w="2160"/>
          </w:tcPr>
          <w:p>
            <w:r>
              <w:t>Owner</w:t>
            </w:r>
          </w:p>
        </w:tc>
      </w:tr>
      <w:tr>
        <w:tc>
          <w:tcPr>
            <w:tcW w:type="dxa" w:w="2160"/>
          </w:tcPr>
          <w:p>
            <w:r>
              <w:t>API Gateway</w:t>
            </w:r>
          </w:p>
        </w:tc>
        <w:tc>
          <w:tcPr>
            <w:tcW w:type="dxa" w:w="2160"/>
          </w:tcPr>
          <w:p>
            <w:r>
              <w:t>Operational</w:t>
            </w:r>
          </w:p>
        </w:tc>
        <w:tc>
          <w:tcPr>
            <w:tcW w:type="dxa" w:w="2160"/>
          </w:tcPr>
          <w:p>
            <w:r>
              <w:t>99.97%</w:t>
            </w:r>
          </w:p>
        </w:tc>
        <w:tc>
          <w:tcPr>
            <w:tcW w:type="dxa" w:w="2160"/>
          </w:tcPr>
          <w:p>
            <w:r>
              <w:t>Platform Team</w:t>
            </w:r>
          </w:p>
        </w:tc>
      </w:tr>
      <w:tr>
        <w:tc>
          <w:tcPr>
            <w:tcW w:type="dxa" w:w="2160"/>
          </w:tcPr>
          <w:p>
            <w:r>
              <w:t>Auth Service</w:t>
            </w:r>
          </w:p>
        </w:tc>
        <w:tc>
          <w:tcPr>
            <w:tcW w:type="dxa" w:w="2160"/>
          </w:tcPr>
          <w:p>
            <w:r>
              <w:t>Operational</w:t>
            </w:r>
          </w:p>
        </w:tc>
        <w:tc>
          <w:tcPr>
            <w:tcW w:type="dxa" w:w="2160"/>
          </w:tcPr>
          <w:p>
            <w:r>
              <w:t>99.94%</w:t>
            </w:r>
          </w:p>
        </w:tc>
        <w:tc>
          <w:tcPr>
            <w:tcW w:type="dxa" w:w="2160"/>
          </w:tcPr>
          <w:p>
            <w:r>
              <w:t>Security Team</w:t>
            </w:r>
          </w:p>
        </w:tc>
      </w:tr>
      <w:tr>
        <w:tc>
          <w:tcPr>
            <w:tcW w:type="dxa" w:w="2160"/>
          </w:tcPr>
          <w:p>
            <w:r>
              <w:t>Data Pipeline</w:t>
            </w:r>
          </w:p>
        </w:tc>
        <w:tc>
          <w:tcPr>
            <w:tcW w:type="dxa" w:w="2160"/>
          </w:tcPr>
          <w:p>
            <w:r>
              <w:t>Degraded</w:t>
            </w:r>
          </w:p>
        </w:tc>
        <w:tc>
          <w:tcPr>
            <w:tcW w:type="dxa" w:w="2160"/>
          </w:tcPr>
          <w:p>
            <w:r>
              <w:t>98.12%</w:t>
            </w:r>
          </w:p>
        </w:tc>
        <w:tc>
          <w:tcPr>
            <w:tcW w:type="dxa" w:w="2160"/>
          </w:tcPr>
          <w:p>
            <w:r>
              <w:t>Data Engineering</w:t>
            </w:r>
          </w:p>
        </w:tc>
      </w:tr>
      <w:tr>
        <w:tc>
          <w:tcPr>
            <w:tcW w:type="dxa" w:w="2160"/>
          </w:tcPr>
          <w:p>
            <w:r>
              <w:t>CDN</w:t>
            </w:r>
          </w:p>
        </w:tc>
        <w:tc>
          <w:tcPr>
            <w:tcW w:type="dxa" w:w="2160"/>
          </w:tcPr>
          <w:p>
            <w:r>
              <w:t>Operational</w:t>
            </w:r>
          </w:p>
        </w:tc>
        <w:tc>
          <w:tcPr>
            <w:tcW w:type="dxa" w:w="2160"/>
          </w:tcPr>
          <w:p>
            <w:r>
              <w:t>99.99%</w:t>
            </w:r>
          </w:p>
        </w:tc>
        <w:tc>
          <w:tcPr>
            <w:tcW w:type="dxa" w:w="2160"/>
          </w:tcPr>
          <w:p>
            <w:r>
              <w:t>Infrastructure</w:t>
            </w:r>
          </w:p>
        </w:tc>
      </w:tr>
      <w:tr>
        <w:tc>
          <w:tcPr>
            <w:tcW w:type="dxa" w:w="2160"/>
          </w:tcPr>
          <w:p>
            <w:r>
              <w:t>Monitoring Stack</w:t>
            </w:r>
          </w:p>
        </w:tc>
        <w:tc>
          <w:tcPr>
            <w:tcW w:type="dxa" w:w="2160"/>
          </w:tcPr>
          <w:p>
            <w:r>
              <w:t>Operational</w:t>
            </w:r>
          </w:p>
        </w:tc>
        <w:tc>
          <w:tcPr>
            <w:tcW w:type="dxa" w:w="2160"/>
          </w:tcPr>
          <w:p>
            <w:r>
              <w:t>99.88%</w:t>
            </w:r>
          </w:p>
        </w:tc>
        <w:tc>
          <w:tcPr>
            <w:tcW w:type="dxa" w:w="2160"/>
          </w:tcPr>
          <w:p>
            <w:r>
              <w:t>SRE Team</w:t>
            </w:r>
          </w:p>
        </w:tc>
      </w:tr>
    </w:tbl>
    <w:p>
      <w:r>
        <w:t>The data pipeline experienced intermittent degradation during weeks three and four due to a schema migration that introduced unexpected lock contention on the primary database. The issue was resolved by switching to online DDL operations and batching the migration into smaller transactions.</w:t>
      </w:r>
    </w:p>
    <w:p>
      <w:pPr>
        <w:pStyle w:val="Heading2"/>
      </w:pPr>
      <w:r>
        <w:t>Performance Metrics</w:t>
      </w:r>
    </w:p>
    <w:p>
      <w:r>
        <w:t>Response time measurements are taken at the load balancer level and represent the full round-trip time including backend processing, database queries, and network latency. The p50, p95, and p99 columns represent the 50th, 95th, and 99th percentile response times respectively.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Endpoint</w:t>
            </w:r>
          </w:p>
        </w:tc>
        <w:tc>
          <w:tcPr>
            <w:tcW w:type="dxa" w:w="1728"/>
          </w:tcPr>
          <w:p>
            <w:r>
              <w:t>Requests/day</w:t>
            </w:r>
          </w:p>
        </w:tc>
        <w:tc>
          <w:tcPr>
            <w:tcW w:type="dxa" w:w="1728"/>
          </w:tcPr>
          <w:p>
            <w:r>
              <w:t>p50 (ms)</w:t>
            </w:r>
          </w:p>
        </w:tc>
        <w:tc>
          <w:tcPr>
            <w:tcW w:type="dxa" w:w="1728"/>
          </w:tcPr>
          <w:p>
            <w:r>
              <w:t>p95 (ms)</w:t>
            </w:r>
          </w:p>
        </w:tc>
        <w:tc>
          <w:tcPr>
            <w:tcW w:type="dxa" w:w="1728"/>
          </w:tcPr>
          <w:p>
            <w:r>
              <w:t>p99 (ms)</w:t>
            </w:r>
          </w:p>
        </w:tc>
      </w:tr>
      <w:tr>
        <w:tc>
          <w:tcPr>
            <w:tcW w:type="dxa" w:w="1728"/>
          </w:tcPr>
          <w:p>
            <w:r>
              <w:t>/api/users</w:t>
            </w:r>
          </w:p>
        </w:tc>
        <w:tc>
          <w:tcPr>
            <w:tcW w:type="dxa" w:w="1728"/>
          </w:tcPr>
          <w:p>
            <w:r>
              <w:t>1,240,000</w:t>
            </w:r>
          </w:p>
        </w:tc>
        <w:tc>
          <w:tcPr>
            <w:tcW w:type="dxa" w:w="1728"/>
          </w:tcPr>
          <w:p>
            <w:r>
              <w:t>12</w:t>
            </w:r>
          </w:p>
        </w:tc>
        <w:tc>
          <w:tcPr>
            <w:tcW w:type="dxa" w:w="1728"/>
          </w:tcPr>
          <w:p>
            <w:r>
              <w:t>45</w:t>
            </w:r>
          </w:p>
        </w:tc>
        <w:tc>
          <w:tcPr>
            <w:tcW w:type="dxa" w:w="1728"/>
          </w:tcPr>
          <w:p>
            <w:r>
              <w:t>120</w:t>
            </w:r>
          </w:p>
        </w:tc>
      </w:tr>
      <w:tr>
        <w:tc>
          <w:tcPr>
            <w:tcW w:type="dxa" w:w="1728"/>
          </w:tcPr>
          <w:p>
            <w:r>
              <w:t>/api/orders</w:t>
            </w:r>
          </w:p>
        </w:tc>
        <w:tc>
          <w:tcPr>
            <w:tcW w:type="dxa" w:w="1728"/>
          </w:tcPr>
          <w:p>
            <w:r>
              <w:t>890,000</w:t>
            </w:r>
          </w:p>
        </w:tc>
        <w:tc>
          <w:tcPr>
            <w:tcW w:type="dxa" w:w="1728"/>
          </w:tcPr>
          <w:p>
            <w:r>
              <w:t>18</w:t>
            </w:r>
          </w:p>
        </w:tc>
        <w:tc>
          <w:tcPr>
            <w:tcW w:type="dxa" w:w="1728"/>
          </w:tcPr>
          <w:p>
            <w:r>
              <w:t>67</w:t>
            </w:r>
          </w:p>
        </w:tc>
        <w:tc>
          <w:tcPr>
            <w:tcW w:type="dxa" w:w="1728"/>
          </w:tcPr>
          <w:p>
            <w:r>
              <w:t>210</w:t>
            </w:r>
          </w:p>
        </w:tc>
      </w:tr>
      <w:tr>
        <w:tc>
          <w:tcPr>
            <w:tcW w:type="dxa" w:w="1728"/>
          </w:tcPr>
          <w:p>
            <w:r>
              <w:t>/api/products</w:t>
            </w:r>
          </w:p>
        </w:tc>
        <w:tc>
          <w:tcPr>
            <w:tcW w:type="dxa" w:w="1728"/>
          </w:tcPr>
          <w:p>
            <w:r>
              <w:t>2,100,000</w:t>
            </w:r>
          </w:p>
        </w:tc>
        <w:tc>
          <w:tcPr>
            <w:tcW w:type="dxa" w:w="1728"/>
          </w:tcPr>
          <w:p>
            <w:r>
              <w:t>8</w:t>
            </w:r>
          </w:p>
        </w:tc>
        <w:tc>
          <w:tcPr>
            <w:tcW w:type="dxa" w:w="1728"/>
          </w:tcPr>
          <w:p>
            <w:r>
              <w:t>22</w:t>
            </w:r>
          </w:p>
        </w:tc>
        <w:tc>
          <w:tcPr>
            <w:tcW w:type="dxa" w:w="1728"/>
          </w:tcPr>
          <w:p>
            <w:r>
              <w:t>55</w:t>
            </w:r>
          </w:p>
        </w:tc>
      </w:tr>
      <w:tr>
        <w:tc>
          <w:tcPr>
            <w:tcW w:type="dxa" w:w="1728"/>
          </w:tcPr>
          <w:p>
            <w:r>
              <w:t>/api/search</w:t>
            </w:r>
          </w:p>
        </w:tc>
        <w:tc>
          <w:tcPr>
            <w:tcW w:type="dxa" w:w="1728"/>
          </w:tcPr>
          <w:p>
            <w:r>
              <w:t>560,000</w:t>
            </w:r>
          </w:p>
        </w:tc>
        <w:tc>
          <w:tcPr>
            <w:tcW w:type="dxa" w:w="1728"/>
          </w:tcPr>
          <w:p>
            <w:r>
              <w:t>42</w:t>
            </w:r>
          </w:p>
        </w:tc>
        <w:tc>
          <w:tcPr>
            <w:tcW w:type="dxa" w:w="1728"/>
          </w:tcPr>
          <w:p>
            <w:r>
              <w:t>180</w:t>
            </w:r>
          </w:p>
        </w:tc>
        <w:tc>
          <w:tcPr>
            <w:tcW w:type="dxa" w:w="1728"/>
          </w:tcPr>
          <w:p>
            <w:r>
              <w:t>450</w:t>
            </w:r>
          </w:p>
        </w:tc>
      </w:tr>
      <w:tr>
        <w:tc>
          <w:tcPr>
            <w:tcW w:type="dxa" w:w="1728"/>
          </w:tcPr>
          <w:p>
            <w:r>
              <w:t>/api/auth/login</w:t>
            </w:r>
          </w:p>
        </w:tc>
        <w:tc>
          <w:tcPr>
            <w:tcW w:type="dxa" w:w="1728"/>
          </w:tcPr>
          <w:p>
            <w:r>
              <w:t>340,000</w:t>
            </w:r>
          </w:p>
        </w:tc>
        <w:tc>
          <w:tcPr>
            <w:tcW w:type="dxa" w:w="1728"/>
          </w:tcPr>
          <w:p>
            <w:r>
              <w:t>15</w:t>
            </w:r>
          </w:p>
        </w:tc>
        <w:tc>
          <w:tcPr>
            <w:tcW w:type="dxa" w:w="1728"/>
          </w:tcPr>
          <w:p>
            <w:r>
              <w:t>38</w:t>
            </w:r>
          </w:p>
        </w:tc>
        <w:tc>
          <w:tcPr>
            <w:tcW w:type="dxa" w:w="1728"/>
          </w:tcPr>
          <w:p>
            <w:r>
              <w:t>95</w:t>
            </w:r>
          </w:p>
        </w:tc>
      </w:tr>
      <w:tr>
        <w:tc>
          <w:tcPr>
            <w:tcW w:type="dxa" w:w="1728"/>
          </w:tcPr>
          <w:p>
            <w:r>
              <w:t>/api/auth/refresh</w:t>
            </w:r>
          </w:p>
        </w:tc>
        <w:tc>
          <w:tcPr>
            <w:tcW w:type="dxa" w:w="1728"/>
          </w:tcPr>
          <w:p>
            <w:r>
              <w:t>1,800,000</w:t>
            </w:r>
          </w:p>
        </w:tc>
        <w:tc>
          <w:tcPr>
            <w:tcW w:type="dxa" w:w="1728"/>
          </w:tcPr>
          <w:p>
            <w:r>
              <w:t>5</w:t>
            </w:r>
          </w:p>
        </w:tc>
        <w:tc>
          <w:tcPr>
            <w:tcW w:type="dxa" w:w="1728"/>
          </w:tcPr>
          <w:p>
            <w:r>
              <w:t>12</w:t>
            </w:r>
          </w:p>
        </w:tc>
        <w:tc>
          <w:tcPr>
            <w:tcW w:type="dxa" w:w="1728"/>
          </w:tcPr>
          <w:p>
            <w:r>
              <w:t>28</w:t>
            </w:r>
          </w:p>
        </w:tc>
      </w:tr>
      <w:tr>
        <w:tc>
          <w:tcPr>
            <w:tcW w:type="dxa" w:w="1728"/>
          </w:tcPr>
          <w:p>
            <w:r>
              <w:t>/api/webhooks</w:t>
            </w:r>
          </w:p>
        </w:tc>
        <w:tc>
          <w:tcPr>
            <w:tcW w:type="dxa" w:w="1728"/>
          </w:tcPr>
          <w:p>
            <w:r>
              <w:t>120,000</w:t>
            </w:r>
          </w:p>
        </w:tc>
        <w:tc>
          <w:tcPr>
            <w:tcW w:type="dxa" w:w="1728"/>
          </w:tcPr>
          <w:p>
            <w:r>
              <w:t>25</w:t>
            </w:r>
          </w:p>
        </w:tc>
        <w:tc>
          <w:tcPr>
            <w:tcW w:type="dxa" w:w="1728"/>
          </w:tcPr>
          <w:p>
            <w:r>
              <w:t>90</w:t>
            </w:r>
          </w:p>
        </w:tc>
        <w:tc>
          <w:tcPr>
            <w:tcW w:type="dxa" w:w="1728"/>
          </w:tcPr>
          <w:p>
            <w:r>
              <w:t>340</w:t>
            </w:r>
          </w:p>
        </w:tc>
      </w:tr>
      <w:tr>
        <w:tc>
          <w:tcPr>
            <w:tcW w:type="dxa" w:w="1728"/>
          </w:tcPr>
          <w:p>
            <w:r>
              <w:t>/api/analytics</w:t>
            </w:r>
          </w:p>
        </w:tc>
        <w:tc>
          <w:tcPr>
            <w:tcW w:type="dxa" w:w="1728"/>
          </w:tcPr>
          <w:p>
            <w:r>
              <w:t>45,000</w:t>
            </w:r>
          </w:p>
        </w:tc>
        <w:tc>
          <w:tcPr>
            <w:tcW w:type="dxa" w:w="1728"/>
          </w:tcPr>
          <w:p>
            <w:r>
              <w:t>85</w:t>
            </w:r>
          </w:p>
        </w:tc>
        <w:tc>
          <w:tcPr>
            <w:tcW w:type="dxa" w:w="1728"/>
          </w:tcPr>
          <w:p>
            <w:r>
              <w:t>320</w:t>
            </w:r>
          </w:p>
        </w:tc>
        <w:tc>
          <w:tcPr>
            <w:tcW w:type="dxa" w:w="1728"/>
          </w:tcPr>
          <w:p>
            <w:r>
              <w:t>890</w:t>
            </w:r>
          </w:p>
        </w:tc>
      </w:tr>
    </w:tbl>
    <w:p>
      <w:r>
        <w:t>The search endpoint remains the slowest in terms of tail latency. The team has identified the root cause as a full-text search query that bypasses the index when the query contains more than four terms. A fix involving query decomposition has been developed and is currently in staging.</w:t>
      </w:r>
    </w:p>
    <w:p>
      <w:pPr>
        <w:pStyle w:val="Heading2"/>
      </w:pPr>
      <w:r>
        <w:t>Cost Analysis</w:t>
      </w:r>
    </w:p>
    <w:p>
      <w:r>
        <w:t>Cloud infrastructure costs are tracked monthly and broken down by service category. The table below shows the per-month spend for each major category, along with the quarter-over-quarter change. Negative values indicate cost savings.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Monthly Cost</w:t>
            </w:r>
          </w:p>
        </w:tc>
        <w:tc>
          <w:tcPr>
            <w:tcW w:type="dxa" w:w="2160"/>
          </w:tcPr>
          <w:p>
            <w:r>
              <w:t>QoQ Change</w:t>
            </w:r>
          </w:p>
        </w:tc>
        <w:tc>
          <w:tcPr>
            <w:tcW w:type="dxa" w:w="2160"/>
          </w:tcPr>
          <w:p>
            <w:r>
              <w:t>Notes</w:t>
            </w:r>
          </w:p>
        </w:tc>
      </w:tr>
      <w:tr>
        <w:tc>
          <w:tcPr>
            <w:tcW w:type="dxa" w:w="2160"/>
          </w:tcPr>
          <w:p>
            <w:r>
              <w:t>Compute (EC2/ECS)</w:t>
            </w:r>
          </w:p>
        </w:tc>
        <w:tc>
          <w:tcPr>
            <w:tcW w:type="dxa" w:w="2160"/>
          </w:tcPr>
          <w:p>
            <w:r>
              <w:t>$42,300</w:t>
            </w:r>
          </w:p>
        </w:tc>
        <w:tc>
          <w:tcPr>
            <w:tcW w:type="dxa" w:w="2160"/>
          </w:tcPr>
          <w:p>
            <w:r>
              <w:t>-8%</w:t>
            </w:r>
          </w:p>
        </w:tc>
        <w:tc>
          <w:tcPr>
            <w:tcW w:type="dxa" w:w="2160"/>
          </w:tcPr>
          <w:p>
            <w:r>
              <w:t>Right-sizing completed</w:t>
            </w:r>
          </w:p>
        </w:tc>
      </w:tr>
      <w:tr>
        <w:tc>
          <w:tcPr>
            <w:tcW w:type="dxa" w:w="2160"/>
          </w:tcPr>
          <w:p>
            <w:r>
              <w:t>Storage (S3/EBS)</w:t>
            </w:r>
          </w:p>
        </w:tc>
        <w:tc>
          <w:tcPr>
            <w:tcW w:type="dxa" w:w="2160"/>
          </w:tcPr>
          <w:p>
            <w:r>
              <w:t>$12,800</w:t>
            </w:r>
          </w:p>
        </w:tc>
        <w:tc>
          <w:tcPr>
            <w:tcW w:type="dxa" w:w="2160"/>
          </w:tcPr>
          <w:p>
            <w:r>
              <w:t>-15%</w:t>
            </w:r>
          </w:p>
        </w:tc>
        <w:tc>
          <w:tcPr>
            <w:tcW w:type="dxa" w:w="2160"/>
          </w:tcPr>
          <w:p>
            <w:r>
              <w:t>Lifecycle policies applied</w:t>
            </w:r>
          </w:p>
        </w:tc>
      </w:tr>
      <w:tr>
        <w:tc>
          <w:tcPr>
            <w:tcW w:type="dxa" w:w="2160"/>
          </w:tcPr>
          <w:p>
            <w:r>
              <w:t>Database (RDS/DynamoDB)</w:t>
            </w:r>
          </w:p>
        </w:tc>
        <w:tc>
          <w:tcPr>
            <w:tcW w:type="dxa" w:w="2160"/>
          </w:tcPr>
          <w:p>
            <w:r>
              <w:t>$28,500</w:t>
            </w:r>
          </w:p>
        </w:tc>
        <w:tc>
          <w:tcPr>
            <w:tcW w:type="dxa" w:w="2160"/>
          </w:tcPr>
          <w:p>
            <w:r>
              <w:t>+3%</w:t>
            </w:r>
          </w:p>
        </w:tc>
        <w:tc>
          <w:tcPr>
            <w:tcW w:type="dxa" w:w="2160"/>
          </w:tcPr>
          <w:p>
            <w:r>
              <w:t>Read replica added</w:t>
            </w:r>
          </w:p>
        </w:tc>
      </w:tr>
      <w:tr>
        <w:tc>
          <w:tcPr>
            <w:tcW w:type="dxa" w:w="2160"/>
          </w:tcPr>
          <w:p>
            <w:r>
              <w:t>Networking</w:t>
            </w:r>
          </w:p>
        </w:tc>
        <w:tc>
          <w:tcPr>
            <w:tcW w:type="dxa" w:w="2160"/>
          </w:tcPr>
          <w:p>
            <w:r>
              <w:t>$8,200</w:t>
            </w:r>
          </w:p>
        </w:tc>
        <w:tc>
          <w:tcPr>
            <w:tcW w:type="dxa" w:w="2160"/>
          </w:tcPr>
          <w:p>
            <w:r>
              <w:t>-2%</w:t>
            </w:r>
          </w:p>
        </w:tc>
        <w:tc>
          <w:tcPr>
            <w:tcW w:type="dxa" w:w="2160"/>
          </w:tcPr>
          <w:p>
            <w:r>
              <w:t>NAT gateway consolidation</w:t>
            </w:r>
          </w:p>
        </w:tc>
      </w:tr>
      <w:tr>
        <w:tc>
          <w:tcPr>
            <w:tcW w:type="dxa" w:w="2160"/>
          </w:tcPr>
          <w:p>
            <w:r>
              <w:t>Monitoring/Logging</w:t>
            </w:r>
          </w:p>
        </w:tc>
        <w:tc>
          <w:tcPr>
            <w:tcW w:type="dxa" w:w="2160"/>
          </w:tcPr>
          <w:p>
            <w:r>
              <w:t>$5,600</w:t>
            </w:r>
          </w:p>
        </w:tc>
        <w:tc>
          <w:tcPr>
            <w:tcW w:type="dxa" w:w="2160"/>
          </w:tcPr>
          <w:p>
            <w:r>
              <w:t>+12%</w:t>
            </w:r>
          </w:p>
        </w:tc>
        <w:tc>
          <w:tcPr>
            <w:tcW w:type="dxa" w:w="2160"/>
          </w:tcPr>
          <w:p>
            <w:r>
              <w:t>Added distributed tracing</w:t>
            </w:r>
          </w:p>
        </w:tc>
      </w:tr>
      <w:tr>
        <w:tc>
          <w:tcPr>
            <w:tcW w:type="dxa" w:w="2160"/>
          </w:tcPr>
          <w:p>
            <w:r>
              <w:t>CDN (CloudFront)</w:t>
            </w:r>
          </w:p>
        </w:tc>
        <w:tc>
          <w:tcPr>
            <w:tcW w:type="dxa" w:w="2160"/>
          </w:tcPr>
          <w:p>
            <w:r>
              <w:t>$3,400</w:t>
            </w:r>
          </w:p>
        </w:tc>
        <w:tc>
          <w:tcPr>
            <w:tcW w:type="dxa" w:w="2160"/>
          </w:tcPr>
          <w:p>
            <w:r>
              <w:t>-5%</w:t>
            </w:r>
          </w:p>
        </w:tc>
        <w:tc>
          <w:tcPr>
            <w:tcW w:type="dxa" w:w="2160"/>
          </w:tcPr>
          <w:p>
            <w:r>
              <w:t>Cache hit ratio improved</w:t>
            </w:r>
          </w:p>
        </w:tc>
      </w:tr>
      <w:tr>
        <w:tc>
          <w:tcPr>
            <w:tcW w:type="dxa" w:w="2160"/>
          </w:tcPr>
          <w:p>
            <w:r>
              <w:t>Other</w:t>
            </w:r>
          </w:p>
        </w:tc>
        <w:tc>
          <w:tcPr>
            <w:tcW w:type="dxa" w:w="2160"/>
          </w:tcPr>
          <w:p>
            <w:r>
              <w:t>$2,100</w:t>
            </w:r>
          </w:p>
        </w:tc>
        <w:tc>
          <w:tcPr>
            <w:tcW w:type="dxa" w:w="2160"/>
          </w:tcPr>
          <w:p>
            <w:r>
              <w:t>0%</w:t>
            </w:r>
          </w:p>
        </w:tc>
        <w:tc>
          <w:tcPr>
            <w:tcW w:type="dxa" w:w="2160"/>
          </w:tcPr>
          <w:p>
            <w:r>
              <w:t>Miscellaneous services</w:t>
            </w:r>
          </w:p>
        </w:tc>
      </w:tr>
    </w:tbl>
    <w:p>
      <w:r>
        <w:t>Total monthly spend decreased from $108,400 to $102,900, a reduction of approximately five percent. The largest savings came from storage optimization, where automated lifecycle policies now transition infrequently accessed objects to cheaper storage tiers after thirty days. Compute savings were achieved by identifying and terminating underutilized instances that had been provisioned during a previous load testing exercise.</w:t>
      </w:r>
    </w:p>
    <w:p>
      <w:pPr>
        <w:pStyle w:val="Heading2"/>
      </w:pPr>
      <w:r>
        <w:t>Incident Summary</w:t>
      </w:r>
    </w:p>
    <w:p>
      <w:r>
        <w:t>Three incidents were recorded during the quarter. All were resolved within the defined SLA windows. The table below provides details on each incident, including severity, duration, and root cause.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Severity</w:t>
            </w:r>
          </w:p>
        </w:tc>
        <w:tc>
          <w:tcPr>
            <w:tcW w:type="dxa" w:w="1728"/>
          </w:tcPr>
          <w:p>
            <w:r>
              <w:t>Duration</w:t>
            </w:r>
          </w:p>
        </w:tc>
        <w:tc>
          <w:tcPr>
            <w:tcW w:type="dxa" w:w="1728"/>
          </w:tcPr>
          <w:p>
            <w:r>
              <w:t>Affected System</w:t>
            </w:r>
          </w:p>
        </w:tc>
        <w:tc>
          <w:tcPr>
            <w:tcW w:type="dxa" w:w="1728"/>
          </w:tcPr>
          <w:p>
            <w:r>
              <w:t>Root Cause</w:t>
            </w:r>
          </w:p>
        </w:tc>
      </w:tr>
      <w:tr>
        <w:tc>
          <w:tcPr>
            <w:tcW w:type="dxa" w:w="1728"/>
          </w:tcPr>
          <w:p>
            <w:r>
              <w:t>Jul 12</w:t>
            </w:r>
          </w:p>
        </w:tc>
        <w:tc>
          <w:tcPr>
            <w:tcW w:type="dxa" w:w="1728"/>
          </w:tcPr>
          <w:p>
            <w:r>
              <w:t>P2</w:t>
            </w:r>
          </w:p>
        </w:tc>
        <w:tc>
          <w:tcPr>
            <w:tcW w:type="dxa" w:w="1728"/>
          </w:tcPr>
          <w:p>
            <w:r>
              <w:t>47 min</w:t>
            </w:r>
          </w:p>
        </w:tc>
        <w:tc>
          <w:tcPr>
            <w:tcW w:type="dxa" w:w="1728"/>
          </w:tcPr>
          <w:p>
            <w:r>
              <w:t>Data Pipeline</w:t>
            </w:r>
          </w:p>
        </w:tc>
        <w:tc>
          <w:tcPr>
            <w:tcW w:type="dxa" w:w="1728"/>
          </w:tcPr>
          <w:p>
            <w:r>
              <w:t>Schema migration lock contention</w:t>
            </w:r>
          </w:p>
        </w:tc>
      </w:tr>
      <w:tr>
        <w:tc>
          <w:tcPr>
            <w:tcW w:type="dxa" w:w="1728"/>
          </w:tcPr>
          <w:p>
            <w:r>
              <w:t>Aug 3</w:t>
            </w:r>
          </w:p>
        </w:tc>
        <w:tc>
          <w:tcPr>
            <w:tcW w:type="dxa" w:w="1728"/>
          </w:tcPr>
          <w:p>
            <w:r>
              <w:t>P3</w:t>
            </w:r>
          </w:p>
        </w:tc>
        <w:tc>
          <w:tcPr>
            <w:tcW w:type="dxa" w:w="1728"/>
          </w:tcPr>
          <w:p>
            <w:r>
              <w:t>15 min</w:t>
            </w:r>
          </w:p>
        </w:tc>
        <w:tc>
          <w:tcPr>
            <w:tcW w:type="dxa" w:w="1728"/>
          </w:tcPr>
          <w:p>
            <w:r>
              <w:t>CDN</w:t>
            </w:r>
          </w:p>
        </w:tc>
        <w:tc>
          <w:tcPr>
            <w:tcW w:type="dxa" w:w="1728"/>
          </w:tcPr>
          <w:p>
            <w:r>
              <w:t>Certificate renewal delay</w:t>
            </w:r>
          </w:p>
        </w:tc>
      </w:tr>
      <w:tr>
        <w:tc>
          <w:tcPr>
            <w:tcW w:type="dxa" w:w="1728"/>
          </w:tcPr>
          <w:p>
            <w:r>
              <w:t>Sep 18</w:t>
            </w:r>
          </w:p>
        </w:tc>
        <w:tc>
          <w:tcPr>
            <w:tcW w:type="dxa" w:w="1728"/>
          </w:tcPr>
          <w:p>
            <w:r>
              <w:t>P1</w:t>
            </w:r>
          </w:p>
        </w:tc>
        <w:tc>
          <w:tcPr>
            <w:tcW w:type="dxa" w:w="1728"/>
          </w:tcPr>
          <w:p>
            <w:r>
              <w:t>23 min</w:t>
            </w:r>
          </w:p>
        </w:tc>
        <w:tc>
          <w:tcPr>
            <w:tcW w:type="dxa" w:w="1728"/>
          </w:tcPr>
          <w:p>
            <w:r>
              <w:t>Auth Service</w:t>
            </w:r>
          </w:p>
        </w:tc>
        <w:tc>
          <w:tcPr>
            <w:tcW w:type="dxa" w:w="1728"/>
          </w:tcPr>
          <w:p>
            <w:r>
              <w:t>Redis cluster failover timeout</w:t>
            </w:r>
          </w:p>
        </w:tc>
      </w:tr>
    </w:tbl>
    <w:p>
      <w:r>
        <w:t>The P1 incident on September 18th was the most impactful, briefly affecting all authenticated users. The Redis cluster experienced a primary node failure, and the automatic failover took longer than expected because the sentinel configuration had a stale quorum setting from a previous topology change. The configuration has since been audited and corrected across all environments.</w:t>
      </w:r>
    </w:p>
    <w:p>
      <w:pPr>
        <w:pStyle w:val="Heading2"/>
      </w:pPr>
      <w:r>
        <w:t>Planned Changes</w:t>
      </w:r>
    </w:p>
    <w:p>
      <w:r>
        <w:t>The following initiatives are planned for the next quarter. Each item has been reviewed by the architecture board and approved for implementation. Resource allocation has been confirmed with all participating teams.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Initiative</w:t>
            </w:r>
          </w:p>
        </w:tc>
        <w:tc>
          <w:tcPr>
            <w:tcW w:type="dxa" w:w="2160"/>
          </w:tcPr>
          <w:p>
            <w:r>
              <w:t>Priority</w:t>
            </w:r>
          </w:p>
        </w:tc>
        <w:tc>
          <w:tcPr>
            <w:tcW w:type="dxa" w:w="2160"/>
          </w:tcPr>
          <w:p>
            <w:r>
              <w:t>Target Date</w:t>
            </w:r>
          </w:p>
        </w:tc>
        <w:tc>
          <w:tcPr>
            <w:tcW w:type="dxa" w:w="2160"/>
          </w:tcPr>
          <w:p>
            <w:r>
              <w:t>Lead</w:t>
            </w:r>
          </w:p>
        </w:tc>
      </w:tr>
      <w:tr>
        <w:tc>
          <w:tcPr>
            <w:tcW w:type="dxa" w:w="2160"/>
          </w:tcPr>
          <w:p>
            <w:r>
              <w:t>Migrate to ARM instances</w:t>
            </w:r>
          </w:p>
        </w:tc>
        <w:tc>
          <w:tcPr>
            <w:tcW w:type="dxa" w:w="2160"/>
          </w:tcPr>
          <w:p>
            <w:r>
              <w:t>High</w:t>
            </w:r>
          </w:p>
        </w:tc>
        <w:tc>
          <w:tcPr>
            <w:tcW w:type="dxa" w:w="2160"/>
          </w:tcPr>
          <w:p>
            <w:r>
              <w:t>Oct 30</w:t>
            </w:r>
          </w:p>
        </w:tc>
        <w:tc>
          <w:tcPr>
            <w:tcW w:type="dxa" w:w="2160"/>
          </w:tcPr>
          <w:p>
            <w:r>
              <w:t>Infrastructure</w:t>
            </w:r>
          </w:p>
        </w:tc>
      </w:tr>
      <w:tr>
        <w:tc>
          <w:tcPr>
            <w:tcW w:type="dxa" w:w="2160"/>
          </w:tcPr>
          <w:p>
            <w:r>
              <w:t>Implement request tracing</w:t>
            </w:r>
          </w:p>
        </w:tc>
        <w:tc>
          <w:tcPr>
            <w:tcW w:type="dxa" w:w="2160"/>
          </w:tcPr>
          <w:p>
            <w:r>
              <w:t>High</w:t>
            </w:r>
          </w:p>
        </w:tc>
        <w:tc>
          <w:tcPr>
            <w:tcW w:type="dxa" w:w="2160"/>
          </w:tcPr>
          <w:p>
            <w:r>
              <w:t>Nov 15</w:t>
            </w:r>
          </w:p>
        </w:tc>
        <w:tc>
          <w:tcPr>
            <w:tcW w:type="dxa" w:w="2160"/>
          </w:tcPr>
          <w:p>
            <w:r>
              <w:t>SRE Team</w:t>
            </w:r>
          </w:p>
        </w:tc>
      </w:tr>
      <w:tr>
        <w:tc>
          <w:tcPr>
            <w:tcW w:type="dxa" w:w="2160"/>
          </w:tcPr>
          <w:p>
            <w:r>
              <w:t>Database read replica scaling</w:t>
            </w:r>
          </w:p>
        </w:tc>
        <w:tc>
          <w:tcPr>
            <w:tcW w:type="dxa" w:w="2160"/>
          </w:tcPr>
          <w:p>
            <w:r>
              <w:t>Medium</w:t>
            </w:r>
          </w:p>
        </w:tc>
        <w:tc>
          <w:tcPr>
            <w:tcW w:type="dxa" w:w="2160"/>
          </w:tcPr>
          <w:p>
            <w:r>
              <w:t>Nov 30</w:t>
            </w:r>
          </w:p>
        </w:tc>
        <w:tc>
          <w:tcPr>
            <w:tcW w:type="dxa" w:w="2160"/>
          </w:tcPr>
          <w:p>
            <w:r>
              <w:t>Data Engineering</w:t>
            </w:r>
          </w:p>
        </w:tc>
      </w:tr>
      <w:tr>
        <w:tc>
          <w:tcPr>
            <w:tcW w:type="dxa" w:w="2160"/>
          </w:tcPr>
          <w:p>
            <w:r>
              <w:t>CDN edge function rollout</w:t>
            </w:r>
          </w:p>
        </w:tc>
        <w:tc>
          <w:tcPr>
            <w:tcW w:type="dxa" w:w="2160"/>
          </w:tcPr>
          <w:p>
            <w:r>
              <w:t>Medium</w:t>
            </w:r>
          </w:p>
        </w:tc>
        <w:tc>
          <w:tcPr>
            <w:tcW w:type="dxa" w:w="2160"/>
          </w:tcPr>
          <w:p>
            <w:r>
              <w:t>Dec 10</w:t>
            </w:r>
          </w:p>
        </w:tc>
        <w:tc>
          <w:tcPr>
            <w:tcW w:type="dxa" w:w="2160"/>
          </w:tcPr>
          <w:p>
            <w:r>
              <w:t>Platform Team</w:t>
            </w:r>
          </w:p>
        </w:tc>
      </w:tr>
      <w:tr>
        <w:tc>
          <w:tcPr>
            <w:tcW w:type="dxa" w:w="2160"/>
          </w:tcPr>
          <w:p>
            <w:r>
              <w:t>Disaster recovery drill</w:t>
            </w:r>
          </w:p>
        </w:tc>
        <w:tc>
          <w:tcPr>
            <w:tcW w:type="dxa" w:w="2160"/>
          </w:tcPr>
          <w:p>
            <w:r>
              <w:t>High</w:t>
            </w:r>
          </w:p>
        </w:tc>
        <w:tc>
          <w:tcPr>
            <w:tcW w:type="dxa" w:w="2160"/>
          </w:tcPr>
          <w:p>
            <w:r>
              <w:t>Dec 20</w:t>
            </w:r>
          </w:p>
        </w:tc>
        <w:tc>
          <w:tcPr>
            <w:tcW w:type="dxa" w:w="2160"/>
          </w:tcPr>
          <w:p>
            <w:r>
              <w:t>All Teams</w:t>
            </w:r>
          </w:p>
        </w:tc>
      </w:tr>
    </w:tbl>
    <w:p>
      <w:r>
        <w:t>The ARM migration is expected to yield an additional ten to fifteen percent reduction in compute costs based on benchmarks conducted in staging. The migration will be performed service by service, starting with stateless workloads that have comprehensive test coverage. Each service will run in a canary configuration for at least one week before full cutover.</w:t>
      </w:r>
    </w:p>
    <w:p>
      <w:pPr>
        <w:pStyle w:val="Heading2"/>
      </w:pPr>
      <w:r>
        <w:t>Conclusion</w:t>
      </w:r>
    </w:p>
    <w:p>
      <w:r>
        <w:t>Overall system health remains strong. Uptime targets were met for all services except the data pipeline, which has since been stabilized. Cost trends are favorable, and the planned ARM migration should further improve the cost profile. The team will continue to focus on reliability improvements and automation of operational tasks throughout the next quarter.</w:t>
      </w:r>
    </w:p>
    <w:p>
      <w:r>
        <w:t>This report was prepared by the infrastructure team and reviewed by engineering leadership. Questions or feedback should be directed to the infrastructure channel. The next quarterly report will be published in January.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