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w:t>
      </w:r>
    </w:p>
    <w:p>
      <w:r>
        <w:t>This quarterly report provides a comprehensive overview of our organizational performance during Q3 2025. The following sections detail key achievements, financial metrics, and strategic initiatives undertaken during this period.</w:t>
      </w:r>
    </w:p>
    <w:p>
      <w:r>
        <w:t>Our team has made significant progress across multiple fronts, including revenue growth, customer acquisition, and product development milestones. The data presented herein reflects our commitment to transparency and accountability.</w:t>
      </w:r>
    </w:p>
    <w:p>
      <w:pPr>
        <w:pStyle w:val="Heading2"/>
      </w:pPr>
      <w:r>
        <w:t>Financial Highlights</w:t>
      </w:r>
    </w:p>
    <w:p>
      <w:r>
        <w:t>Revenue increased by 23% year-over-year, driven primarily by expansion into new markets and the successful launch of our premium service tier. Operating margins improved to 18.5%, up from 15.2% in the previous quarter.</w:t>
      </w:r>
    </w:p>
    <w:p>
      <w:r>
        <w:t>Customer acquisition costs decreased by 12% while lifetime value increased by 8%, indicating improved efficiency in our marketing and sales operations. These trends are expected to continue into the next fiscal year.</w:t>
      </w:r>
    </w:p>
    <w:p>
      <w:pPr>
        <w:pStyle w:val="Heading2"/>
      </w:pPr>
      <w:r>
        <w:t>Operational Review</w:t>
      </w:r>
    </w:p>
    <w:p>
      <w:r>
        <w:t>Infrastructure investments totaling $4.2 million were completed on schedule and under budget. System uptime averaged 99.97% across all production environments, exceeding our target of 99.95%. The engineering team deployed 847 production releases during the quarter, a 34% increase from Q2.</w:t>
      </w:r>
    </w:p>
    <w:p>
      <w:r>
        <w:t>Employee satisfaction scores reached an all-time high of 4.6 out of 5.0, driven by new benefits programs and flexible work arrangements. Voluntary turnover decreased to 6.2%, well below the industry average of 13.5%.</w:t>
      </w:r>
    </w:p>
    <w:p>
      <w:pPr>
        <w:pStyle w:val="Heading2"/>
      </w:pPr>
      <w:r>
        <w:t>Market Analysis</w:t>
      </w:r>
    </w:p>
    <w:p>
      <w:r>
        <w:t>The competitive landscape continued to evolve during Q3, with several new entrants in our primary market segment. Despite increased competition, we maintained our market share at 28.3% and expanded our presence in the enterprise segment by 15%. Our brand recognition surveys indicate strong positioning among target demographics.</w:t>
      </w:r>
    </w:p>
    <w:p>
      <w:r>
        <w:t>International expansion efforts yielded promising results, with our EMEA region growing 31% and APAC growing 28%. Strategic partnerships established during the quarter are expected to accelerate growth in these regions through 2026.</w:t>
      </w:r>
    </w:p>
    <w:p>
      <w:pPr>
        <w:pStyle w:val="Heading1"/>
      </w:pPr>
      <w:r>
        <w:t>Strategic Initiatives</w:t>
      </w:r>
    </w:p>
    <w:p>
      <w:r>
        <w:t>Several key strategic initiatives were launched during Q3 to position the company for long-term growth and market leadership. These initiatives span technology, talent, and market development dimensions.</w:t>
      </w:r>
    </w:p>
    <w:p>
      <w:pPr>
        <w:pStyle w:val="Heading2"/>
      </w:pPr>
      <w:r>
        <w:t>Technology Roadmap</w:t>
      </w:r>
    </w:p>
    <w:p>
      <w:r>
        <w:t>The next-generation platform architecture entered beta testing with select enterprise customers. Early feedback has been overwhelmingly positive, with participants reporting 40% faster processing times and improved ease of use. General availability is targeted for Q1 2026.</w:t>
      </w:r>
    </w:p>
    <w:p>
      <w:r>
        <w:t>Our AI and machine learning capabilities were significantly enhanced through both internal development and strategic acquisitions. The integration of advanced natural language processing models into our product suite has opened new use cases and revenue streams that were previously inaccessible.</w:t>
      </w:r>
    </w:p>
    <w:p>
      <w:pPr>
        <w:pStyle w:val="Heading2"/>
      </w:pPr>
      <w:r>
        <w:t>Talent Development</w:t>
      </w:r>
    </w:p>
    <w:p>
      <w:r>
        <w:t>A comprehensive leadership development program was launched for mid-level managers, with 85 participants enrolled in the first cohort. Early assessments show measurable improvements in team performance metrics and employee engagement scores within participating departments.</w:t>
      </w:r>
    </w:p>
    <w:p>
      <w:r>
        <w:t>Technical hiring continued at pace, with 127 new engineers joining during Q3. Our revised interview process resulted in a 23% improvement in offer acceptance rates and a more diverse candidate pipeline. Diversity metrics improved across all categories, with women in technical roles increasing from 32% to 36%.</w:t>
      </w:r>
    </w:p>
    <w:p>
      <w:pPr>
        <w:pStyle w:val="Heading2"/>
      </w:pPr>
      <w:r>
        <w:t>Risk Assessment and Mitigation</w:t>
      </w:r>
    </w:p>
    <w:p>
      <w:r>
        <w:t>Key risks identified during the quarter include regulatory changes in our primary markets, potential supply chain disruptions, and cybersecurity threats. Mitigation strategies have been developed and approved by the board for each identified risk category. Our enterprise risk management framework continues to mature, with quarterly reviews ensuring alignment with evolving business conditions.</w:t>
      </w:r>
    </w:p>
    <w:p>
      <w:r>
        <w:t>The compliance team completed a comprehensive audit of all operational processes, resulting in 14 recommendations for improvement. All critical findings have been addressed, with remaining items on track for completion by end of Q4.</w:t>
      </w:r>
    </w:p>
    <w:p>
      <w:pPr>
        <w:pStyle w:val="Heading1"/>
      </w:pPr>
      <w:r>
        <w:t>Looking Ahead</w:t>
      </w:r>
    </w:p>
    <w:p>
      <w:r>
        <w:t>As we enter Q4 2025, our focus shifts to executing on the strategic priorities established during the annual planning cycle. Key objectives include achieving full-year revenue targets, completing the platform migration, and establishing market presence in three additional geographic regions.</w:t>
      </w:r>
    </w:p>
    <w:p>
      <w:r>
        <w:t>The executive team remains confident in our ability to deliver on these objectives while maintaining the operational excellence that has characterized our recent performance. We look forward to reporting continued progress in our Q4 review.</w:t>
      </w:r>
    </w:p>
    <w:sectPr w:rsidR="00FC693F" w:rsidRPr="0006063C" w:rsidSect="00034616">
      <w:headerReference w:type="first" r:id="rId9"/>
      <w:headerReference w:type="default" r:id="rId10"/>
      <w:footerReference w:type="first" r:id="rId11"/>
      <w:footerReference w:type="defaul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Internal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r>
      <w:fldChar w:fldCharType="begin"/>
    </w:r>
    <w:r>
      <w:instrText xml:space="preserve"> PAGE </w:instrText>
    </w:r>
    <w:r>
      <w:fldChar w:fldCharType="end"/>
    </w:r>
    <w:r>
      <w:rPr>
        <w:sz w:val="20"/>
      </w:rPr>
      <w:t xml:space="preserve"> of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8"/>
      </w:rPr>
      <w:t>CONFIDENTIAL — Draft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20"/>
      </w:rPr>
      <w:t>Quarterly Report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