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Status Report</w:t>
      </w:r>
    </w:p>
    <w:p>
      <w:r>
        <w:t>This document provides a comprehensive overview of the current project status, including recent milestones, ongoing challenges, and planned next steps. The team has made significant progress over the past quarter, and several key deliverables have been completed ahead of schedule.</w:t>
      </w:r>
    </w:p>
    <w:p>
      <w:pPr>
        <w:pStyle w:val="Heading1"/>
      </w:pPr>
      <w:r>
        <w:t>Background</w:t>
      </w:r>
    </w:p>
    <w:p>
      <w:r>
        <w:t>The project was initiated in January with the goal of modernizing the existing infrastructure and improving overall system reliability. Initial planning focused on identifying critical bottlenecks and establishing a clear roadmap for incremental improvements. Stakeholder interviews were conducted across all departments to ensure alignment on priorities and expectations.</w:t>
      </w:r>
    </w:p>
    <w:p>
      <w:r>
        <w:t>Following the discovery phase, the team developed a phased implementation plan that balances short-term wins with long-term architectural goals. Each phase was designed to deliver measurable value while laying the groundwork for subsequent improvements. This approach has allowed us to maintain momentum and demonstrate continuous progress to leadership.</w:t>
      </w:r>
    </w:p>
    <w:p>
      <w:pPr>
        <w:pStyle w:val="Heading1"/>
      </w:pPr>
      <w:r>
        <w:t>Key Achievements</w:t>
      </w:r>
    </w:p>
    <w:p>
      <w:pPr>
        <w:pStyle w:val="Heading2"/>
      </w:pPr>
      <w:r>
        <w:t>Performance Improvements</w:t>
      </w:r>
    </w:p>
    <w:p>
      <w:r>
        <w:t>Response times have been reduced by forty-two percent across all major endpoints. This improvement was achieved through a combination of query optimization, caching strategies, and infrastructure upgrades. The most significant gains came from restructuring the database access patterns to minimize round trips and take advantage of connection pooling.</w:t>
      </w:r>
    </w:p>
    <w:p>
      <w:r>
        <w:t>Memory utilization has also improved substantially, with peak usage dropping from eighty-seven percent to fifty-three percent during high-traffic periods. This headroom provides a comfortable buffer for handling unexpected load spikes without triggering auto-scaling events, which has reduced our monthly infrastructure costs by approximately fifteen percent.</w:t>
      </w:r>
    </w:p>
    <w:p>
      <w:pPr>
        <w:pStyle w:val="Heading2"/>
      </w:pPr>
      <w:r>
        <w:t>Quality Metrics</w:t>
      </w:r>
    </w:p>
    <w:p>
      <w:r>
        <w:t>The defect rate has decreased steadily since the introduction of automated testing pipelines. Critical bugs discovered in production dropped from an average of twelve per month to fewer than three. The automated test suite now covers ninety-one percent of the codebase, with particular emphasis on integration tests that validate end-to-end workflows.</w:t>
      </w:r>
    </w:p>
    <w:p>
      <w:r>
        <w:t>Customer satisfaction scores have risen in parallel with these quality improvements. The net promoter score increased from thirty-two to fifty-eight over the past two quarters, reflecting the tangible impact of reduced downtime and faster response times on the end-user experience.</w:t>
      </w:r>
    </w:p>
    <w:p>
      <w:pPr>
        <w:pStyle w:val="Heading1"/>
      </w:pPr>
      <w:r>
        <w:t>Challenges and Risks</w:t>
      </w:r>
    </w:p>
    <w:p>
      <w:r>
        <w:t>Despite the progress outlined above, several challenges remain. The legacy authentication system continues to be a source of intermittent issues, particularly during peak usage hours. A complete replacement is planned for the next phase, but the migration requires careful coordination with downstream services that depend on the current token format.</w:t>
      </w:r>
    </w:p>
    <w:p>
      <w:r>
        <w:t>Resource constraints present another ongoing challenge. The team is currently operating at capacity, and the upcoming phase includes several complex deliverables that will require additional expertise in distributed systems and security architecture. Recruitment efforts are underway, but the competitive job market has made it difficult to fill these specialized roles within the desired timeframe.</w:t>
      </w:r>
    </w:p>
    <w:p>
      <w:pPr>
        <w:pStyle w:val="Heading1"/>
      </w:pPr>
      <w:r>
        <w:t>Next Steps</w:t>
      </w:r>
    </w:p>
    <w:p>
      <w:r>
        <w:t>The immediate priority is completing the migration of the notification service to the new event-driven architecture. This work is expected to be finished by the end of the current sprint and will eliminate a significant source of latency in the user-facing workflow. Once complete, the team will shift focus to the authentication system replacement.</w:t>
      </w:r>
    </w:p>
    <w:p>
      <w:r>
        <w:t>Looking further ahead, the roadmap includes a comprehensive review of the data pipeline architecture and an evaluation of potential improvements to the deployment process. These initiatives are scheduled for the following quarter and will be scoped in detail during the upcoming planning sessions. The goal is to establish a fully automated continuous delivery pipeline that supports zero-downtime deployments across all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Calibri" w:hAnsi="Calibri"/>
        <w:sz w:val="24"/>
        <w:szCs w:val="22"/>
        <w:lang w:val="en-US" w:eastAsia="en-US" w:bidi="ar-SA"/>
      </w:rPr>
    </w:rPrDefault>
    <w:pPrDefault>
      <w:pPr>
        <w:spacing w:after="16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