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PHAGENT_AMR: Assembly-Based AMR Profiling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Bio-phagent — Metagenomics Analysis of Ukrainian Farm Wastewater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Subproject: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PHAGENT_AMR — Contig-Backed AMR Detection with Plasmid Context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 of 24 barcodes (barcode07, barcode08, barcode09, barcode18)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actually we have 23 barcodes (barcode06 is missed)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source: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Nanopore long-read sequencing (WW_FarmUAA_RLB_20250219)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eading=h.3qnl45hry4x3" w:id="0"/>
      <w:bookmarkEnd w:id="0"/>
      <w:r w:rsidDel="00000000" w:rsidR="00000000" w:rsidRPr="00000000">
        <w:rPr>
          <w:rtl w:val="0"/>
        </w:rPr>
        <w:t xml:space="preserve">Results are stored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Google Drive and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https://drive.google.com/drive/folders/1EtUffgTSC3kbyeBqItZXzZ8oRmA2eZlG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Assembly-based AMR profiling was performed on 4 farm wastewater samples using a Flye → Medaka → AMRFinderPlus + MOB-suite pipeline.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 quinolone resistance genes (qnrD/qnrD1) were detected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all located on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 Col3M-type plasmids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closely related to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Proteus mirabilis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plasmids. The findings span 3 farms (1 poultry, 2 pig) across 2 oblasts. No ESBL, colistin resistance, or carbapenemase genes were detected in the analyzed samples.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approach complements the main pipeline’s read-level ResFinder analysis by providing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contig-backed evidence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plasmid context — enabling higher confidence in individual AMR gene calls and their genomic location.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1. Samples Analyzed</w:t>
      </w:r>
    </w:p>
    <w:tbl>
      <w:tblPr>
        <w:tblStyle w:val="Table1"/>
        <w:tblW w:w="9510.0" w:type="dxa"/>
        <w:jc w:val="left"/>
        <w:tblInd w:w="-108.0" w:type="dxa"/>
        <w:tblLayout w:type="fixed"/>
        <w:tblLook w:val="0020"/>
      </w:tblPr>
      <w:tblGrid>
        <w:gridCol w:w="1320"/>
        <w:gridCol w:w="1575"/>
        <w:gridCol w:w="1065"/>
        <w:gridCol w:w="2115"/>
        <w:gridCol w:w="1815"/>
        <w:gridCol w:w="1620"/>
        <w:tblGridChange w:id="0">
          <w:tblGrid>
            <w:gridCol w:w="1320"/>
            <w:gridCol w:w="1575"/>
            <w:gridCol w:w="1065"/>
            <w:gridCol w:w="2115"/>
            <w:gridCol w:w="1815"/>
            <w:gridCol w:w="16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ID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Farm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Farm Type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Type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Oblast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barcode07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poultry #3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Poultry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Native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Kyiv Oblast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barcode08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н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poultry #3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Poultry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Enriched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Kyiv Oblast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barcode09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pig #2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Pig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Native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Kyiv Oblast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barcode18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н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pig #5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Pig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Enriched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Chernivtsi Oblast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These 4 barcodes are a subset of the full 24 (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23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)-sample dataset. The remaining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20 barcodes have not yet been processed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through the assembly pipeline.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Some barcodes (barcode03, barcode11, barcode23, barcode24) are known to produce empty assemblies due to low read counts.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2. Assembly Results</w:t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2.1 Metagenome Assembly (metaFlye)</w:t>
      </w:r>
    </w:p>
    <w:tbl>
      <w:tblPr>
        <w:tblStyle w:val="Table2"/>
        <w:tblW w:w="8430.0" w:type="dxa"/>
        <w:jc w:val="left"/>
        <w:tblInd w:w="-108.0" w:type="dxa"/>
        <w:tblLayout w:type="fixed"/>
        <w:tblLook w:val="0020"/>
      </w:tblPr>
      <w:tblGrid>
        <w:gridCol w:w="2115"/>
        <w:gridCol w:w="2115"/>
        <w:gridCol w:w="2100"/>
        <w:gridCol w:w="2100"/>
        <w:tblGridChange w:id="0">
          <w:tblGrid>
            <w:gridCol w:w="2115"/>
            <w:gridCol w:w="2115"/>
            <w:gridCol w:w="2100"/>
            <w:gridCol w:w="21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Contigs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Size (bp)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barcode07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5,697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Small assembly — 2 contigs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barcode08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13,594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Moderate — 5 contigs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barcode09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36,064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Largest contig count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barcode18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108,311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Largest assembly by size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assemblies were generated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flye --nano-raw --meta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Assembly sizes are small relative to full metagenomes, consistent with low-biomass wastewater samples processed with nanopore sequencing.</w:t>
      </w:r>
    </w:p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rtl w:val="0"/>
        </w:rPr>
        <w:t xml:space="preserve">2.2 Consensus Polishing (Medaka)</w:t>
      </w:r>
    </w:p>
    <w:tbl>
      <w:tblPr>
        <w:tblStyle w:val="Table3"/>
        <w:tblW w:w="9630.0" w:type="dxa"/>
        <w:jc w:val="left"/>
        <w:tblInd w:w="-108.0" w:type="dxa"/>
        <w:tblLayout w:type="fixed"/>
        <w:tblLook w:val="0020"/>
      </w:tblPr>
      <w:tblGrid>
        <w:gridCol w:w="1980"/>
        <w:gridCol w:w="2220"/>
        <w:gridCol w:w="2580"/>
        <w:gridCol w:w="2850"/>
        <w:tblGridChange w:id="0">
          <w:tblGrid>
            <w:gridCol w:w="1980"/>
            <w:gridCol w:w="2220"/>
            <w:gridCol w:w="2580"/>
            <w:gridCol w:w="285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Polished Contigs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Polished Size (bp)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Size 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barcode07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5,599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-1.7%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barcode08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13,371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-1.6%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barcode09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35,440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-1.7%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barcode18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106,421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-1.7%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Polishing with Medaka (model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r1041_e82_400bps_sup_v5.2.0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reduced assembly size by ~1.7% across all samples, consistent with correction of homopolymer-related insertion errors typical of nanopore data.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3. AMR Gene Detections</w:t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3.1 Summary</w:t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Samples analyzed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Samples with AMR genes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AMR genes detected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Unique gene symbols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(qnrD1, qnrD)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Resistance classes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(QUINOLONE)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 findings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(all QUINOLONE)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ESBL genes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Colistin resistance genes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Carbapenemase genes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Plasmid-borne genes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(100%)</w:t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rPr/>
      </w:pPr>
      <w:r w:rsidDel="00000000" w:rsidR="00000000" w:rsidRPr="00000000">
        <w:rPr>
          <w:rtl w:val="0"/>
        </w:rPr>
        <w:t xml:space="preserve">3.2 Detailed Findings</w:t>
      </w:r>
    </w:p>
    <w:tbl>
      <w:tblPr>
        <w:tblStyle w:val="Table5"/>
        <w:tblW w:w="9360.0" w:type="dxa"/>
        <w:jc w:val="left"/>
        <w:tblInd w:w="-108.0" w:type="dxa"/>
        <w:tblLayout w:type="fixed"/>
        <w:tblLook w:val="0020"/>
      </w:tblPr>
      <w:tblGrid>
        <w:gridCol w:w="1080"/>
        <w:gridCol w:w="855"/>
        <w:gridCol w:w="840"/>
        <w:gridCol w:w="810"/>
        <w:gridCol w:w="1230"/>
        <w:gridCol w:w="1185"/>
        <w:gridCol w:w="1215"/>
        <w:gridCol w:w="2145"/>
        <w:tblGridChange w:id="0">
          <w:tblGrid>
            <w:gridCol w:w="1080"/>
            <w:gridCol w:w="855"/>
            <w:gridCol w:w="840"/>
            <w:gridCol w:w="810"/>
            <w:gridCol w:w="1230"/>
            <w:gridCol w:w="1185"/>
            <w:gridCol w:w="1215"/>
            <w:gridCol w:w="214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Barcode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Farm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Gene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Contig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Coverage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Identity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Reference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barcode07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poultry #3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qnrD1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contig_2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ALLELEX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100.00%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100.00%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WP_012634451.1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barcode08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poultry #3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 AMR genes detected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barcode09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pig #2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qnrD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contig_4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PARTIALX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83.64%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100.00%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WP_012634451.1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barcode18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pig #5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qnrD1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contig_20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ALLELEX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100.00%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100.00%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WP_012634451.1</w:t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Detection methods: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ALLELEX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Exact allele match (highest confidence). Used for barcode07 and barcode18. -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PARTIALX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Partial match with 100% identity but incomplete coverage (83.64%). The barcode09 qnrD gene is truncated or located at a contig boundary.</w:t>
      </w:r>
    </w:p>
    <w:p w:rsidR="00000000" w:rsidDel="00000000" w:rsidP="00000000" w:rsidRDefault="00000000" w:rsidRPr="00000000" w14:paraId="000000A2">
      <w:pPr>
        <w:pStyle w:val="Heading3"/>
        <w:rPr/>
      </w:pPr>
      <w:r w:rsidDel="00000000" w:rsidR="00000000" w:rsidRPr="00000000">
        <w:rPr>
          <w:rtl w:val="0"/>
        </w:rPr>
        <w:t xml:space="preserve">3.3 Cross-Sample Distribution</w:t>
      </w:r>
    </w:p>
    <w:tbl>
      <w:tblPr>
        <w:tblStyle w:val="Table6"/>
        <w:tblW w:w="9270.0" w:type="dxa"/>
        <w:jc w:val="left"/>
        <w:tblInd w:w="-108.0" w:type="dxa"/>
        <w:tblLayout w:type="fixed"/>
        <w:tblLook w:val="0020"/>
      </w:tblPr>
      <w:tblGrid>
        <w:gridCol w:w="945"/>
        <w:gridCol w:w="1110"/>
        <w:gridCol w:w="1785"/>
        <w:gridCol w:w="2595"/>
        <w:gridCol w:w="2835"/>
        <w:tblGridChange w:id="0">
          <w:tblGrid>
            <w:gridCol w:w="945"/>
            <w:gridCol w:w="1110"/>
            <w:gridCol w:w="1785"/>
            <w:gridCol w:w="2595"/>
            <w:gridCol w:w="283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Samples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Farms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Always Plasmid-Borne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qnrD1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QUINOLONE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(barcode07, barcode18)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(poultry #3, pig #5)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qnrD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QUINOLONE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(barcode09)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(pig #2)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qnrD/qnrD1 genes were found across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different farms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oblasts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(Kyiv, Chernivtsi), spanning both pig and poultry operations. This suggests widespread distribution of quinolone resistance in the sampled farm environments.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  <w:t xml:space="preserve">4. Plasmid Context</w:t>
      </w:r>
    </w:p>
    <w:p w:rsidR="00000000" w:rsidDel="00000000" w:rsidP="00000000" w:rsidRDefault="00000000" w:rsidRPr="00000000" w14:paraId="000000B5">
      <w:pPr>
        <w:pStyle w:val="Heading3"/>
        <w:rPr/>
      </w:pPr>
      <w:r w:rsidDel="00000000" w:rsidR="00000000" w:rsidRPr="00000000">
        <w:rPr>
          <w:rtl w:val="0"/>
        </w:rPr>
        <w:t xml:space="preserve">4.1 MOB-suite Classification</w:t>
      </w:r>
    </w:p>
    <w:tbl>
      <w:tblPr>
        <w:tblStyle w:val="Table7"/>
        <w:tblW w:w="9375.0" w:type="dxa"/>
        <w:jc w:val="left"/>
        <w:tblInd w:w="-108.0" w:type="dxa"/>
        <w:tblLayout w:type="fixed"/>
        <w:tblLook w:val="0020"/>
      </w:tblPr>
      <w:tblGrid>
        <w:gridCol w:w="1770"/>
        <w:gridCol w:w="1770"/>
        <w:gridCol w:w="1770"/>
        <w:gridCol w:w="1770"/>
        <w:gridCol w:w="2295"/>
        <w:tblGridChange w:id="0">
          <w:tblGrid>
            <w:gridCol w:w="1770"/>
            <w:gridCol w:w="1770"/>
            <w:gridCol w:w="1770"/>
            <w:gridCol w:w="1770"/>
            <w:gridCol w:w="229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Barcode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Contigs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Chromosome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Plasmid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Plasmid Clusters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barcode07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AB434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barcode08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barcode09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AB434, AD087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barcode18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AB434</w:t>
            </w:r>
          </w:p>
        </w:tc>
      </w:tr>
    </w:tbl>
    <w:p w:rsidR="00000000" w:rsidDel="00000000" w:rsidP="00000000" w:rsidRDefault="00000000" w:rsidRPr="00000000" w14:paraId="000000CF">
      <w:pPr>
        <w:pStyle w:val="Heading3"/>
        <w:rPr/>
      </w:pPr>
      <w:r w:rsidDel="00000000" w:rsidR="00000000" w:rsidRPr="00000000">
        <w:rPr>
          <w:rtl w:val="0"/>
        </w:rPr>
        <w:t xml:space="preserve">4.2 AMR–Plasmid Association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3 detected AMR genes are located on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plasmid contigs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specifically within 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AB434 cluster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tbl>
      <w:tblPr>
        <w:tblStyle w:val="Table8"/>
        <w:tblW w:w="7917.0" w:type="dxa"/>
        <w:jc w:val="left"/>
        <w:tblInd w:w="-108.0" w:type="dxa"/>
        <w:tblLayout w:type="fixed"/>
        <w:tblLook w:val="0020"/>
      </w:tblPr>
      <w:tblGrid>
        <w:gridCol w:w="819"/>
        <w:gridCol w:w="546"/>
        <w:gridCol w:w="728"/>
        <w:gridCol w:w="1456"/>
        <w:gridCol w:w="1365"/>
        <w:gridCol w:w="1638"/>
        <w:gridCol w:w="1365"/>
        <w:tblGridChange w:id="0">
          <w:tblGrid>
            <w:gridCol w:w="819"/>
            <w:gridCol w:w="546"/>
            <w:gridCol w:w="728"/>
            <w:gridCol w:w="1456"/>
            <w:gridCol w:w="1365"/>
            <w:gridCol w:w="1638"/>
            <w:gridCol w:w="136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Barcode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Contig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Plasmid Cluster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Replicon Type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Nearest Neighbor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Mash Distance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barcode07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qnrD1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contig_2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AB434 / AK211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Col3M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Proteus mirabilis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(JQ776508)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0.00266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barcode09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qnrD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contig_4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AB434 / AK211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Col3M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Proteus mirabilis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(JQ776508)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0.00379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barcode18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qnrD1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contig_20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AB434 / AK211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Col3M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Proteus mirabilis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(JQ776508)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0.00142</w:t>
            </w:r>
          </w:p>
        </w:tc>
      </w:tr>
    </w:tbl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observations: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All qnrD/qnrD1 genes reside on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Col3M-type ColE1-family plasmids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small, high-copy-number plasmids commonly found in Enterobacteriaceae - The nearest known plasmid neighbor in all 3 cases is </w:t>
      </w:r>
      <w:r w:rsidDel="00000000" w:rsidR="00000000" w:rsidRPr="00000000">
        <w:rPr>
          <w:rFonts w:ascii="Aptos" w:cs="Aptos" w:eastAsia="Aptos" w:hAnsi="Aptos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Proteus mirabilis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plasmid JQ776508 - Very low Mash distances (0.0014–0.0038) indicate these plasmids are closely related across all 3 samples, suggesting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 plasmid lineage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circulating across farms - barcode09 also carries a second plasmid (cluster AD087, MOBP relaxase) with closest match to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Salmonella enterica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(CP039608) — this plasmid does not carry detected AMR genes</w:t>
      </w:r>
    </w:p>
    <w:p w:rsidR="00000000" w:rsidDel="00000000" w:rsidP="00000000" w:rsidRDefault="00000000" w:rsidRPr="00000000" w14:paraId="000000EE">
      <w:pPr>
        <w:pStyle w:val="Heading3"/>
        <w:rPr/>
      </w:pPr>
      <w:r w:rsidDel="00000000" w:rsidR="00000000" w:rsidRPr="00000000">
        <w:rPr>
          <w:rtl w:val="0"/>
        </w:rPr>
        <w:t xml:space="preserve">4.3 Interpretation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co-occurrence of qnrD/qnrD1 on nearly identical Col3M plasmids across pig and poultry farms in different oblasts points to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horizontal gene transfer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a likely dissemination mechanism. Col3M plasmids are mobilizable and can transfer between species within the gut microbiome, enabling quinolone resistance spread through farm wastewater environments.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r w:rsidDel="00000000" w:rsidR="00000000" w:rsidRPr="00000000">
        <w:rPr>
          <w:rtl w:val="0"/>
        </w:rPr>
        <w:t xml:space="preserve">5. Farm-Level Summary</w:t>
      </w:r>
    </w:p>
    <w:tbl>
      <w:tblPr>
        <w:tblStyle w:val="Table9"/>
        <w:tblW w:w="10890.0" w:type="dxa"/>
        <w:jc w:val="left"/>
        <w:tblInd w:w="-108.0" w:type="dxa"/>
        <w:tblLayout w:type="fixed"/>
        <w:tblLook w:val="0020"/>
      </w:tblPr>
      <w:tblGrid>
        <w:gridCol w:w="840"/>
        <w:gridCol w:w="810"/>
        <w:gridCol w:w="1110"/>
        <w:gridCol w:w="2340"/>
        <w:gridCol w:w="1515"/>
        <w:gridCol w:w="2220"/>
        <w:gridCol w:w="2055"/>
        <w:tblGridChange w:id="0">
          <w:tblGrid>
            <w:gridCol w:w="840"/>
            <w:gridCol w:w="810"/>
            <w:gridCol w:w="1110"/>
            <w:gridCol w:w="2340"/>
            <w:gridCol w:w="1515"/>
            <w:gridCol w:w="2220"/>
            <w:gridCol w:w="205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Farm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Oblast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Samples Analyzed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AMR Genes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Priority Genes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Plasmid-Borne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poultry #3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Poultry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Kyiv Oblast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pig #2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Pig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Kyiv Oblast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pig #5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Pig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Chernivtsi Oblast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Poultry #3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has 2 samples (Native and Enriched), but AMR was only detected in the Native sample (barcode07). The absence of qnrD1 in the Enriched sample (barcode08) may reflect: - Stochastic assembly differences in low-biomass samples - Enrichment conditions that did not select for quinolone-resistant organisms - Insufficient sequencing depth in the enriched sample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r w:rsidDel="00000000" w:rsidR="00000000" w:rsidRPr="00000000">
        <w:rPr>
          <w:rtl w:val="0"/>
        </w:rPr>
        <w:t xml:space="preserve">6. Priority Findings</w:t>
      </w:r>
    </w:p>
    <w:p w:rsidR="00000000" w:rsidDel="00000000" w:rsidP="00000000" w:rsidRDefault="00000000" w:rsidRPr="00000000" w14:paraId="00000111">
      <w:pPr>
        <w:pStyle w:val="Heading3"/>
        <w:rPr/>
      </w:pPr>
      <w:r w:rsidDel="00000000" w:rsidR="00000000" w:rsidRPr="00000000">
        <w:rPr>
          <w:rtl w:val="0"/>
        </w:rPr>
        <w:t xml:space="preserve">6.1 High-Priority AMR Categories</w:t>
      </w:r>
    </w:p>
    <w:tbl>
      <w:tblPr>
        <w:tblStyle w:val="Table10"/>
        <w:tblW w:w="9330.0" w:type="dxa"/>
        <w:jc w:val="left"/>
        <w:tblInd w:w="-108.0" w:type="dxa"/>
        <w:tblLayout w:type="fixed"/>
        <w:tblLook w:val="0020"/>
      </w:tblPr>
      <w:tblGrid>
        <w:gridCol w:w="3465"/>
        <w:gridCol w:w="2760"/>
        <w:gridCol w:w="3105"/>
        <w:tblGridChange w:id="0">
          <w:tblGrid>
            <w:gridCol w:w="3465"/>
            <w:gridCol w:w="2760"/>
            <w:gridCol w:w="310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ESBL genes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detected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bla-prefix genes found in any sample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Colistin resistance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detected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mcr or other colistin resistance genes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Carbapenemases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detected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carbapenemase genes (KPC, NDM, OXA-48, VIM, IMP)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Quinolone resistance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Detected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qnrD/qnrD1 in 3 of 4 samples, all plasmid-borne</w:t>
            </w:r>
          </w:p>
        </w:tc>
      </w:tr>
    </w:tbl>
    <w:p w:rsidR="00000000" w:rsidDel="00000000" w:rsidP="00000000" w:rsidRDefault="00000000" w:rsidRPr="00000000" w14:paraId="00000121">
      <w:pPr>
        <w:pStyle w:val="Heading3"/>
        <w:rPr/>
      </w:pPr>
      <w:r w:rsidDel="00000000" w:rsidR="00000000" w:rsidRPr="00000000">
        <w:rPr>
          <w:rtl w:val="0"/>
        </w:rPr>
        <w:t xml:space="preserve">6.2 Quinolone Resistance — qnrD/qnrD1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Clinical significance: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qnrD genes encode pentapeptide repeat proteins that protect DNA gyrase and topoisomerase IV from quinolone antibiotics (ciprofloxacin, levofloxacin, norfloxacin). While qnrD alone confers low-level resistance, it can: - Facilitate selection of higher-level resistance mutations - Act synergistically with other resistance mechanisms - Spread horizontally via plasmid transfer between species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health relevance: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Quinolones are critically important antimicrobials (WHO classification) used widely in both human medicine and veterinary practice. Detection of plasmid-mediated quinolone resistance in farm wastewater indicates a reservoir for resistance dissemination into the environment.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r w:rsidDel="00000000" w:rsidR="00000000" w:rsidRPr="00000000">
        <w:rPr>
          <w:rtl w:val="0"/>
        </w:rPr>
        <w:t xml:space="preserve">7. Comparison with Read-Level AMR Analysis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main bio-phagent pipeline detected AMR using ResFinder on raw reads (EPI2ME wf-metagenomics). Here is a comparison for the same 4 barcodes:</w:t>
      </w:r>
    </w:p>
    <w:tbl>
      <w:tblPr>
        <w:tblStyle w:val="Table11"/>
        <w:tblW w:w="9165.0" w:type="dxa"/>
        <w:jc w:val="left"/>
        <w:tblInd w:w="-108.0" w:type="dxa"/>
        <w:tblLayout w:type="fixed"/>
        <w:tblLook w:val="0020"/>
      </w:tblPr>
      <w:tblGrid>
        <w:gridCol w:w="1215"/>
        <w:gridCol w:w="3360"/>
        <w:gridCol w:w="4590"/>
        <w:tblGridChange w:id="0">
          <w:tblGrid>
            <w:gridCol w:w="1215"/>
            <w:gridCol w:w="3360"/>
            <w:gridCol w:w="459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Read-Level (ResFinder)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Contig-Level (AMRFinderPlus)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Screen individual reads against ResFinder DB</w:t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Annotate assembled contigs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Evidence strength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Single-read support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Contig-backed, multi-read consensus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Plasmid context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available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MOB-suite classification per contig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Sensitivity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Higher — detects genes from unassembled reads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Lower — requires successful assembly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Specificity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Lower — individual reads may be chimeric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Higher — contigs represent validated sequences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 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Many (broad screening)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Few (high-confidence only)</w:t>
            </w:r>
          </w:p>
        </w:tc>
      </w:tr>
    </w:tbl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Complementary use: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read-level approach provides broad AMR screening across all samples, while the assembly-based approach provides high-confidence, evidence-backed findings with genomic context. Both approaches are valuable and should be interpreted together.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/>
      </w:pPr>
      <w:r w:rsidDel="00000000" w:rsidR="00000000" w:rsidRPr="00000000">
        <w:rPr>
          <w:rtl w:val="0"/>
        </w:rPr>
        <w:t xml:space="preserve">8. Limitations and Caveats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Partial sample coverage:</w:t>
      </w:r>
      <w:r w:rsidDel="00000000" w:rsidR="00000000" w:rsidRPr="00000000">
        <w:rPr>
          <w:rtl w:val="0"/>
        </w:rPr>
        <w:t xml:space="preserve"> Only 4 of 24 barcodes (note: 23 barcodes, barcode06 is missed) have been analyzed. Findings cannot be generalized to all farms without processing the remaining 20 samples.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Small assembly sizes:</w:t>
      </w:r>
      <w:r w:rsidDel="00000000" w:rsidR="00000000" w:rsidRPr="00000000">
        <w:rPr>
          <w:rtl w:val="0"/>
        </w:rPr>
        <w:t xml:space="preserve"> Assemblies range from 5.6–108 KB, far smaller than typical metagenomes. This reflects the low-biomass nature of the samples and means many organisms and AMR genes present in the community may not have assembled.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Assembly bias:</w:t>
      </w:r>
      <w:r w:rsidDel="00000000" w:rsidR="00000000" w:rsidRPr="00000000">
        <w:rPr>
          <w:rtl w:val="0"/>
        </w:rPr>
        <w:t xml:space="preserve"> Metagenome assembly from nanopore data favors high-abundance organisms. Rare AMR-carrying organisms may be missed entirely.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Single detection method:</w:t>
      </w:r>
      <w:r w:rsidDel="00000000" w:rsidR="00000000" w:rsidRPr="00000000">
        <w:rPr>
          <w:rtl w:val="0"/>
        </w:rPr>
        <w:t xml:space="preserve"> AMRFinderPlus was used in nucleotide mode only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-n</w:t>
      </w:r>
      <w:r w:rsidDel="00000000" w:rsidR="00000000" w:rsidRPr="00000000">
        <w:rPr>
          <w:rtl w:val="0"/>
        </w:rPr>
        <w:t xml:space="preserve">). Running in protein mode (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-p</w:t>
      </w:r>
      <w:r w:rsidDel="00000000" w:rsidR="00000000" w:rsidRPr="00000000">
        <w:rPr>
          <w:rtl w:val="0"/>
        </w:rPr>
        <w:t xml:space="preserve">) on translated ORFs could detect additional divergent AMR genes not captured by nucleotide search.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PlasmidFinder:</w:t>
      </w:r>
      <w:r w:rsidDel="00000000" w:rsidR="00000000" w:rsidRPr="00000000">
        <w:rPr>
          <w:rtl w:val="0"/>
        </w:rPr>
        <w:t xml:space="preserve"> PlasmidFinder was not run as an additional replicon detection tool. MOB-suite’s built-in replicon database was used instead, which covers most known replicon types but may miss novel ones.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Partial gene in barcode09:</w:t>
      </w:r>
      <w:r w:rsidDel="00000000" w:rsidR="00000000" w:rsidRPr="00000000">
        <w:rPr>
          <w:rtl w:val="0"/>
        </w:rPr>
        <w:t xml:space="preserve"> The qnrD detection in barcode09 shows only 83.64% coverage, indicating the gene may be truncated at a contig boundary. This could represent a fragmented assembly rather than a truly partial gene.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Temporal snapshot:</w:t>
      </w:r>
      <w:r w:rsidDel="00000000" w:rsidR="00000000" w:rsidRPr="00000000">
        <w:rPr>
          <w:rtl w:val="0"/>
        </w:rPr>
        <w:t xml:space="preserve"> All samples were collected in JAN-FEB 2025. AMR profiles may vary seasonally.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r w:rsidDel="00000000" w:rsidR="00000000" w:rsidRPr="00000000">
        <w:rPr>
          <w:rtl w:val="0"/>
        </w:rPr>
        <w:t xml:space="preserve">9. Methods Summary</w:t>
      </w:r>
    </w:p>
    <w:p w:rsidR="00000000" w:rsidDel="00000000" w:rsidP="00000000" w:rsidRDefault="00000000" w:rsidRPr="00000000" w14:paraId="00000148">
      <w:pPr>
        <w:pStyle w:val="Heading3"/>
        <w:rPr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Raw FASTQ (Nanopore) → metaFlye (--meta) → Medaka (r1041_e82_400bps_sup_v5.2.0)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→ AMRFinderPlus (-n, nucleotide mode)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→ MOB-suite (mob_recon)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→ Merge (AMR + MOB + farm metadata)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→ Report (priority findings, sample/farm summaries)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rPr/>
      </w:pPr>
      <w:r w:rsidDel="00000000" w:rsidR="00000000" w:rsidRPr="00000000">
        <w:rPr>
          <w:rtl w:val="0"/>
        </w:rPr>
        <w:t xml:space="preserve">Priority Classification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AMR genes were flagged as priority if their resistance class matched: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BETA-LACTAM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CARBAPENEM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COLISTIN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QUINOLONE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ESBL genes were additionally flagged by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prefix in the gene symbol. Plasmid association was determined by MOB-suite molecule_type classification.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r w:rsidDel="00000000" w:rsidR="00000000" w:rsidRPr="00000000">
        <w:rPr>
          <w:rtl w:val="0"/>
        </w:rPr>
        <w:t xml:space="preserve">Appendix: Output Files</w:t>
      </w:r>
    </w:p>
    <w:tbl>
      <w:tblPr>
        <w:tblStyle w:val="Table12"/>
        <w:tblW w:w="9015.0" w:type="dxa"/>
        <w:jc w:val="left"/>
        <w:tblInd w:w="-108.0" w:type="dxa"/>
        <w:tblLayout w:type="fixed"/>
        <w:tblLook w:val="0020"/>
      </w:tblPr>
      <w:tblGrid>
        <w:gridCol w:w="2745"/>
        <w:gridCol w:w="6270"/>
        <w:tblGridChange w:id="0">
          <w:tblGrid>
            <w:gridCol w:w="2745"/>
            <w:gridCol w:w="627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File</w:t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results/merged/all_samples_amr_annotated.tsv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Combined annotated AMR table (3 rows)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results/merged/barcode{XX}_amr_annotated.tsv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Per-barcode annotated tables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results/reports/amr_summary_by_sample.csv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Per-sample AMR summary (4 rows)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results/reports/priority_findings.csv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Priority AMR findings (3 rows)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results/reports/cross_sample_summary.csv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Gene-centric cross-sample view (2 rows)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results/reports/farm_level_summary.csv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Farm-level aggregation (3 rows)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TSV/barcode{XX}_amr.tsv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Raw AMRFinderPlus output per barcode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mob_results.zip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MOB-suite contig classification per barcode</w:t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EtUffgTSC3kbyeBqItZXzZ8oRmA2eZl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3GZzFYFq+iGjKQRA8n6kC7Cqnw==">CgMxLjAyDmguM3FubDQ1aHJ5NHgzOAByITE2YlB3YkVDWUdvSWhialg1a3FCbGNaZ0VhMXhBeTkzQQ==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2026-03-31T23:15:28Z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