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Розрахунок розміру вибірки для A/B-тесту</w:t>
      </w:r>
    </w:p>
    <w:p>
      <w:r>
        <w:rPr>
          <w:i/>
        </w:rPr>
        <w:t>MelodyFlow — функція «Розумні рекомендації плейлистів»</w:t>
      </w:r>
    </w:p>
    <w:p>
      <w:r>
        <w:rPr>
          <w:i w:val="0"/>
        </w:rPr>
        <w:t>Moiseyenko Svitlana. Курс: Product Analytics (GoIT), домашнє завдання 5.</w:t>
      </w:r>
    </w:p>
    <w:p>
      <w:pPr>
        <w:pStyle w:val="Heading1"/>
      </w:pPr>
      <w:r>
        <w:t>Короткий результат</w:t>
      </w:r>
    </w:p>
    <w:p>
      <w:r>
        <w:rPr>
          <w:i w:val="0"/>
        </w:rPr>
        <w:t>Для перевірки гіпотези про зростання 7-денного утримання з 41% до щонайменше 43% (MDE = 2 в. п.) при α = 0,05 та потужності 80% у двосторонньому z-тесті для двох часток потрібно 9 559 користувачів у кожній групі, тобто 19 118 користувачів загалом.</w:t>
      </w:r>
    </w:p>
    <w:p>
      <w:pPr>
        <w:pStyle w:val="Heading1"/>
      </w:pPr>
      <w:r>
        <w:t>1. Гіпотеза та метрика</w:t>
      </w:r>
    </w:p>
    <w:p>
      <w:r>
        <w:rPr>
          <w:b/>
        </w:rPr>
        <w:t xml:space="preserve">Продуктова гіпотеза. </w:t>
      </w:r>
      <w:r>
        <w:rPr>
          <w:i w:val="0"/>
        </w:rPr>
        <w:t>Запровадження функції «Розумні рекомендації плейлистів» збільшить показник утримання на 7-й день.</w:t>
      </w:r>
    </w:p>
    <w:p>
      <w:r>
        <w:rPr>
          <w:b/>
        </w:rPr>
        <w:t xml:space="preserve">Метрика: </w:t>
      </w:r>
      <w:r>
        <w:rPr>
          <w:i w:val="0"/>
        </w:rPr>
        <w:t>утримання на 7-й день (7-day retention) — частка користувачів групи, які повернулися в застосунок на 7-й день після потрапляння в тест. Для кожного користувача результат має лише два значення (повернувся / не повернувся), тому метрика біноміальна.</w:t>
      </w:r>
    </w:p>
    <w:p>
      <w:r>
        <w:rPr>
          <w:i w:val="0"/>
        </w:rPr>
        <w:t>Статистичні гіпотези:</w:t>
      </w:r>
    </w:p>
    <w:p>
      <w:pPr>
        <w:pStyle w:val="ListBullet"/>
      </w:pPr>
      <w:r>
        <w:rPr>
          <w:b/>
        </w:rPr>
        <w:t xml:space="preserve">H₀: </w:t>
      </w:r>
      <w:r>
        <w:rPr>
          <w:i w:val="0"/>
        </w:rPr>
        <w:t>p_B = p_A — утримання в тестовій групі не відрізняється від контрольної.</w:t>
      </w:r>
    </w:p>
    <w:p>
      <w:pPr>
        <w:pStyle w:val="ListBullet"/>
      </w:pPr>
      <w:r>
        <w:rPr>
          <w:b/>
        </w:rPr>
        <w:t xml:space="preserve">H₁: </w:t>
      </w:r>
      <w:r>
        <w:rPr>
          <w:i w:val="0"/>
        </w:rPr>
        <w:t>p_B ≠ p_A — утримання в групах відрізняється.</w:t>
      </w:r>
    </w:p>
    <w:p>
      <w:r>
        <w:rPr>
          <w:i w:val="0"/>
        </w:rPr>
        <w:t>Одиниця рандомізації — користувач. Групи A (без функції) та B (з функцією) формуються випадково у пропорції 50/50, користувач залишається у своїй групі на весь час тесту.</w:t>
      </w:r>
    </w:p>
    <w:p>
      <w:pPr>
        <w:pStyle w:val="Heading1"/>
      </w:pPr>
      <w:r>
        <w:t>2. Параметри тесту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DCE6F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2551"/>
            <w:shd w:val="clear" w:color="auto" w:fill="DCE6F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Значення</w:t>
            </w:r>
          </w:p>
        </w:tc>
        <w:tc>
          <w:tcPr>
            <w:tcW w:type="dxa" w:w="4535"/>
            <w:shd w:val="clear" w:color="auto" w:fill="DCE6F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Обґрунтування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Базовий рівень p₁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41%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Поточне 7-денне утримання (з умови).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MDE (мінімальний ефект)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2 в. п. абсолютних: 41% → 43% (≈ +4,9% відносно)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Менший приріст навряд чи окупить розробку та підтримку ШІ-рекомендацій; більший MDE означав би ризик не помітити реальний, але помірний ефект.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Рівень значущості α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0,05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Стандартний поріг: 5% ризик хибно визнати функцію ефективною (помилка I роду).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Статистична сила 1 − β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0,80 (β = 0,20)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Стандартний рівень: 80% шанс виявити ефект, якщо він не менший за MDE.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Розподіл груп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sz w:val="20"/>
              </w:rPr>
              <w:t>50/50</w:t>
            </w:r>
          </w:p>
        </w:tc>
        <w:tc>
          <w:tcPr>
            <w:tcW w:type="dxa" w:w="4535"/>
          </w:tcPr>
          <w:p>
            <w:pPr>
              <w:spacing w:after="40"/>
            </w:pPr>
            <w:r/>
            <w:r>
              <w:rPr>
                <w:sz w:val="20"/>
              </w:rPr>
              <w:t>Рівні групи дають мінімальну сумарну вибірку.</w:t>
            </w:r>
          </w:p>
        </w:tc>
      </w:tr>
    </w:tbl>
    <w:p/>
    <w:p>
      <w:pPr>
        <w:pStyle w:val="Heading1"/>
      </w:pPr>
      <w:r>
        <w:t>3. Тип тесту</w:t>
      </w:r>
    </w:p>
    <w:p>
      <w:r>
        <w:rPr>
          <w:i w:val="0"/>
        </w:rPr>
        <w:t>Двовибірковий z-тест для різниці двох часток (еквівалент критерію χ² для таблиці 2×2), двосторонній.</w:t>
      </w:r>
    </w:p>
    <w:p>
      <w:pPr>
        <w:pStyle w:val="ListBullet"/>
      </w:pPr>
      <w:r>
        <w:rPr>
          <w:i w:val="0"/>
        </w:rPr>
        <w:t>Метрика біноміальна, групи незалежні, вибірки великі — нормальне наближення коректне.</w:t>
      </w:r>
    </w:p>
    <w:p>
      <w:pPr>
        <w:pStyle w:val="ListBullet"/>
      </w:pPr>
      <w:r>
        <w:rPr>
          <w:i w:val="0"/>
        </w:rPr>
        <w:t>Гіпотеза передбачає зростання, але тест двосторонній: нова функція може й погіршити утримання (наприклад, невдалі рекомендації), і таку шкоду теж потрібно вміти виявити. Двосторонній тест — консервативніший вибір.</w:t>
      </w:r>
    </w:p>
    <w:p>
      <w:pPr>
        <w:pStyle w:val="Heading1"/>
      </w:pPr>
      <w:r>
        <w:t>4. Розрахунок</w:t>
      </w:r>
    </w:p>
    <w:p>
      <w:r>
        <w:rPr>
          <w:i w:val="0"/>
        </w:rPr>
        <w:t>Формула розміру вибірки на одну групу для порівняння двох часток:</w:t>
      </w:r>
    </w:p>
    <w:p>
      <w:pPr>
        <w:ind w:left="567"/>
      </w:pPr>
      <w:r>
        <w:rPr>
          <w:rFonts w:ascii="Cambria Math" w:hAnsi="Cambria Math"/>
          <w:sz w:val="23"/>
        </w:rPr>
        <w:t>n = ( z₁₋α/₂ · √(2·p̄·(1 − p̄)) + z₁₋β · √(p₁(1 − p₁) + p₂(1 − p₂)) )² / (p₂ − p₁)²</w:t>
      </w:r>
    </w:p>
    <w:p>
      <w:r>
        <w:rPr>
          <w:i w:val="0"/>
        </w:rPr>
        <w:t>де p₁ = 0,41; p₂ = p₁ + MDE = 0,43; p̄ = (p₁ + p₂) / 2 = 0,42; z₁₋α/₂ = 1,960 (α = 0,05, двосторонній); z₁₋β = 0,842 (сила 80%).</w:t>
      </w:r>
    </w:p>
    <w:p>
      <w:r>
        <w:rPr>
          <w:i w:val="0"/>
        </w:rPr>
        <w:t>Покроково:</w:t>
      </w:r>
    </w:p>
    <w:p>
      <w:pPr>
        <w:pStyle w:val="ListNumber"/>
      </w:pPr>
      <w:r>
        <w:t>2·p̄·(1 − p̄) = 2 · 0,42 · 0,58 = 0,4872;  √0,4872 = 0,6980</w:t>
      </w:r>
    </w:p>
    <w:p>
      <w:pPr>
        <w:pStyle w:val="ListNumber"/>
      </w:pPr>
      <w:r>
        <w:t>p₁(1 − p₁) + p₂(1 − p₂) = 0,41 · 0,59 + 0,43 · 0,57 = 0,2419 + 0,2451 = 0,4870;  √0,4870 = 0,6979</w:t>
      </w:r>
    </w:p>
    <w:p>
      <w:pPr>
        <w:pStyle w:val="ListNumber"/>
      </w:pPr>
      <w:r>
        <w:t>z₁₋α/₂ · 0,6980 = 1,960 · 0,6980 = 1,3680</w:t>
      </w:r>
    </w:p>
    <w:p>
      <w:pPr>
        <w:pStyle w:val="ListNumber"/>
      </w:pPr>
      <w:r>
        <w:t>z₁₋β · 0,6979 = 0,842 · 0,6979 = 0,5873</w:t>
      </w:r>
    </w:p>
    <w:p>
      <w:pPr>
        <w:pStyle w:val="ListNumber"/>
      </w:pPr>
      <w:r>
        <w:t>чисельник: (1,3680 + 0,5873)² = 1,9554² = 3,8235</w:t>
      </w:r>
    </w:p>
    <w:p>
      <w:pPr>
        <w:pStyle w:val="ListNumber"/>
      </w:pPr>
      <w:r>
        <w:t>знаменник: (0,43 − 0,41)² = 0,02² = 0,0004</w:t>
      </w:r>
    </w:p>
    <w:p>
      <w:pPr>
        <w:pStyle w:val="ListNumber"/>
      </w:pPr>
      <w:r>
        <w:t>n = 3,8235 / 0,0004 ≈ 9558,8 → округлюємо вгору: 9 559</w:t>
      </w:r>
    </w:p>
    <w:p>
      <w:r>
        <w:rPr>
          <w:b/>
        </w:rPr>
        <w:t xml:space="preserve">Результат: </w:t>
      </w:r>
      <w:r>
        <w:rPr>
          <w:i w:val="0"/>
        </w:rPr>
        <w:t>n = 9 559 користувачів на групу; разом 2 · 9 559 = 19 118 користувачів.</w:t>
      </w:r>
    </w:p>
    <w:p>
      <w:r>
        <w:rPr>
          <w:i/>
        </w:rPr>
        <w:t>Проміжні значення показано з округленням до 4 знаків; обчислення виконано без округлення. Спрощена формула n = (z₁₋α/₂ + z₁₋β)² · (p₁(1 − p₁) + p₂(1 − p₂)) / (p₂ − p₁)² дає практично те саме: 9 557.</w:t>
      </w:r>
    </w:p>
    <w:p>
      <w:pPr>
        <w:pStyle w:val="Heading2"/>
      </w:pPr>
      <w:r>
        <w:t>Як повторити (Python)</w:t>
      </w:r>
    </w:p>
    <w:p>
      <w:pPr>
        <w:spacing w:after="0"/>
        <w:ind w:left="340"/>
      </w:pPr>
      <w:r>
        <w:rPr>
          <w:rFonts w:ascii="Courier New" w:hAnsi="Courier New"/>
          <w:sz w:val="19"/>
        </w:rPr>
        <w:t>from math import sqrt, ceil</w:t>
      </w:r>
    </w:p>
    <w:p>
      <w:pPr>
        <w:spacing w:after="0"/>
        <w:ind w:left="340"/>
      </w:pPr>
      <w:r>
        <w:rPr>
          <w:rFonts w:ascii="Courier New" w:hAnsi="Courier New"/>
          <w:sz w:val="19"/>
        </w:rPr>
        <w:t>from scipy.stats import norm</w:t>
      </w:r>
    </w:p>
    <w:p>
      <w:pPr>
        <w:spacing w:after="0"/>
        <w:ind w:left="340"/>
      </w:pPr>
      <w:r>
        <w:rPr>
          <w:rFonts w:ascii="Courier New" w:hAnsi="Courier New"/>
          <w:sz w:val="19"/>
        </w:rPr>
      </w:r>
    </w:p>
    <w:p>
      <w:pPr>
        <w:spacing w:after="0"/>
        <w:ind w:left="340"/>
      </w:pPr>
      <w:r>
        <w:rPr>
          <w:rFonts w:ascii="Courier New" w:hAnsi="Courier New"/>
          <w:sz w:val="19"/>
        </w:rPr>
        <w:t>p1, mde, alpha, power = 0.41, 0.02, 0.05, 0.80</w:t>
      </w:r>
    </w:p>
    <w:p>
      <w:pPr>
        <w:spacing w:after="0"/>
        <w:ind w:left="340"/>
      </w:pPr>
      <w:r>
        <w:rPr>
          <w:rFonts w:ascii="Courier New" w:hAnsi="Courier New"/>
          <w:sz w:val="19"/>
        </w:rPr>
        <w:t>p2 = p1 + mde</w:t>
      </w:r>
    </w:p>
    <w:p>
      <w:pPr>
        <w:spacing w:after="0"/>
        <w:ind w:left="340"/>
      </w:pPr>
      <w:r>
        <w:rPr>
          <w:rFonts w:ascii="Courier New" w:hAnsi="Courier New"/>
          <w:sz w:val="19"/>
        </w:rPr>
        <w:t>pb = (p1 + p2) / 2</w:t>
      </w:r>
    </w:p>
    <w:p>
      <w:pPr>
        <w:spacing w:after="0"/>
        <w:ind w:left="340"/>
      </w:pPr>
      <w:r>
        <w:rPr>
          <w:rFonts w:ascii="Courier New" w:hAnsi="Courier New"/>
          <w:sz w:val="19"/>
        </w:rPr>
        <w:t>za, zb = norm.ppf(1 - alpha / 2), norm.ppf(power)</w:t>
      </w:r>
    </w:p>
    <w:p>
      <w:pPr>
        <w:spacing w:after="0"/>
        <w:ind w:left="340"/>
      </w:pPr>
      <w:r>
        <w:rPr>
          <w:rFonts w:ascii="Courier New" w:hAnsi="Courier New"/>
          <w:sz w:val="19"/>
        </w:rPr>
        <w:t>n = (za * sqrt(2 * pb * (1 - pb)) + zb * sqrt(p1 * (1 - p1) + p2 * (1 - p2))) ** 2 / mde ** 2</w:t>
      </w:r>
    </w:p>
    <w:p>
      <w:pPr>
        <w:spacing w:after="0"/>
        <w:ind w:left="340"/>
      </w:pPr>
      <w:r>
        <w:rPr>
          <w:rFonts w:ascii="Courier New" w:hAnsi="Courier New"/>
          <w:sz w:val="19"/>
        </w:rPr>
        <w:t>print(ceil(n))  # 9559</w:t>
      </w:r>
    </w:p>
    <w:p/>
    <w:p>
      <w:pPr>
        <w:pStyle w:val="Heading1"/>
      </w:pPr>
      <w:r>
        <w:t>5. Чутливість до вибору MDE</w:t>
      </w:r>
    </w:p>
    <w:p>
      <w:r>
        <w:rPr>
          <w:i w:val="0"/>
        </w:rPr>
        <w:t>Розмір вибірки обернено пропорційний квадрату MDE, тому вибір MDE — найвпливовіше рішення. Розрахунок за тією самою формулою (α = 0,05, сила 80%, двосторонній тест):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color="auto" w:fill="DCE6F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MDE (абс.)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Очікуване утримання в B</w:t>
            </w:r>
          </w:p>
        </w:tc>
        <w:tc>
          <w:tcPr>
            <w:tcW w:type="dxa" w:w="1814"/>
            <w:shd w:val="clear" w:color="auto" w:fill="DCE6F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Відносний приріст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На групу</w:t>
            </w:r>
          </w:p>
        </w:tc>
        <w:tc>
          <w:tcPr>
            <w:tcW w:type="dxa" w:w="1701"/>
            <w:shd w:val="clear" w:color="auto" w:fill="DCE6F1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Разом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1 в. п.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42%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+2,4%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38 110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76 220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1,5 в. п.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42,5%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+3,7%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16 966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33 932</w:t>
            </w:r>
          </w:p>
        </w:tc>
      </w:tr>
      <w:tr>
        <w:tc>
          <w:tcPr>
            <w:tcW w:type="dxa" w:w="1587"/>
            <w:shd w:val="clear" w:color="auto" w:fill="FFF2CC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 в. п.</w:t>
            </w:r>
          </w:p>
        </w:tc>
        <w:tc>
          <w:tcPr>
            <w:tcW w:type="dxa" w:w="2268"/>
            <w:shd w:val="clear" w:color="auto" w:fill="FFF2CC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43%</w:t>
            </w:r>
          </w:p>
        </w:tc>
        <w:tc>
          <w:tcPr>
            <w:tcW w:type="dxa" w:w="1814"/>
            <w:shd w:val="clear" w:color="auto" w:fill="FFF2CC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+4,9%</w:t>
            </w:r>
          </w:p>
        </w:tc>
        <w:tc>
          <w:tcPr>
            <w:tcW w:type="dxa" w:w="1701"/>
            <w:shd w:val="clear" w:color="auto" w:fill="FFF2CC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9 559</w:t>
            </w:r>
          </w:p>
        </w:tc>
        <w:tc>
          <w:tcPr>
            <w:tcW w:type="dxa" w:w="1701"/>
            <w:shd w:val="clear" w:color="auto" w:fill="FFF2CC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19 118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3 в. п.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44%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+7,3%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4 262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8 524</w:t>
            </w:r>
          </w:p>
        </w:tc>
      </w:tr>
      <w:tr>
        <w:tc>
          <w:tcPr>
            <w:tcW w:type="dxa" w:w="1587"/>
          </w:tcPr>
          <w:p>
            <w:pPr>
              <w:spacing w:after="40"/>
            </w:pPr>
            <w:r/>
            <w:r>
              <w:rPr>
                <w:sz w:val="20"/>
              </w:rPr>
              <w:t>5 в. п.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sz w:val="20"/>
              </w:rPr>
              <w:t>46%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sz w:val="20"/>
              </w:rPr>
              <w:t>+12,2%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1 543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sz w:val="20"/>
              </w:rPr>
              <w:t>3 086</w:t>
            </w:r>
          </w:p>
        </w:tc>
      </w:tr>
    </w:tbl>
    <w:p/>
    <w:p>
      <w:r>
        <w:rPr>
          <w:i/>
        </w:rPr>
        <w:t>Для довідки: односторонній тест (H₁: p_B &gt; p_A) при MDE = 2 в. п. потребував би 7 530 користувачів на групу.</w:t>
      </w:r>
    </w:p>
    <w:p>
      <w:pPr>
        <w:pStyle w:val="Heading1"/>
      </w:pPr>
      <w:r>
        <w:t>6. Чи вистачить аудиторії та скільки триватиме тест</w:t>
      </w:r>
    </w:p>
    <w:p>
      <w:pPr>
        <w:pStyle w:val="ListBullet"/>
      </w:pPr>
      <w:r>
        <w:rPr>
          <w:b/>
        </w:rPr>
        <w:t xml:space="preserve">DAU: </w:t>
      </w:r>
      <w:r>
        <w:rPr>
          <w:i w:val="0"/>
        </w:rPr>
        <w:t>20% від 1 000 000 = 200 000 користувачів на день.</w:t>
      </w:r>
    </w:p>
    <w:p>
      <w:pPr>
        <w:pStyle w:val="ListBullet"/>
      </w:pPr>
      <w:r>
        <w:rPr>
          <w:b/>
        </w:rPr>
        <w:t xml:space="preserve">Потреба: </w:t>
      </w:r>
      <w:r>
        <w:rPr>
          <w:i w:val="0"/>
        </w:rPr>
        <w:t>19 118 користувачів — це ≈ 1,9% усієї бази та ≈ 9,6% денної аудиторії. Трафіку більш ніж достатньо, тест можна провести на невеликій частці користувачів і не ризикувати всією базою.</w:t>
      </w:r>
    </w:p>
    <w:p>
      <w:pPr>
        <w:pStyle w:val="ListBullet"/>
      </w:pPr>
      <w:r>
        <w:rPr>
          <w:b/>
        </w:rPr>
        <w:t xml:space="preserve">Тривалість: </w:t>
      </w:r>
      <w:r>
        <w:rPr>
          <w:i w:val="0"/>
        </w:rPr>
        <w:t>хоча формально вибірку можна набрати за один день, варто набирати користувачів упродовж 7 днів, щоб охопити повний тижневий цикл (будні та вихідні слухають музику по-різному), і ще 7 днів спостерігати за останніми залученими для вимірювання 7-денного утримання. Разом ≈ 14 днів.</w:t>
      </w:r>
    </w:p>
    <w:p>
      <w:pPr>
        <w:pStyle w:val="ListBullet"/>
      </w:pPr>
      <w:r>
        <w:rPr>
          <w:b/>
        </w:rPr>
        <w:t xml:space="preserve">Сегменти: </w:t>
      </w:r>
      <w:r>
        <w:rPr>
          <w:i w:val="0"/>
        </w:rPr>
        <w:t>у базі 60% безкоштовних і 40% преміум-користувачів; рандомізація має зберігати цю пропорцію в обох групах (стратифікація за типом підписки). Якщо потрібні окремі висновки для кожного сегмента, по 9 559 користувачів на групу потрібно в кожному сегменті.</w:t>
      </w:r>
    </w:p>
    <w:p>
      <w:pPr>
        <w:pStyle w:val="ListBullet"/>
      </w:pPr>
      <w:r>
        <w:rPr>
          <w:b/>
        </w:rPr>
        <w:t xml:space="preserve">Дисципліна тесту: </w:t>
      </w:r>
      <w:r>
        <w:rPr>
          <w:i w:val="0"/>
        </w:rPr>
        <w:t>розмір вибірки та тривалість фіксуються до старту; результат оцінюється один раз після завершення, без дострокової зупинки за проміжними p-value.</w:t>
      </w:r>
    </w:p>
    <w:p>
      <w:pPr>
        <w:pStyle w:val="Heading1"/>
      </w:pPr>
      <w:r>
        <w:t>7. Висновки</w:t>
      </w:r>
    </w:p>
    <w:p>
      <w:pPr>
        <w:pStyle w:val="ListBullet"/>
      </w:pPr>
      <w:r>
        <w:rPr>
          <w:i w:val="0"/>
        </w:rPr>
        <w:t>Метрика — 7-денне утримання (біноміальна), базовий рівень 41%.</w:t>
      </w:r>
    </w:p>
    <w:p>
      <w:pPr>
        <w:pStyle w:val="ListBullet"/>
      </w:pPr>
      <w:r>
        <w:rPr>
          <w:i w:val="0"/>
        </w:rPr>
        <w:t>MDE = 2 в. п. (41% → 43%), α = 0,05, статистична сила 80%.</w:t>
      </w:r>
    </w:p>
    <w:p>
      <w:pPr>
        <w:pStyle w:val="ListBullet"/>
      </w:pPr>
      <w:r>
        <w:rPr>
          <w:i w:val="0"/>
        </w:rPr>
        <w:t>Тип тесту — двосторонній z-тест для різниці двох часток, групи 50/50.</w:t>
      </w:r>
    </w:p>
    <w:p>
      <w:pPr>
        <w:pStyle w:val="ListBullet"/>
      </w:pPr>
      <w:r>
        <w:rPr>
          <w:i w:val="0"/>
        </w:rPr>
        <w:t>Необхідна вибірка: 9 559 користувачів на групу, 19 118 разом.</w:t>
      </w:r>
    </w:p>
    <w:p>
      <w:pPr>
        <w:pStyle w:val="ListBullet"/>
      </w:pPr>
      <w:r>
        <w:rPr>
          <w:i w:val="0"/>
        </w:rPr>
        <w:t>Аудиторії MelodyFlow (200 000 DAU) достатньо; рекомендована тривалість тесту — близько 14 днів.</w:t>
      </w:r>
    </w:p>
    <w:p>
      <w:pPr>
        <w:pStyle w:val="ListBullet"/>
      </w:pPr>
      <w:r>
        <w:rPr>
          <w:i w:val="0"/>
        </w:rPr>
        <w:t>Якщо після тесту p-value &lt; 0,05 і утримання в групі B вище — функцію варто розгортати на всіх користувачів; інакше підстав стверджувати, що вона впливає на утримання щонайменше на 2 в. п., немає.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