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40"/>
        </w:rPr>
        <w:t>Тест-план A/B-експерименту</w:t>
      </w:r>
    </w:p>
    <w:p>
      <w:r>
        <w:rPr>
          <w:color w:val="52514E"/>
          <w:sz w:val="21"/>
        </w:rPr>
        <w:t>Новий підхід до розміщення онлайн-реклами продукту · Фінальний проєкт, Завдання №1</w:t>
      </w:r>
    </w:p>
    <w:p>
      <w:pPr>
        <w:pBdr>
          <w:bottom w:val="single" w:sz="6" w:space="4" w:color="C3C2B7"/>
        </w:pBdr>
      </w:pPr>
      <w:r>
        <w:rPr>
          <w:color w:val="52514E"/>
          <w:sz w:val="19"/>
        </w:rPr>
        <w:t>Автор: Мойсеєнко Світлана  ·  Дисципліна: Продуктова аналітика та прикладна статистика (GoIT Neoversity)  ·  17 жовтня 2026 р.</w:t>
      </w:r>
    </w:p>
    <w:p>
      <w:pPr>
        <w:pStyle w:val="Heading1"/>
      </w:pPr>
      <w:r>
        <w:t>1. Контекст і проблема</w:t>
      </w:r>
    </w:p>
    <w:p>
      <w:r>
        <w:rPr>
          <w:i w:val="0"/>
        </w:rPr>
        <w:t>Команда маркетингу пропонує новий підхід до розміщення онлайн-реклами продукту (інші майданчики, таргетинг та формати оголошень). Поточна кампанія стабільно приводить покупців, але її ефективність (вартість залучення покупця) зростає. Перш ніж перерозподіляти бюджет, потрібно переконатися, що новий підхід дає не гірший, а бажано кращий результат за ті самі гроші. Для цього проводимо контрольований експеримент: контрольна група бачить рекламу як раніше, тестова — за новим підходом.</w:t>
      </w:r>
    </w:p>
    <w:p>
      <w:pPr>
        <w:pStyle w:val="Heading1"/>
      </w:pPr>
      <w:r>
        <w:t>2. Гіпотези</w:t>
      </w:r>
    </w:p>
    <w:tbl>
      <w:tblPr>
        <w:tblStyle w:val="TableGrid"/>
        <w:tblW w:type="auto" w:w="0"/>
        <w:tblLook w:firstColumn="1" w:firstRow="1" w:lastColumn="0" w:lastRow="0" w:noHBand="0" w:noVBand="1" w:val="04A0"/>
      </w:tblPr>
      <w:tblGrid>
        <w:gridCol w:w="4873"/>
        <w:gridCol w:w="4873"/>
      </w:tblGrid>
      <w:tr>
        <w:tc>
          <w:tcPr>
            <w:tcW w:type="dxa" w:w="2835"/>
            <w:shd w:val="clear" w:color="auto" w:fill="F1F0EA"/>
          </w:tcPr>
          <w:p>
            <w:r/>
            <w:r>
              <w:rPr>
                <w:b/>
                <w:sz w:val="19"/>
              </w:rPr>
              <w:t>Бізнес-гіпотеза</w:t>
            </w:r>
          </w:p>
        </w:tc>
        <w:tc>
          <w:tcPr>
            <w:tcW w:type="dxa" w:w="6576"/>
          </w:tcPr>
          <w:p>
            <w:r/>
            <w:r>
              <w:rPr>
                <w:sz w:val="19"/>
              </w:rPr>
              <w:t>Новий підхід до розміщення реклами приводить на сайт більш релевантну аудиторію, тому за той самий бюджет ми отримуємо більше покупок, а вартість однієї покупки (CPA) знижується.</w:t>
            </w:r>
          </w:p>
        </w:tc>
      </w:tr>
      <w:tr>
        <w:tc>
          <w:tcPr>
            <w:tcW w:type="dxa" w:w="2835"/>
            <w:shd w:val="clear" w:color="auto" w:fill="F1F0EA"/>
          </w:tcPr>
          <w:p>
            <w:r/>
            <w:r>
              <w:rPr>
                <w:b/>
                <w:sz w:val="19"/>
              </w:rPr>
              <w:t>H0 (нульова)</w:t>
            </w:r>
          </w:p>
        </w:tc>
        <w:tc>
          <w:tcPr>
            <w:tcW w:type="dxa" w:w="6576"/>
          </w:tcPr>
          <w:p>
            <w:r/>
            <w:r>
              <w:rPr>
                <w:sz w:val="19"/>
              </w:rPr>
              <w:t>Середня вартість покупки (CPA) та кількість покупок на день у тестовій групі не відрізняються від контрольної.</w:t>
            </w:r>
          </w:p>
        </w:tc>
      </w:tr>
      <w:tr>
        <w:tc>
          <w:tcPr>
            <w:tcW w:type="dxa" w:w="2835"/>
            <w:shd w:val="clear" w:color="auto" w:fill="F1F0EA"/>
          </w:tcPr>
          <w:p>
            <w:r/>
            <w:r>
              <w:rPr>
                <w:b/>
                <w:sz w:val="19"/>
              </w:rPr>
              <w:t>H1 (альтернативна)</w:t>
            </w:r>
          </w:p>
        </w:tc>
        <w:tc>
          <w:tcPr>
            <w:tcW w:type="dxa" w:w="6576"/>
          </w:tcPr>
          <w:p>
            <w:r/>
            <w:r>
              <w:rPr>
                <w:sz w:val="19"/>
              </w:rPr>
              <w:t>CPA у тестовій групі нижчий, ніж у контрольній (або кількість покупок на день вища) за статистично значущої різниці на рівні α = 0.05.</w:t>
            </w:r>
          </w:p>
        </w:tc>
      </w:tr>
      <w:tr>
        <w:tc>
          <w:tcPr>
            <w:tcW w:type="dxa" w:w="2835"/>
            <w:shd w:val="clear" w:color="auto" w:fill="F1F0EA"/>
          </w:tcPr>
          <w:p>
            <w:r/>
            <w:r>
              <w:rPr>
                <w:b/>
                <w:sz w:val="19"/>
              </w:rPr>
              <w:t>Напрям тесту</w:t>
            </w:r>
          </w:p>
        </w:tc>
        <w:tc>
          <w:tcPr>
            <w:tcW w:type="dxa" w:w="6576"/>
          </w:tcPr>
          <w:p>
            <w:r/>
            <w:r>
              <w:rPr>
                <w:sz w:val="19"/>
              </w:rPr>
              <w:t>Двосторонній: новий підхід може виявитися й гіршим, і це теж важливо виявити.</w:t>
            </w:r>
          </w:p>
        </w:tc>
      </w:tr>
    </w:tbl>
    <w:p>
      <w:pPr>
        <w:spacing w:after="40"/>
      </w:pPr>
    </w:p>
    <w:p>
      <w:pPr>
        <w:pStyle w:val="Heading1"/>
      </w:pPr>
      <w:r>
        <w:t>3. Метрики</w:t>
      </w:r>
    </w:p>
    <w:p>
      <w:r>
        <w:rPr>
          <w:i w:val="0"/>
        </w:rPr>
        <w:t>Усі метрики розраховуються поденно для кожної групи та агреговано за весь період.</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E8EEF7"/>
          </w:tcPr>
          <w:p>
            <w:r/>
            <w:r>
              <w:rPr>
                <w:b/>
                <w:sz w:val="18"/>
              </w:rPr>
              <w:t>Тип</w:t>
            </w:r>
          </w:p>
        </w:tc>
        <w:tc>
          <w:tcPr>
            <w:tcW w:type="dxa" w:w="2041"/>
            <w:shd w:val="clear" w:color="auto" w:fill="E8EEF7"/>
          </w:tcPr>
          <w:p>
            <w:r/>
            <w:r>
              <w:rPr>
                <w:b/>
                <w:sz w:val="18"/>
              </w:rPr>
              <w:t>Метрика</w:t>
            </w:r>
          </w:p>
        </w:tc>
        <w:tc>
          <w:tcPr>
            <w:tcW w:type="dxa" w:w="2835"/>
            <w:shd w:val="clear" w:color="auto" w:fill="E8EEF7"/>
          </w:tcPr>
          <w:p>
            <w:r/>
            <w:r>
              <w:rPr>
                <w:b/>
                <w:sz w:val="18"/>
              </w:rPr>
              <w:t>Формула</w:t>
            </w:r>
          </w:p>
        </w:tc>
        <w:tc>
          <w:tcPr>
            <w:tcW w:type="dxa" w:w="3061"/>
            <w:shd w:val="clear" w:color="auto" w:fill="E8EEF7"/>
          </w:tcPr>
          <w:p>
            <w:r/>
            <w:r>
              <w:rPr>
                <w:b/>
                <w:sz w:val="18"/>
              </w:rPr>
              <w:t>Навіщо</w:t>
            </w:r>
          </w:p>
        </w:tc>
      </w:tr>
      <w:tr>
        <w:tc>
          <w:tcPr>
            <w:tcW w:type="dxa" w:w="1474"/>
          </w:tcPr>
          <w:p>
            <w:r/>
            <w:r>
              <w:rPr>
                <w:sz w:val="18"/>
              </w:rPr>
              <w:t>Основна (primary)</w:t>
            </w:r>
          </w:p>
        </w:tc>
        <w:tc>
          <w:tcPr>
            <w:tcW w:type="dxa" w:w="2041"/>
          </w:tcPr>
          <w:p>
            <w:r/>
            <w:r>
              <w:rPr>
                <w:sz w:val="18"/>
              </w:rPr>
              <w:t>CPA — вартість покупки</w:t>
            </w:r>
          </w:p>
        </w:tc>
        <w:tc>
          <w:tcPr>
            <w:tcW w:type="dxa" w:w="2835"/>
          </w:tcPr>
          <w:p>
            <w:r/>
            <w:r>
              <w:rPr>
                <w:sz w:val="18"/>
              </w:rPr>
              <w:t>Spend / # of Purchase</w:t>
            </w:r>
          </w:p>
        </w:tc>
        <w:tc>
          <w:tcPr>
            <w:tcW w:type="dxa" w:w="3061"/>
          </w:tcPr>
          <w:p>
            <w:r/>
            <w:r>
              <w:rPr>
                <w:sz w:val="18"/>
              </w:rPr>
              <w:t>Головний критерій рішення: чи дешевше ми купуємо покупця</w:t>
            </w:r>
          </w:p>
        </w:tc>
      </w:tr>
      <w:tr>
        <w:tc>
          <w:tcPr>
            <w:tcW w:type="dxa" w:w="1474"/>
            <w:shd w:val="clear" w:color="auto" w:fill="F7F7F4"/>
          </w:tcPr>
          <w:p>
            <w:r/>
            <w:r>
              <w:rPr>
                <w:sz w:val="18"/>
              </w:rPr>
              <w:t>Основна (primary)</w:t>
            </w:r>
          </w:p>
        </w:tc>
        <w:tc>
          <w:tcPr>
            <w:tcW w:type="dxa" w:w="2041"/>
            <w:shd w:val="clear" w:color="auto" w:fill="F7F7F4"/>
          </w:tcPr>
          <w:p>
            <w:r/>
            <w:r>
              <w:rPr>
                <w:sz w:val="18"/>
              </w:rPr>
              <w:t>Покупки на день</w:t>
            </w:r>
          </w:p>
        </w:tc>
        <w:tc>
          <w:tcPr>
            <w:tcW w:type="dxa" w:w="2835"/>
            <w:shd w:val="clear" w:color="auto" w:fill="F7F7F4"/>
          </w:tcPr>
          <w:p>
            <w:r/>
            <w:r>
              <w:rPr>
                <w:sz w:val="18"/>
              </w:rPr>
              <w:t># of Purchase</w:t>
            </w:r>
          </w:p>
        </w:tc>
        <w:tc>
          <w:tcPr>
            <w:tcW w:type="dxa" w:w="3061"/>
            <w:shd w:val="clear" w:color="auto" w:fill="F7F7F4"/>
          </w:tcPr>
          <w:p>
            <w:r/>
            <w:r>
              <w:rPr>
                <w:sz w:val="18"/>
              </w:rPr>
              <w:t>Чи не втрачаємо обсяг продажів</w:t>
            </w:r>
          </w:p>
        </w:tc>
      </w:tr>
      <w:tr>
        <w:tc>
          <w:tcPr>
            <w:tcW w:type="dxa" w:w="1474"/>
          </w:tcPr>
          <w:p>
            <w:r/>
            <w:r>
              <w:rPr>
                <w:sz w:val="18"/>
              </w:rPr>
              <w:t>Додаткова</w:t>
            </w:r>
          </w:p>
        </w:tc>
        <w:tc>
          <w:tcPr>
            <w:tcW w:type="dxa" w:w="2041"/>
          </w:tcPr>
          <w:p>
            <w:r/>
            <w:r>
              <w:rPr>
                <w:sz w:val="18"/>
              </w:rPr>
              <w:t>Конверсія клік → покупка</w:t>
            </w:r>
          </w:p>
        </w:tc>
        <w:tc>
          <w:tcPr>
            <w:tcW w:type="dxa" w:w="2835"/>
          </w:tcPr>
          <w:p>
            <w:r/>
            <w:r>
              <w:rPr>
                <w:sz w:val="18"/>
              </w:rPr>
              <w:t>Purchase / Website Clicks</w:t>
            </w:r>
          </w:p>
        </w:tc>
        <w:tc>
          <w:tcPr>
            <w:tcW w:type="dxa" w:w="3061"/>
          </w:tcPr>
          <w:p>
            <w:r/>
            <w:r>
              <w:rPr>
                <w:sz w:val="18"/>
              </w:rPr>
              <w:t>Якість трафіку, який приводить реклама</w:t>
            </w:r>
          </w:p>
        </w:tc>
      </w:tr>
      <w:tr>
        <w:tc>
          <w:tcPr>
            <w:tcW w:type="dxa" w:w="1474"/>
            <w:shd w:val="clear" w:color="auto" w:fill="F7F7F4"/>
          </w:tcPr>
          <w:p>
            <w:r/>
            <w:r>
              <w:rPr>
                <w:sz w:val="18"/>
              </w:rPr>
              <w:t>Додаткова</w:t>
            </w:r>
          </w:p>
        </w:tc>
        <w:tc>
          <w:tcPr>
            <w:tcW w:type="dxa" w:w="2041"/>
            <w:shd w:val="clear" w:color="auto" w:fill="F7F7F4"/>
          </w:tcPr>
          <w:p>
            <w:r/>
            <w:r>
              <w:rPr>
                <w:sz w:val="18"/>
              </w:rPr>
              <w:t>CTR</w:t>
            </w:r>
          </w:p>
        </w:tc>
        <w:tc>
          <w:tcPr>
            <w:tcW w:type="dxa" w:w="2835"/>
            <w:shd w:val="clear" w:color="auto" w:fill="F7F7F4"/>
          </w:tcPr>
          <w:p>
            <w:r/>
            <w:r>
              <w:rPr>
                <w:sz w:val="18"/>
              </w:rPr>
              <w:t>Website Clicks / Impressions</w:t>
            </w:r>
          </w:p>
        </w:tc>
        <w:tc>
          <w:tcPr>
            <w:tcW w:type="dxa" w:w="3061"/>
            <w:shd w:val="clear" w:color="auto" w:fill="F7F7F4"/>
          </w:tcPr>
          <w:p>
            <w:r/>
            <w:r>
              <w:rPr>
                <w:sz w:val="18"/>
              </w:rPr>
              <w:t>Привабливість нового розміщення/креативів</w:t>
            </w:r>
          </w:p>
        </w:tc>
      </w:tr>
      <w:tr>
        <w:tc>
          <w:tcPr>
            <w:tcW w:type="dxa" w:w="1474"/>
          </w:tcPr>
          <w:p>
            <w:r/>
            <w:r>
              <w:rPr>
                <w:sz w:val="18"/>
              </w:rPr>
              <w:t>Додаткова</w:t>
            </w:r>
          </w:p>
        </w:tc>
        <w:tc>
          <w:tcPr>
            <w:tcW w:type="dxa" w:w="2041"/>
          </w:tcPr>
          <w:p>
            <w:r/>
            <w:r>
              <w:rPr>
                <w:sz w:val="18"/>
              </w:rPr>
              <w:t>CPC</w:t>
            </w:r>
          </w:p>
        </w:tc>
        <w:tc>
          <w:tcPr>
            <w:tcW w:type="dxa" w:w="2835"/>
          </w:tcPr>
          <w:p>
            <w:r/>
            <w:r>
              <w:rPr>
                <w:sz w:val="18"/>
              </w:rPr>
              <w:t>Spend / Website Clicks</w:t>
            </w:r>
          </w:p>
        </w:tc>
        <w:tc>
          <w:tcPr>
            <w:tcW w:type="dxa" w:w="3061"/>
          </w:tcPr>
          <w:p>
            <w:r/>
            <w:r>
              <w:rPr>
                <w:sz w:val="18"/>
              </w:rPr>
              <w:t>Вартість трафіку</w:t>
            </w:r>
          </w:p>
        </w:tc>
      </w:tr>
      <w:tr>
        <w:tc>
          <w:tcPr>
            <w:tcW w:type="dxa" w:w="1474"/>
            <w:shd w:val="clear" w:color="auto" w:fill="F7F7F4"/>
          </w:tcPr>
          <w:p>
            <w:r/>
            <w:r>
              <w:rPr>
                <w:sz w:val="18"/>
              </w:rPr>
              <w:t>Додаткова</w:t>
            </w:r>
          </w:p>
        </w:tc>
        <w:tc>
          <w:tcPr>
            <w:tcW w:type="dxa" w:w="2041"/>
            <w:shd w:val="clear" w:color="auto" w:fill="F7F7F4"/>
          </w:tcPr>
          <w:p>
            <w:r/>
            <w:r>
              <w:rPr>
                <w:sz w:val="18"/>
              </w:rPr>
              <w:t>Покрокові конверсії воронки</w:t>
            </w:r>
          </w:p>
        </w:tc>
        <w:tc>
          <w:tcPr>
            <w:tcW w:type="dxa" w:w="2835"/>
            <w:shd w:val="clear" w:color="auto" w:fill="F7F7F4"/>
          </w:tcPr>
          <w:p>
            <w:r/>
            <w:r>
              <w:rPr>
                <w:sz w:val="18"/>
              </w:rPr>
              <w:t>Searches / Clicks, View Content / Searches, Add to Cart / View Content, Purchase / Add to Cart</w:t>
            </w:r>
          </w:p>
        </w:tc>
        <w:tc>
          <w:tcPr>
            <w:tcW w:type="dxa" w:w="3061"/>
            <w:shd w:val="clear" w:color="auto" w:fill="F7F7F4"/>
          </w:tcPr>
          <w:p>
            <w:r/>
            <w:r>
              <w:rPr>
                <w:sz w:val="18"/>
              </w:rPr>
              <w:t>Де саме нова аудиторія поводиться інакше</w:t>
            </w:r>
          </w:p>
        </w:tc>
      </w:tr>
      <w:tr>
        <w:tc>
          <w:tcPr>
            <w:tcW w:type="dxa" w:w="1474"/>
          </w:tcPr>
          <w:p>
            <w:r/>
            <w:r>
              <w:rPr>
                <w:sz w:val="18"/>
              </w:rPr>
              <w:t>Guardrail</w:t>
            </w:r>
          </w:p>
        </w:tc>
        <w:tc>
          <w:tcPr>
            <w:tcW w:type="dxa" w:w="2041"/>
          </w:tcPr>
          <w:p>
            <w:r/>
            <w:r>
              <w:rPr>
                <w:sz w:val="18"/>
              </w:rPr>
              <w:t>Витрати на день</w:t>
            </w:r>
          </w:p>
        </w:tc>
        <w:tc>
          <w:tcPr>
            <w:tcW w:type="dxa" w:w="2835"/>
          </w:tcPr>
          <w:p>
            <w:r/>
            <w:r>
              <w:rPr>
                <w:sz w:val="18"/>
              </w:rPr>
              <w:t>Spend</w:t>
            </w:r>
          </w:p>
        </w:tc>
        <w:tc>
          <w:tcPr>
            <w:tcW w:type="dxa" w:w="3061"/>
          </w:tcPr>
          <w:p>
            <w:r/>
            <w:r>
              <w:rPr>
                <w:sz w:val="18"/>
              </w:rPr>
              <w:t>Бюджети груп мають бути порівнянними</w:t>
            </w:r>
          </w:p>
        </w:tc>
      </w:tr>
      <w:tr>
        <w:tc>
          <w:tcPr>
            <w:tcW w:type="dxa" w:w="1474"/>
            <w:shd w:val="clear" w:color="auto" w:fill="F7F7F4"/>
          </w:tcPr>
          <w:p>
            <w:r/>
            <w:r>
              <w:rPr>
                <w:sz w:val="18"/>
              </w:rPr>
              <w:t>Guardrail</w:t>
            </w:r>
          </w:p>
        </w:tc>
        <w:tc>
          <w:tcPr>
            <w:tcW w:type="dxa" w:w="2041"/>
            <w:shd w:val="clear" w:color="auto" w:fill="F7F7F4"/>
          </w:tcPr>
          <w:p>
            <w:r/>
            <w:r>
              <w:rPr>
                <w:sz w:val="18"/>
              </w:rPr>
              <w:t>Охоплення та частота</w:t>
            </w:r>
          </w:p>
        </w:tc>
        <w:tc>
          <w:tcPr>
            <w:tcW w:type="dxa" w:w="2835"/>
            <w:shd w:val="clear" w:color="auto" w:fill="F7F7F4"/>
          </w:tcPr>
          <w:p>
            <w:r/>
            <w:r>
              <w:rPr>
                <w:sz w:val="18"/>
              </w:rPr>
              <w:t>Reach; Impressions / Reach</w:t>
            </w:r>
          </w:p>
        </w:tc>
        <w:tc>
          <w:tcPr>
            <w:tcW w:type="dxa" w:w="3061"/>
            <w:shd w:val="clear" w:color="auto" w:fill="F7F7F4"/>
          </w:tcPr>
          <w:p>
            <w:r/>
            <w:r>
              <w:rPr>
                <w:sz w:val="18"/>
              </w:rPr>
              <w:t>Не «випалювати» аудиторію надмірною частотою</w:t>
            </w:r>
          </w:p>
        </w:tc>
      </w:tr>
      <w:tr>
        <w:tc>
          <w:tcPr>
            <w:tcW w:type="dxa" w:w="1474"/>
          </w:tcPr>
          <w:p>
            <w:r/>
            <w:r>
              <w:rPr>
                <w:sz w:val="18"/>
              </w:rPr>
              <w:t>Guardrail</w:t>
            </w:r>
          </w:p>
        </w:tc>
        <w:tc>
          <w:tcPr>
            <w:tcW w:type="dxa" w:w="2041"/>
          </w:tcPr>
          <w:p>
            <w:r/>
            <w:r>
              <w:rPr>
                <w:sz w:val="18"/>
              </w:rPr>
              <w:t>Повернення / скасування замовлень</w:t>
            </w:r>
          </w:p>
        </w:tc>
        <w:tc>
          <w:tcPr>
            <w:tcW w:type="dxa" w:w="2835"/>
          </w:tcPr>
          <w:p>
            <w:r/>
            <w:r>
              <w:rPr>
                <w:sz w:val="18"/>
              </w:rPr>
              <w:t>з CRM (поза датасетом)</w:t>
            </w:r>
          </w:p>
        </w:tc>
        <w:tc>
          <w:tcPr>
            <w:tcW w:type="dxa" w:w="3061"/>
          </w:tcPr>
          <w:p>
            <w:r/>
            <w:r>
              <w:rPr>
                <w:sz w:val="18"/>
              </w:rPr>
              <w:t>Щоб зростання покупок не супроводжувалося зростанням повернень</w:t>
            </w:r>
          </w:p>
        </w:tc>
      </w:tr>
    </w:tbl>
    <w:p>
      <w:pPr>
        <w:spacing w:after="40"/>
      </w:pPr>
    </w:p>
    <w:p>
      <w:pPr>
        <w:pStyle w:val="Heading1"/>
      </w:pPr>
      <w:r>
        <w:t>4. Дизайн експерименту</w:t>
      </w:r>
    </w:p>
    <w:tbl>
      <w:tblPr>
        <w:tblStyle w:val="TableGrid"/>
        <w:tblW w:type="auto" w:w="0"/>
        <w:tblLook w:firstColumn="1" w:firstRow="1" w:lastColumn="0" w:lastRow="0" w:noHBand="0" w:noVBand="1" w:val="04A0"/>
      </w:tblPr>
      <w:tblGrid>
        <w:gridCol w:w="4873"/>
        <w:gridCol w:w="4873"/>
      </w:tblGrid>
      <w:tr>
        <w:tc>
          <w:tcPr>
            <w:tcW w:type="dxa" w:w="2835"/>
            <w:shd w:val="clear" w:color="auto" w:fill="F1F0EA"/>
          </w:tcPr>
          <w:p>
            <w:r/>
            <w:r>
              <w:rPr>
                <w:b/>
                <w:sz w:val="19"/>
              </w:rPr>
              <w:t>Тип</w:t>
            </w:r>
          </w:p>
        </w:tc>
        <w:tc>
          <w:tcPr>
            <w:tcW w:type="dxa" w:w="6576"/>
          </w:tcPr>
          <w:p>
            <w:r/>
            <w:r>
              <w:rPr>
                <w:sz w:val="19"/>
              </w:rPr>
              <w:t>Рандомізований контрольований експеримент (A/B-тест) із двома паралельними рекламними кампаніями.</w:t>
            </w:r>
          </w:p>
        </w:tc>
      </w:tr>
      <w:tr>
        <w:tc>
          <w:tcPr>
            <w:tcW w:type="dxa" w:w="2835"/>
            <w:shd w:val="clear" w:color="auto" w:fill="F1F0EA"/>
          </w:tcPr>
          <w:p>
            <w:r/>
            <w:r>
              <w:rPr>
                <w:b/>
                <w:sz w:val="19"/>
              </w:rPr>
              <w:t>Одиниця рандомізації</w:t>
            </w:r>
          </w:p>
        </w:tc>
        <w:tc>
          <w:tcPr>
            <w:tcW w:type="dxa" w:w="6576"/>
          </w:tcPr>
          <w:p>
            <w:r/>
            <w:r>
              <w:rPr>
                <w:sz w:val="19"/>
              </w:rPr>
              <w:t>Користувач рекламної платформи (анонімний ідентифікатор / cookie). Аудиторію випадково ділимо навпіл на рівні рекламного кабінету (split test), щоб той самий користувач не бачив обидва варіанти.</w:t>
            </w:r>
          </w:p>
        </w:tc>
      </w:tr>
      <w:tr>
        <w:tc>
          <w:tcPr>
            <w:tcW w:type="dxa" w:w="2835"/>
            <w:shd w:val="clear" w:color="auto" w:fill="F1F0EA"/>
          </w:tcPr>
          <w:p>
            <w:r/>
            <w:r>
              <w:rPr>
                <w:b/>
                <w:sz w:val="19"/>
              </w:rPr>
              <w:t>Групи</w:t>
            </w:r>
          </w:p>
        </w:tc>
        <w:tc>
          <w:tcPr>
            <w:tcW w:type="dxa" w:w="6576"/>
          </w:tcPr>
          <w:p>
            <w:r/>
            <w:r>
              <w:rPr>
                <w:sz w:val="19"/>
              </w:rPr>
              <w:t>Control Campaign — чинний підхід до розміщення (50 %). Test Campaign — новий підхід (50 %). Креативи, продукт, посадкові сторінки та ціни однакові; відрізняється лише спосіб розміщення реклами.</w:t>
            </w:r>
          </w:p>
        </w:tc>
      </w:tr>
      <w:tr>
        <w:tc>
          <w:tcPr>
            <w:tcW w:type="dxa" w:w="2835"/>
            <w:shd w:val="clear" w:color="auto" w:fill="F1F0EA"/>
          </w:tcPr>
          <w:p>
            <w:r/>
            <w:r>
              <w:rPr>
                <w:b/>
                <w:sz w:val="19"/>
              </w:rPr>
              <w:t>Бюджет</w:t>
            </w:r>
          </w:p>
        </w:tc>
        <w:tc>
          <w:tcPr>
            <w:tcW w:type="dxa" w:w="6576"/>
          </w:tcPr>
          <w:p>
            <w:r/>
            <w:r>
              <w:rPr>
                <w:sz w:val="19"/>
              </w:rPr>
              <w:t>Однаковий добовий бюджет для обох кампаній; фактичні витрати фіксуються щодня та порівнюються як guardrail.</w:t>
            </w:r>
          </w:p>
        </w:tc>
      </w:tr>
      <w:tr>
        <w:tc>
          <w:tcPr>
            <w:tcW w:type="dxa" w:w="2835"/>
            <w:shd w:val="clear" w:color="auto" w:fill="F1F0EA"/>
          </w:tcPr>
          <w:p>
            <w:r/>
            <w:r>
              <w:rPr>
                <w:b/>
                <w:sz w:val="19"/>
              </w:rPr>
              <w:t>Тривалість</w:t>
            </w:r>
          </w:p>
        </w:tc>
        <w:tc>
          <w:tcPr>
            <w:tcW w:type="dxa" w:w="6576"/>
          </w:tcPr>
          <w:p>
            <w:r/>
            <w:r>
              <w:rPr>
                <w:sz w:val="19"/>
              </w:rPr>
              <w:t>30 календарних днів (01.08–30.08.2019): щонайменше чотири повні тижневі цикли, щоб згладити ефект дня тижня та «ефект новизни». Проміжні зупинки за результатами (peeking) не допускаються.</w:t>
            </w:r>
          </w:p>
        </w:tc>
      </w:tr>
      <w:tr>
        <w:tc>
          <w:tcPr>
            <w:tcW w:type="dxa" w:w="2835"/>
            <w:shd w:val="clear" w:color="auto" w:fill="F1F0EA"/>
          </w:tcPr>
          <w:p>
            <w:r/>
            <w:r>
              <w:rPr>
                <w:b/>
                <w:sz w:val="19"/>
              </w:rPr>
              <w:t>Період аналізу</w:t>
            </w:r>
          </w:p>
        </w:tc>
        <w:tc>
          <w:tcPr>
            <w:tcW w:type="dxa" w:w="6576"/>
          </w:tcPr>
          <w:p>
            <w:r/>
            <w:r>
              <w:rPr>
                <w:sz w:val="19"/>
              </w:rPr>
              <w:t>Увесь період без «розігріву»; окремо перевіряємо стабільність результату за тижнями.</w:t>
            </w:r>
          </w:p>
        </w:tc>
      </w:tr>
      <w:tr>
        <w:tc>
          <w:tcPr>
            <w:tcW w:type="dxa" w:w="2835"/>
            <w:shd w:val="clear" w:color="auto" w:fill="F1F0EA"/>
          </w:tcPr>
          <w:p>
            <w:r/>
            <w:r>
              <w:rPr>
                <w:b/>
                <w:sz w:val="19"/>
              </w:rPr>
              <w:t>Дані</w:t>
            </w:r>
          </w:p>
        </w:tc>
        <w:tc>
          <w:tcPr>
            <w:tcW w:type="dxa" w:w="6576"/>
          </w:tcPr>
          <w:p>
            <w:r/>
            <w:r>
              <w:rPr>
                <w:sz w:val="19"/>
              </w:rPr>
              <w:t>Поденна вивантага з рекламного кабінету (Spend, Impressions, Reach, Clicks) та з веб-аналітики (Searches, View Content, Add to Cart, Purchase) за трекінг-планом (Завдання №2).</w:t>
            </w:r>
          </w:p>
        </w:tc>
      </w:tr>
    </w:tbl>
    <w:p>
      <w:pPr>
        <w:spacing w:after="40"/>
      </w:pPr>
    </w:p>
    <w:p>
      <w:pPr>
        <w:pStyle w:val="Heading1"/>
      </w:pPr>
      <w:r>
        <w:t>5. Розмір вибірки та потужність</w:t>
      </w:r>
    </w:p>
    <w:p>
      <w:r>
        <w:rPr>
          <w:i w:val="0"/>
        </w:rPr>
        <w:t>Базова конверсія клік → покупка в чинній кампанії ≈ 10%. Мінімальний ефект, який хочемо виявити (MDE), — відносне зростання на 10% (до 11.0%). За α = 0.05 (двосторонній тест) та потужності 80 % потрібно приблизно 14 751 кліків у кожній групі. За поточного трафіку ≈ 5 320 кліків на день це досягається вже за ~3 дні.</w:t>
      </w:r>
    </w:p>
    <w:p>
      <w:r>
        <w:rPr>
          <w:i w:val="0"/>
        </w:rPr>
        <w:t>Проте основні метрики (CPA, покупки на день) порівнюються на рівні днів, де одиниця спостереження — день (n = 30 на групу). За спостережуваної мінливості CPA (SD ≈ $2.12 на день) мінімальна виявна різниця CPA становить ≈ $1.53 (≈ 30% від середнього CPA). Тому тривалість 30 днів — розумний компроміс: достатньо для метрик на рівні користувачів і прийнятно для поденних порівнянь; якщо різниця виявиться меншою, експеримент продовжують.</w:t>
      </w:r>
    </w:p>
    <w:p>
      <w:pPr>
        <w:pStyle w:val="Heading1"/>
      </w:pPr>
      <w:r>
        <w:t>6. Статистичний метод</w:t>
      </w:r>
    </w:p>
    <w:p>
      <w:pPr>
        <w:pStyle w:val="ListBullet"/>
        <w:spacing w:after="60"/>
      </w:pPr>
      <w:r>
        <w:rPr>
          <w:b/>
        </w:rPr>
        <w:t xml:space="preserve">Поденні метрики (CPA, покупки, конверсії): </w:t>
      </w:r>
      <w:r>
        <w:t>t-тест Уелча для незалежних вибірок (scipy.stats.ttest_ind, equal_var=False) з 95 % довірчим інтервалом різниці; як перевірку стійкості — непараметричний критерій Манна–Уїтні, оскільки за n = 30 розподіл може бути ненормальним.</w:t>
      </w:r>
    </w:p>
    <w:p>
      <w:pPr>
        <w:pStyle w:val="ListBullet"/>
        <w:spacing w:after="60"/>
      </w:pPr>
      <w:r>
        <w:rPr>
          <w:b/>
        </w:rPr>
        <w:t xml:space="preserve">Конверсії на рівні користувачів (CTR, клік → покупка, кошик → покупка): </w:t>
      </w:r>
      <w:r>
        <w:t>z-тест для різниці двох часток та довірчий інтервал різниці (Вальда/Ньюкомба).</w:t>
      </w:r>
    </w:p>
    <w:p>
      <w:pPr>
        <w:pStyle w:val="ListBullet"/>
        <w:spacing w:after="60"/>
      </w:pPr>
      <w:r>
        <w:rPr>
          <w:b/>
        </w:rPr>
        <w:t xml:space="preserve">Рівень значущості: </w:t>
      </w:r>
      <w:r>
        <w:t>α = 0.05, двосторонні тести. Для додаткових метрик застосовуємо поправку Бонферроні–Холма, щоб уникнути хибних відкриттів при множинних порівняннях.</w:t>
      </w:r>
    </w:p>
    <w:p>
      <w:pPr>
        <w:pStyle w:val="ListBullet"/>
        <w:spacing w:after="60"/>
      </w:pPr>
      <w:r>
        <w:rPr>
          <w:b/>
        </w:rPr>
        <w:t xml:space="preserve">Перевірки коректності: </w:t>
      </w:r>
      <w:r>
        <w:t>Sample Ratio Mismatch (частка аудиторії у групах), повнота даних за кожен день, відсутність фізично неможливих значень (наприклад, покупок більше, ніж додавань у кошик).</w:t>
      </w:r>
    </w:p>
    <w:p>
      <w:pPr>
        <w:pStyle w:val="Heading1"/>
      </w:pPr>
      <w:r>
        <w:t>7. Критерії прийняття рішення</w:t>
      </w:r>
    </w:p>
    <w:tbl>
      <w:tblPr>
        <w:tblStyle w:val="TableGrid"/>
        <w:tblW w:type="auto" w:w="0"/>
        <w:jc w:val="center"/>
        <w:tblLook w:firstColumn="1" w:firstRow="1" w:lastColumn="0" w:lastRow="0" w:noHBand="0" w:noVBand="1" w:val="04A0"/>
      </w:tblPr>
      <w:tblGrid>
        <w:gridCol w:w="4873"/>
        <w:gridCol w:w="4873"/>
      </w:tblGrid>
      <w:tr>
        <w:tc>
          <w:tcPr>
            <w:tcW w:type="dxa" w:w="4876"/>
            <w:shd w:val="clear" w:color="auto" w:fill="E8EEF7"/>
          </w:tcPr>
          <w:p>
            <w:r/>
            <w:r>
              <w:rPr>
                <w:b/>
                <w:sz w:val="18"/>
              </w:rPr>
              <w:t>Результат</w:t>
            </w:r>
          </w:p>
        </w:tc>
        <w:tc>
          <w:tcPr>
            <w:tcW w:type="dxa" w:w="4535"/>
            <w:shd w:val="clear" w:color="auto" w:fill="E8EEF7"/>
          </w:tcPr>
          <w:p>
            <w:r/>
            <w:r>
              <w:rPr>
                <w:b/>
                <w:sz w:val="18"/>
              </w:rPr>
              <w:t>Рішення</w:t>
            </w:r>
          </w:p>
        </w:tc>
      </w:tr>
      <w:tr>
        <w:tc>
          <w:tcPr>
            <w:tcW w:type="dxa" w:w="4876"/>
          </w:tcPr>
          <w:p>
            <w:r/>
            <w:r>
              <w:rPr>
                <w:sz w:val="18"/>
              </w:rPr>
              <w:t>CPA статистично значуще нижчий, покупки не нижчі, guardrails у нормі</w:t>
            </w:r>
          </w:p>
        </w:tc>
        <w:tc>
          <w:tcPr>
            <w:tcW w:type="dxa" w:w="4535"/>
          </w:tcPr>
          <w:p>
            <w:r/>
            <w:r>
              <w:rPr>
                <w:sz w:val="18"/>
              </w:rPr>
              <w:t>Впроваджуємо новий підхід; плануємо поступове перенесення бюджету</w:t>
            </w:r>
          </w:p>
        </w:tc>
      </w:tr>
      <w:tr>
        <w:tc>
          <w:tcPr>
            <w:tcW w:type="dxa" w:w="4876"/>
            <w:shd w:val="clear" w:color="auto" w:fill="F7F7F4"/>
          </w:tcPr>
          <w:p>
            <w:r/>
            <w:r>
              <w:rPr>
                <w:sz w:val="18"/>
              </w:rPr>
              <w:t>CPA не відрізняється, покупки не відрізняються</w:t>
            </w:r>
          </w:p>
        </w:tc>
        <w:tc>
          <w:tcPr>
            <w:tcW w:type="dxa" w:w="4535"/>
            <w:shd w:val="clear" w:color="auto" w:fill="F7F7F4"/>
          </w:tcPr>
          <w:p>
            <w:r/>
            <w:r>
              <w:rPr>
                <w:sz w:val="18"/>
              </w:rPr>
              <w:t>Не впроваджуємо; аналізуємо воронку, формулюємо нову гіпотезу (ітерація)</w:t>
            </w:r>
          </w:p>
        </w:tc>
      </w:tr>
      <w:tr>
        <w:tc>
          <w:tcPr>
            <w:tcW w:type="dxa" w:w="4876"/>
          </w:tcPr>
          <w:p>
            <w:r/>
            <w:r>
              <w:rPr>
                <w:sz w:val="18"/>
              </w:rPr>
              <w:t>CPA значуще вищий або покупки значуще нижчі</w:t>
            </w:r>
          </w:p>
        </w:tc>
        <w:tc>
          <w:tcPr>
            <w:tcW w:type="dxa" w:w="4535"/>
          </w:tcPr>
          <w:p>
            <w:r/>
            <w:r>
              <w:rPr>
                <w:sz w:val="18"/>
              </w:rPr>
              <w:t>Відхиляємо новий підхід, зупиняємо тестову кампанію</w:t>
            </w:r>
          </w:p>
        </w:tc>
      </w:tr>
      <w:tr>
        <w:tc>
          <w:tcPr>
            <w:tcW w:type="dxa" w:w="4876"/>
            <w:shd w:val="clear" w:color="auto" w:fill="F7F7F4"/>
          </w:tcPr>
          <w:p>
            <w:r/>
            <w:r>
              <w:rPr>
                <w:sz w:val="18"/>
              </w:rPr>
              <w:t>Порушені guardrails (нерівні витрати, зламаний трекінг)</w:t>
            </w:r>
          </w:p>
        </w:tc>
        <w:tc>
          <w:tcPr>
            <w:tcW w:type="dxa" w:w="4535"/>
            <w:shd w:val="clear" w:color="auto" w:fill="F7F7F4"/>
          </w:tcPr>
          <w:p>
            <w:r/>
            <w:r>
              <w:rPr>
                <w:sz w:val="18"/>
              </w:rPr>
              <w:t>Результат не інтерпретуємо; виправляємо та повторюємо тест</w:t>
            </w:r>
          </w:p>
        </w:tc>
      </w:tr>
    </w:tbl>
    <w:p>
      <w:pPr>
        <w:spacing w:after="40"/>
      </w:pPr>
    </w:p>
    <w:p>
      <w:pPr>
        <w:pStyle w:val="Heading1"/>
      </w:pPr>
      <w:r>
        <w:t>8. Ризики, припущення та обмеження</w:t>
      </w:r>
    </w:p>
    <w:p>
      <w:pPr>
        <w:pStyle w:val="ListBullet"/>
        <w:spacing w:after="60"/>
      </w:pPr>
      <w:r>
        <w:rPr>
          <w:b/>
        </w:rPr>
        <w:t xml:space="preserve">Ефект новизни: </w:t>
      </w:r>
      <w:r>
        <w:t>нові розміщення можуть давати тимчасово вищий CTR; тому аналізуємо динаміку за тижнями.</w:t>
      </w:r>
    </w:p>
    <w:p>
      <w:pPr>
        <w:pStyle w:val="ListBullet"/>
        <w:spacing w:after="60"/>
      </w:pPr>
      <w:r>
        <w:rPr>
          <w:b/>
        </w:rPr>
        <w:t xml:space="preserve">Сезонність і зовнішні події: </w:t>
      </w:r>
      <w:r>
        <w:t>обидві групи працюють одночасно, тож зовнішні фактори впливають на них однаково.</w:t>
      </w:r>
    </w:p>
    <w:p>
      <w:pPr>
        <w:pStyle w:val="ListBullet"/>
        <w:spacing w:after="60"/>
      </w:pPr>
      <w:r>
        <w:rPr>
          <w:b/>
        </w:rPr>
        <w:t xml:space="preserve">Атрибуція: </w:t>
      </w:r>
      <w:r>
        <w:t>покупки після кліку можуть відбуватися через кілька днів; використовуємо єдине вікно атрибуції для обох груп.</w:t>
      </w:r>
    </w:p>
    <w:p>
      <w:pPr>
        <w:pStyle w:val="ListBullet"/>
        <w:spacing w:after="60"/>
      </w:pPr>
      <w:r>
        <w:rPr>
          <w:b/>
        </w:rPr>
        <w:t xml:space="preserve">Витік між групами: </w:t>
      </w:r>
      <w:r>
        <w:t>один користувач може побачити обидві кампанії на різних пристроях; мінімізуємо через розділення аудиторії на рівні платформи.</w:t>
      </w:r>
    </w:p>
    <w:p>
      <w:pPr>
        <w:pStyle w:val="ListBullet"/>
        <w:spacing w:after="60"/>
      </w:pPr>
      <w:r>
        <w:rPr>
          <w:b/>
        </w:rPr>
        <w:t xml:space="preserve">Якість даних: </w:t>
      </w:r>
      <w:r>
        <w:t>пропуски за окремі дні та аномалії трекінгу можуть зміщувати поденні метрики — такі дні документуємо й аналізуємо з ними та без них.</w:t>
      </w:r>
    </w:p>
    <w:p>
      <w:pPr>
        <w:pStyle w:val="ListBullet"/>
        <w:spacing w:after="60"/>
      </w:pPr>
      <w:r>
        <w:rPr>
          <w:b/>
        </w:rPr>
        <w:t xml:space="preserve">Нерівні витрати: </w:t>
      </w:r>
      <w:r>
        <w:t>якщо фактичні витрати груп відрізняються, порівнюємо не абсолютні обсяги, а відносні метрики (CPA, конверсії).</w:t>
      </w:r>
    </w:p>
    <w:p>
      <w:pPr>
        <w:pStyle w:val="Heading1"/>
      </w:pPr>
      <w:r>
        <w:t>9. Ролі та план робіт</w:t>
      </w:r>
    </w:p>
    <w:tbl>
      <w:tblPr>
        <w:tblStyle w:val="TableGrid"/>
        <w:tblW w:type="auto" w:w="0"/>
        <w:jc w:val="center"/>
        <w:tblLook w:firstColumn="1" w:firstRow="1" w:lastColumn="0" w:lastRow="0" w:noHBand="0" w:noVBand="1" w:val="04A0"/>
      </w:tblPr>
      <w:tblGrid>
        <w:gridCol w:w="3249"/>
        <w:gridCol w:w="3249"/>
        <w:gridCol w:w="3249"/>
      </w:tblGrid>
      <w:tr>
        <w:tc>
          <w:tcPr>
            <w:tcW w:type="dxa" w:w="4082"/>
            <w:shd w:val="clear" w:color="auto" w:fill="E8EEF7"/>
          </w:tcPr>
          <w:p>
            <w:r/>
            <w:r>
              <w:rPr>
                <w:b/>
                <w:sz w:val="18"/>
              </w:rPr>
              <w:t>Етап</w:t>
            </w:r>
          </w:p>
        </w:tc>
        <w:tc>
          <w:tcPr>
            <w:tcW w:type="dxa" w:w="3402"/>
            <w:shd w:val="clear" w:color="auto" w:fill="E8EEF7"/>
          </w:tcPr>
          <w:p>
            <w:r/>
            <w:r>
              <w:rPr>
                <w:b/>
                <w:sz w:val="18"/>
              </w:rPr>
              <w:t>Відповідальний</w:t>
            </w:r>
          </w:p>
        </w:tc>
        <w:tc>
          <w:tcPr>
            <w:tcW w:type="dxa" w:w="1928"/>
            <w:shd w:val="clear" w:color="auto" w:fill="E8EEF7"/>
          </w:tcPr>
          <w:p>
            <w:r/>
            <w:r>
              <w:rPr>
                <w:b/>
                <w:sz w:val="18"/>
              </w:rPr>
              <w:t>Строк</w:t>
            </w:r>
          </w:p>
        </w:tc>
      </w:tr>
      <w:tr>
        <w:tc>
          <w:tcPr>
            <w:tcW w:type="dxa" w:w="4082"/>
          </w:tcPr>
          <w:p>
            <w:r/>
            <w:r>
              <w:rPr>
                <w:sz w:val="18"/>
              </w:rPr>
              <w:t>Узгодження гіпотези, метрик, бюджету</w:t>
            </w:r>
          </w:p>
        </w:tc>
        <w:tc>
          <w:tcPr>
            <w:tcW w:type="dxa" w:w="3402"/>
          </w:tcPr>
          <w:p>
            <w:r/>
            <w:r>
              <w:rPr>
                <w:sz w:val="18"/>
              </w:rPr>
              <w:t>Продуктовий аналітик, маркетинг-менеджер</w:t>
            </w:r>
          </w:p>
        </w:tc>
        <w:tc>
          <w:tcPr>
            <w:tcW w:type="dxa" w:w="1928"/>
          </w:tcPr>
          <w:p>
            <w:r/>
            <w:r>
              <w:rPr>
                <w:sz w:val="18"/>
              </w:rPr>
              <w:t>Тиждень 0</w:t>
            </w:r>
          </w:p>
        </w:tc>
      </w:tr>
      <w:tr>
        <w:tc>
          <w:tcPr>
            <w:tcW w:type="dxa" w:w="4082"/>
            <w:shd w:val="clear" w:color="auto" w:fill="F7F7F4"/>
          </w:tcPr>
          <w:p>
            <w:r/>
            <w:r>
              <w:rPr>
                <w:sz w:val="18"/>
              </w:rPr>
              <w:t>Налаштування кампаній і трекінгу (Завдання №2), тестовий запуск</w:t>
            </w:r>
          </w:p>
        </w:tc>
        <w:tc>
          <w:tcPr>
            <w:tcW w:type="dxa" w:w="3402"/>
            <w:shd w:val="clear" w:color="auto" w:fill="F7F7F4"/>
          </w:tcPr>
          <w:p>
            <w:r/>
            <w:r>
              <w:rPr>
                <w:sz w:val="18"/>
              </w:rPr>
              <w:t>Маркетинг, веб-аналітик, розробка</w:t>
            </w:r>
          </w:p>
        </w:tc>
        <w:tc>
          <w:tcPr>
            <w:tcW w:type="dxa" w:w="1928"/>
            <w:shd w:val="clear" w:color="auto" w:fill="F7F7F4"/>
          </w:tcPr>
          <w:p>
            <w:r/>
            <w:r>
              <w:rPr>
                <w:sz w:val="18"/>
              </w:rPr>
              <w:t>Тиждень 0</w:t>
            </w:r>
          </w:p>
        </w:tc>
      </w:tr>
      <w:tr>
        <w:tc>
          <w:tcPr>
            <w:tcW w:type="dxa" w:w="4082"/>
          </w:tcPr>
          <w:p>
            <w:r/>
            <w:r>
              <w:rPr>
                <w:sz w:val="18"/>
              </w:rPr>
              <w:t>Проведення експерименту, щоденний моніторинг guardrails</w:t>
            </w:r>
          </w:p>
        </w:tc>
        <w:tc>
          <w:tcPr>
            <w:tcW w:type="dxa" w:w="3402"/>
          </w:tcPr>
          <w:p>
            <w:r/>
            <w:r>
              <w:rPr>
                <w:sz w:val="18"/>
              </w:rPr>
              <w:t>Маркетинг, аналітик</w:t>
            </w:r>
          </w:p>
        </w:tc>
        <w:tc>
          <w:tcPr>
            <w:tcW w:type="dxa" w:w="1928"/>
          </w:tcPr>
          <w:p>
            <w:r/>
            <w:r>
              <w:rPr>
                <w:sz w:val="18"/>
              </w:rPr>
              <w:t>Тижні 1–4 (01.08–30.08)</w:t>
            </w:r>
          </w:p>
        </w:tc>
      </w:tr>
      <w:tr>
        <w:tc>
          <w:tcPr>
            <w:tcW w:type="dxa" w:w="4082"/>
            <w:shd w:val="clear" w:color="auto" w:fill="F7F7F4"/>
          </w:tcPr>
          <w:p>
            <w:r/>
            <w:r>
              <w:rPr>
                <w:sz w:val="18"/>
              </w:rPr>
              <w:t>Статистичний аналіз і візуалізація (Завдання №3–5)</w:t>
            </w:r>
          </w:p>
        </w:tc>
        <w:tc>
          <w:tcPr>
            <w:tcW w:type="dxa" w:w="3402"/>
            <w:shd w:val="clear" w:color="auto" w:fill="F7F7F4"/>
          </w:tcPr>
          <w:p>
            <w:r/>
            <w:r>
              <w:rPr>
                <w:sz w:val="18"/>
              </w:rPr>
              <w:t>Продуктовий аналітик</w:t>
            </w:r>
          </w:p>
        </w:tc>
        <w:tc>
          <w:tcPr>
            <w:tcW w:type="dxa" w:w="1928"/>
            <w:shd w:val="clear" w:color="auto" w:fill="F7F7F4"/>
          </w:tcPr>
          <w:p>
            <w:r/>
            <w:r>
              <w:rPr>
                <w:sz w:val="18"/>
              </w:rPr>
              <w:t>Тиждень 5</w:t>
            </w:r>
          </w:p>
        </w:tc>
      </w:tr>
      <w:tr>
        <w:tc>
          <w:tcPr>
            <w:tcW w:type="dxa" w:w="4082"/>
          </w:tcPr>
          <w:p>
            <w:r/>
            <w:r>
              <w:rPr>
                <w:sz w:val="18"/>
              </w:rPr>
              <w:t>Презентація результатів, рішення</w:t>
            </w:r>
          </w:p>
        </w:tc>
        <w:tc>
          <w:tcPr>
            <w:tcW w:type="dxa" w:w="3402"/>
          </w:tcPr>
          <w:p>
            <w:r/>
            <w:r>
              <w:rPr>
                <w:sz w:val="18"/>
              </w:rPr>
              <w:t>Аналітик, керівник продукту</w:t>
            </w:r>
          </w:p>
        </w:tc>
        <w:tc>
          <w:tcPr>
            <w:tcW w:type="dxa" w:w="1928"/>
          </w:tcPr>
          <w:p>
            <w:r/>
            <w:r>
              <w:rPr>
                <w:sz w:val="18"/>
              </w:rPr>
              <w:t>Тиждень 5</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eastAsia="Arial"/>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eastAsia="Arial"/>
      <w:b/>
      <w:bCs/>
      <w:color w:val="0B0B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