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40"/>
        </w:rPr>
        <w:t>Результати A/B-тесту та їх статистична значущість</w:t>
      </w:r>
    </w:p>
    <w:p>
      <w:r>
        <w:rPr>
          <w:color w:val="52514E"/>
          <w:sz w:val="21"/>
        </w:rPr>
        <w:t>Новий підхід до розміщення онлайн-реклами продукту · Фінальний проєкт, Завдання №3</w:t>
      </w:r>
    </w:p>
    <w:p>
      <w:pPr>
        <w:pBdr>
          <w:bottom w:val="single" w:sz="6" w:space="4" w:color="C3C2B7"/>
        </w:pBdr>
      </w:pPr>
      <w:r>
        <w:rPr>
          <w:color w:val="52514E"/>
          <w:sz w:val="19"/>
        </w:rPr>
        <w:t>Автор: Мойсеєнко Світлана  ·  Дисципліна: Продуктова аналітика та прикладна статистика (GoIT Neoversity)  ·  17 жовтня 2026 р.</w:t>
      </w:r>
    </w:p>
    <w:p>
      <w:pPr>
        <w:pStyle w:val="Heading1"/>
      </w:pPr>
      <w:r>
        <w:t>1. Коротко про результат</w:t>
      </w:r>
    </w:p>
    <w:p>
      <w:r>
        <w:rPr>
          <w:i w:val="0"/>
        </w:rPr>
        <w:t>Новий підхід до розміщення реклами не збільшив кількість покупок: у тестовій групі в середньому 513 покупок на день проти 523 у контрольній (p = 0.847). Водночас витрати тестової групи були на +12% вищими (p = 0.006), тому вартість покупки (CPA) зросла з $5.05 до $6.00 на день (+19%, p = 0.152 — різниця статистично незначуща). Новий підхід істотно змінив структуру воронки: CTR зріс удвічі, конверсія клік → кошик упала, а конверсія кошик → покупка зросла. Основну гіпотезу (нижчий CPA) не підтверджено.</w:t>
      </w:r>
    </w:p>
    <w:p>
      <w:pPr>
        <w:pStyle w:val="Heading1"/>
      </w:pPr>
      <w:r>
        <w:t>2. Дані та підготовка</w:t>
      </w:r>
    </w:p>
    <w:p>
      <w:pPr>
        <w:pStyle w:val="ListBullet"/>
        <w:spacing w:after="60"/>
      </w:pPr>
      <w:r>
        <w:rPr>
          <w:b/>
        </w:rPr>
        <w:t xml:space="preserve">Джерело: </w:t>
      </w:r>
      <w:r>
        <w:t>поденні дані двох кампаній за 01.08–30.08.2019 (30 днів): витрати, покази, охоплення та кроки воронки сайту.</w:t>
      </w:r>
    </w:p>
    <w:p>
      <w:pPr>
        <w:pStyle w:val="ListBullet"/>
        <w:spacing w:after="60"/>
      </w:pPr>
      <w:r>
        <w:rPr>
          <w:b/>
        </w:rPr>
        <w:t xml:space="preserve">Пропуски: </w:t>
      </w:r>
      <w:r>
        <w:t>у контрольній групі за 05.08 є лише витрати, показники воронки відсутні; щоб порівнювати групи за однаковий період, цей день виключено з розрахунків для обох груп (по 29 днів у кожній).</w:t>
      </w:r>
    </w:p>
    <w:p>
      <w:pPr>
        <w:pStyle w:val="ListBullet"/>
        <w:spacing w:after="60"/>
      </w:pPr>
      <w:r>
        <w:rPr>
          <w:b/>
        </w:rPr>
        <w:t xml:space="preserve">Аномалії: </w:t>
      </w:r>
      <w:r>
        <w:t>у контрольній групі 30.08 кількість покупок перевищує кількість додавань у кошик (конверсія кроку &gt; 100 %) — імовірна похибка трекінгу. День залишено в основному аналізі; чутливість результату до нього перевірено окремо (Завдання №5).</w:t>
      </w:r>
    </w:p>
    <w:p>
      <w:pPr>
        <w:pStyle w:val="ListBullet"/>
        <w:spacing w:after="60"/>
      </w:pPr>
      <w:r>
        <w:rPr>
          <w:b/>
        </w:rPr>
        <w:t xml:space="preserve">Одиниця аналізу: </w:t>
      </w:r>
      <w:r>
        <w:t>день (n = 29 у кожній групі) для абсолютних показників та середніх конверсій; користувач/подія — для агрегованих часток (z-тест пропорцій).</w:t>
      </w:r>
    </w:p>
    <w:p>
      <w:pPr>
        <w:pStyle w:val="Heading1"/>
      </w:pPr>
      <w:r>
        <w:t>3. Метод</w:t>
      </w:r>
    </w:p>
    <w:p>
      <w:r>
        <w:rPr>
          <w:i w:val="0"/>
        </w:rPr>
        <w:t>Основний метод — t-тест Уелча для незалежних вибірок (scipy.stats.ttest_ind, equal_var=False): він не вимагає рівності дисперсій і стійкий до відмінностей у мінливості метрик між групами. Для кожної метрики наведено 95 % довірчий інтервал різниці середніх. Оскільки за n ≈ 30 розподіли деяких метрик відрізняються від нормального (тест Шапіро–Уїлка відхиляє нормальність для кліків, покупок, CPA та окремих конверсій), результати перевірено непараметричним критерієм Манна–Уїтні. Для конверсій на рівні користувачів (CTR, клік → кошик, кошик → покупка, клік → покупка) додатково застосовано z-тест для різниці двох часток. Рівень значущості α = 0.05, тести двосторонні.</w:t>
      </w:r>
    </w:p>
    <w:p>
      <w:pPr>
        <w:pStyle w:val="Heading1"/>
      </w:pPr>
      <w:r>
        <w:t>4. Підсумкові показники за період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969"/>
            <w:shd w:val="clear" w:color="auto" w:fill="E8EEF7"/>
          </w:tcPr>
          <w:p>
            <w:r/>
            <w:r>
              <w:rPr>
                <w:b/>
                <w:sz w:val="18"/>
              </w:rPr>
              <w:t>Показник (29 днів з повними даними в обох групах)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1814"/>
            <w:shd w:val="clear" w:color="auto" w:fill="E8EEF7"/>
          </w:tcPr>
          <w:p>
            <w:r/>
            <w:r>
              <w:rPr>
                <w:b/>
                <w:sz w:val="18"/>
              </w:rPr>
              <w:t>Test vs Control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Витрати, $ (сума)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$66 818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$74 595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+11.6%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Покази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3 177 233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2 123 249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-33.2%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Охоплення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2 576 503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1 509 609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-41.4%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Кліки на сайт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154 303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175 107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+13.5%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Пошук на сайті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64 418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70 463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+9.4%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Перегляд контенту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56 370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54 882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-2.6%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Додавання в кошик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37 700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25 490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-32.4%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Покупка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15 161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14 869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-1.9%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CTR (кліки / покази)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4.86 %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8.25 %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+69.8%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CPC, $ за клік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$0.43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$0.43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-1.6%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Конверсія клік → кошик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24.43 %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14.56 %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-40.4%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Конверсія кошик → покупка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40.21 %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58.33 %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+45.1%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Конверсія клік → покупка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9.83 %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8.49 %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8"/>
              </w:rPr>
              <w:t>-13.6%</w:t>
            </w:r>
          </w:p>
        </w:tc>
      </w:tr>
      <w:tr>
        <w:tc>
          <w:tcPr>
            <w:tcW w:type="dxa" w:w="3969"/>
            <w:shd w:val="clear" w:color="auto" w:fill="F7F7F4"/>
          </w:tcPr>
          <w:p>
            <w:r/>
            <w:r>
              <w:rPr>
                <w:sz w:val="18"/>
              </w:rPr>
              <w:t>CPA, $ за покупку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$4.41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$5.02</w:t>
            </w:r>
          </w:p>
        </w:tc>
        <w:tc>
          <w:tcPr>
            <w:tcW w:type="dxa" w:w="1814"/>
            <w:shd w:val="clear" w:color="auto" w:fill="F7F7F4"/>
          </w:tcPr>
          <w:p>
            <w:pPr>
              <w:jc w:val="right"/>
            </w:pPr>
            <w:r/>
            <w:r>
              <w:rPr>
                <w:sz w:val="18"/>
              </w:rPr>
              <w:t>+13.8%</w:t>
            </w:r>
          </w:p>
        </w:tc>
      </w:tr>
    </w:tbl>
    <w:p>
      <w:pPr>
        <w:spacing w:after="40"/>
      </w:pPr>
    </w:p>
    <w:p>
      <w:pPr>
        <w:pStyle w:val="Heading1"/>
      </w:pPr>
      <w:r>
        <w:t>5. Порівняння поденних метрик: t-тест Уелча та критерій Манна–Уїтні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2041"/>
            <w:shd w:val="clear" w:color="auto" w:fill="E8EEF7"/>
          </w:tcPr>
          <w:p>
            <w:r/>
            <w:r>
              <w:rPr>
                <w:b/>
                <w:sz w:val="16"/>
              </w:rPr>
              <w:t>Метрика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/>
                <w:sz w:val="16"/>
              </w:rPr>
              <w:t>Test</w:t>
            </w:r>
          </w:p>
        </w:tc>
        <w:tc>
          <w:tcPr>
            <w:tcW w:type="dxa" w:w="964"/>
            <w:shd w:val="clear" w:color="auto" w:fill="E8EEF7"/>
          </w:tcPr>
          <w:p>
            <w:r/>
            <w:r>
              <w:rPr>
                <w:b/>
                <w:sz w:val="16"/>
              </w:rPr>
              <w:t>Різниця</w:t>
            </w:r>
          </w:p>
        </w:tc>
        <w:tc>
          <w:tcPr>
            <w:tcW w:type="dxa" w:w="1701"/>
            <w:shd w:val="clear" w:color="auto" w:fill="E8EEF7"/>
          </w:tcPr>
          <w:p>
            <w:r/>
            <w:r>
              <w:rPr>
                <w:b/>
                <w:sz w:val="16"/>
              </w:rPr>
              <w:t>95% ДІ</w:t>
            </w:r>
          </w:p>
        </w:tc>
        <w:tc>
          <w:tcPr>
            <w:tcW w:type="dxa" w:w="624"/>
            <w:shd w:val="clear" w:color="auto" w:fill="E8EEF7"/>
          </w:tcPr>
          <w:p>
            <w:r/>
            <w:r>
              <w:rPr>
                <w:b/>
                <w:sz w:val="16"/>
              </w:rPr>
              <w:t>t</w:t>
            </w:r>
          </w:p>
        </w:tc>
        <w:tc>
          <w:tcPr>
            <w:tcW w:type="dxa" w:w="737"/>
            <w:shd w:val="clear" w:color="auto" w:fill="E8EEF7"/>
          </w:tcPr>
          <w:p>
            <w:r/>
            <w:r>
              <w:rPr>
                <w:b/>
                <w:sz w:val="16"/>
              </w:rPr>
              <w:t>p (Уелч)</w:t>
            </w:r>
          </w:p>
        </w:tc>
        <w:tc>
          <w:tcPr>
            <w:tcW w:type="dxa" w:w="737"/>
            <w:shd w:val="clear" w:color="auto" w:fill="E8EEF7"/>
          </w:tcPr>
          <w:p>
            <w:r/>
            <w:r>
              <w:rPr>
                <w:b/>
                <w:sz w:val="16"/>
              </w:rPr>
              <w:t>p (М–У)</w:t>
            </w:r>
          </w:p>
        </w:tc>
        <w:tc>
          <w:tcPr>
            <w:tcW w:type="dxa" w:w="680"/>
            <w:shd w:val="clear" w:color="auto" w:fill="E8EEF7"/>
          </w:tcPr>
          <w:p>
            <w:r/>
            <w:r>
              <w:rPr>
                <w:b/>
                <w:sz w:val="16"/>
              </w:rPr>
              <w:t>Значуща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Витрати, $ / день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2 304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2 572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+268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[+80; +456]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2.86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0.006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0.006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Покази / день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109 560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73 215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-36 344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[-50 701; -21 988]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-5.09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Охоплення / день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88 845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52 055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-36 789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[-50 072; -23 507]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-5.56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Кліки / день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5 321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6 038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+717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[-202; +1 637]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1.56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0.124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0.140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ні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Додавання в кошик / день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1 300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879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-421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[-622; -220]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-4.20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Покупки / день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523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513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-10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[-114; +94]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-0.19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0.847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0.816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ні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CTR (кліки / покази)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5.1 %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10.4 %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+5.3 п.п.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[+2.6 п.п.; +8.0 п.п.]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4.02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CPC, $ за клік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$0.49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$0.47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$-0.02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[-0.13; +0.08]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-0.44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0.659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0.864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ні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Конверсія клік → кошик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27.8 %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15.8 %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-12.0 п.п.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[-18.5 п.п.; -5.6 п.п.]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-3.79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Конверсія кошик → покупка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45.7 %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61.2 %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+15.4 п.п.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[+3.7 п.п.; +27.2 п.п.]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2.65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0.011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&lt; 0.001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так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Конверсія клік → покупка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11.5 %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9.1 %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6"/>
              </w:rPr>
              <w:t>-2.4 п.п.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[-5.4 п.п.; +0.7 п.п.]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sz w:val="16"/>
              </w:rPr>
              <w:t>-1.57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0.123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6"/>
              </w:rPr>
              <w:t>0.263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6"/>
              </w:rPr>
              <w:t>ні</w:t>
            </w:r>
          </w:p>
        </w:tc>
      </w:tr>
      <w:tr>
        <w:tc>
          <w:tcPr>
            <w:tcW w:type="dxa" w:w="2041"/>
            <w:shd w:val="clear" w:color="auto" w:fill="F7F7F4"/>
          </w:tcPr>
          <w:p>
            <w:r/>
            <w:r>
              <w:rPr>
                <w:sz w:val="16"/>
              </w:rPr>
              <w:t>CPA, $ за покупку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$5.05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$6.00</w:t>
            </w:r>
          </w:p>
        </w:tc>
        <w:tc>
          <w:tcPr>
            <w:tcW w:type="dxa" w:w="96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$+0.95</w:t>
            </w:r>
          </w:p>
        </w:tc>
        <w:tc>
          <w:tcPr>
            <w:tcW w:type="dxa" w:w="1701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[-0.36; +2.25]</w:t>
            </w:r>
          </w:p>
        </w:tc>
        <w:tc>
          <w:tcPr>
            <w:tcW w:type="dxa" w:w="624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1.46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0.152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0.197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6"/>
              </w:rPr>
              <w:t>ні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976000" cy="273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1. Відносна різниця Test vs Control для ключових метрик (середні по днях) з 95 % довірчими інтервалами.</w:t>
      </w:r>
    </w:p>
    <w:p>
      <w:pPr>
        <w:pStyle w:val="Heading1"/>
      </w:pPr>
      <w:r>
        <w:t>6. Конверсії на рівні користувачів: z-тест для різниці часток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b/>
                <w:sz w:val="17"/>
              </w:rPr>
              <w:t>Конверсія</w:t>
            </w:r>
          </w:p>
        </w:tc>
        <w:tc>
          <w:tcPr>
            <w:tcW w:type="dxa" w:w="1191"/>
            <w:shd w:val="clear" w:color="auto" w:fill="E8EEF7"/>
          </w:tcPr>
          <w:p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1191"/>
            <w:shd w:val="clear" w:color="auto" w:fill="E8EEF7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1304"/>
            <w:shd w:val="clear" w:color="auto" w:fill="E8EEF7"/>
          </w:tcPr>
          <w:p>
            <w:r/>
            <w:r>
              <w:rPr>
                <w:b/>
                <w:sz w:val="17"/>
              </w:rPr>
              <w:t>Різниця</w:t>
            </w:r>
          </w:p>
        </w:tc>
        <w:tc>
          <w:tcPr>
            <w:tcW w:type="dxa" w:w="2041"/>
            <w:shd w:val="clear" w:color="auto" w:fill="E8EEF7"/>
          </w:tcPr>
          <w:p>
            <w:r/>
            <w:r>
              <w:rPr>
                <w:b/>
                <w:sz w:val="17"/>
              </w:rPr>
              <w:t>95% ДІ (Вальд)</w:t>
            </w:r>
          </w:p>
        </w:tc>
        <w:tc>
          <w:tcPr>
            <w:tcW w:type="dxa" w:w="680"/>
            <w:shd w:val="clear" w:color="auto" w:fill="E8EEF7"/>
          </w:tcPr>
          <w:p>
            <w:r/>
            <w:r>
              <w:rPr>
                <w:b/>
                <w:sz w:val="17"/>
              </w:rPr>
              <w:t>z</w:t>
            </w:r>
          </w:p>
        </w:tc>
        <w:tc>
          <w:tcPr>
            <w:tcW w:type="dxa" w:w="737"/>
            <w:shd w:val="clear" w:color="auto" w:fill="E8EEF7"/>
          </w:tcPr>
          <w:p>
            <w:r/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CTR (кліки / покази)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4.86 %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8.25 %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+3.39 п.п.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[+3.35 п.п.; +3.43 п.п.]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7"/>
              </w:rPr>
              <w:t>158.4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7"/>
              </w:rPr>
              <w:t>&lt; 0.001</w:t>
            </w:r>
          </w:p>
        </w:tc>
      </w:tr>
      <w:tr>
        <w:tc>
          <w:tcPr>
            <w:tcW w:type="dxa" w:w="2381"/>
            <w:shd w:val="clear" w:color="auto" w:fill="F7F7F4"/>
          </w:tcPr>
          <w:p>
            <w:r/>
            <w:r>
              <w:rPr>
                <w:sz w:val="17"/>
              </w:rPr>
              <w:t>Клік → кошик</w:t>
            </w:r>
          </w:p>
        </w:tc>
        <w:tc>
          <w:tcPr>
            <w:tcW w:type="dxa" w:w="119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24.43 %</w:t>
            </w:r>
          </w:p>
        </w:tc>
        <w:tc>
          <w:tcPr>
            <w:tcW w:type="dxa" w:w="119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14.56 %</w:t>
            </w:r>
          </w:p>
        </w:tc>
        <w:tc>
          <w:tcPr>
            <w:tcW w:type="dxa" w:w="1304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-9.88 п.п.</w:t>
            </w:r>
          </w:p>
        </w:tc>
        <w:tc>
          <w:tcPr>
            <w:tcW w:type="dxa" w:w="204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[-10.15 п.п.; -9.60 п.п.]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-71.8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&lt; 0.001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Кошик → покупка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40.21 %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58.33 %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+18.12 п.п.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[+17.34 п.п.; +18.90 п.п.]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sz w:val="17"/>
              </w:rPr>
              <w:t>44.7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7"/>
              </w:rPr>
              <w:t>&lt; 0.001</w:t>
            </w:r>
          </w:p>
        </w:tc>
      </w:tr>
      <w:tr>
        <w:tc>
          <w:tcPr>
            <w:tcW w:type="dxa" w:w="2381"/>
            <w:shd w:val="clear" w:color="auto" w:fill="F7F7F4"/>
          </w:tcPr>
          <w:p>
            <w:r/>
            <w:r>
              <w:rPr>
                <w:sz w:val="17"/>
              </w:rPr>
              <w:t>Клік → покупка</w:t>
            </w:r>
          </w:p>
        </w:tc>
        <w:tc>
          <w:tcPr>
            <w:tcW w:type="dxa" w:w="119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9.83 %</w:t>
            </w:r>
          </w:p>
        </w:tc>
        <w:tc>
          <w:tcPr>
            <w:tcW w:type="dxa" w:w="119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8.49 %</w:t>
            </w:r>
          </w:p>
        </w:tc>
        <w:tc>
          <w:tcPr>
            <w:tcW w:type="dxa" w:w="1304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-1.33 п.п.</w:t>
            </w:r>
          </w:p>
        </w:tc>
        <w:tc>
          <w:tcPr>
            <w:tcW w:type="dxa" w:w="2041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[-1.53 п.п.; -1.14 п.п.]</w:t>
            </w:r>
          </w:p>
        </w:tc>
        <w:tc>
          <w:tcPr>
            <w:tcW w:type="dxa" w:w="680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-13.3</w:t>
            </w:r>
          </w:p>
        </w:tc>
        <w:tc>
          <w:tcPr>
            <w:tcW w:type="dxa" w:w="737"/>
            <w:shd w:val="clear" w:color="auto" w:fill="F7F7F4"/>
          </w:tcPr>
          <w:p>
            <w:pPr>
              <w:jc w:val="right"/>
            </w:pPr>
            <w:r/>
            <w:r>
              <w:rPr>
                <w:sz w:val="17"/>
              </w:rPr>
              <w:t>&lt; 0.001</w:t>
            </w:r>
          </w:p>
        </w:tc>
      </w:tr>
    </w:tbl>
    <w:p>
      <w:pPr>
        <w:spacing w:after="40"/>
      </w:pPr>
    </w:p>
    <w:p>
      <w:r>
        <w:rPr>
          <w:i/>
          <w:sz w:val="19"/>
        </w:rPr>
        <w:t>Агреговані тести мають величезну потужність (десятки й сотні тисяч подій), тому навіть невеликі різниці виходять «значущими». Вони припускають незалежність подій і однорідність днів, чого на практиці немає, тому для рішень ми спираємося передусім на поденні тести (розділ 5), а агреговані використовуємо як підтвердження напряму ефекту.</w:t>
      </w:r>
    </w:p>
    <w:p>
      <w:r>
        <w:drawing>
          <wp:inline xmlns:a="http://schemas.openxmlformats.org/drawingml/2006/main" xmlns:pic="http://schemas.openxmlformats.org/drawingml/2006/picture">
            <wp:extent cx="5976000" cy="1764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6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2. Щоденна динаміка покупок, CPA та конверсії кошик → покупка за групами.</w:t>
      </w:r>
    </w:p>
    <w:p>
      <w:pPr>
        <w:pStyle w:val="Heading1"/>
      </w:pPr>
      <w:r>
        <w:t>7. Інтерпретація результатів</w:t>
      </w:r>
    </w:p>
    <w:p>
      <w:pPr>
        <w:pStyle w:val="ListBullet"/>
        <w:spacing w:after="60"/>
      </w:pPr>
      <w:r>
        <w:rPr>
          <w:b/>
        </w:rPr>
        <w:t xml:space="preserve">Основна метрика — CPA — не покращилась. </w:t>
      </w:r>
      <w:r>
        <w:t>Середній денний CPA у тестовій групі $6.00 проти $5.05 у контрольній; різниця +19% статистично незначуща (p = 0.152), довірчий інтервал включає нуль. Нульову гіпотезу про відсутність різниці відхилити не можна; при цьому напрям ефекту — не на користь нового підходу.</w:t>
      </w:r>
    </w:p>
    <w:p>
      <w:pPr>
        <w:pStyle w:val="ListBullet"/>
        <w:spacing w:after="60"/>
      </w:pPr>
      <w:r>
        <w:rPr>
          <w:b/>
        </w:rPr>
        <w:t xml:space="preserve">Кількість покупок не змінилася. </w:t>
      </w:r>
      <w:r>
        <w:t>513 проти 523 покупок на день (p = 0.847) — практично ідентичний результат за вищих витрат (+12%, p = 0.006).</w:t>
      </w:r>
    </w:p>
    <w:p>
      <w:pPr>
        <w:pStyle w:val="ListBullet"/>
        <w:spacing w:after="60"/>
      </w:pPr>
      <w:r>
        <w:rPr>
          <w:b/>
        </w:rPr>
        <w:t xml:space="preserve">Верх воронки став ефективнішим. </w:t>
      </w:r>
      <w:r>
        <w:t>Показів і охоплення у тестовій групі значно менше (-33% та -41%, p &lt; 0.001), але CTR зріс удвічі (5.1 % → 10.4 %, p &lt; 0.001); кліків стало більше за майже тієї самої вартості кліку.</w:t>
      </w:r>
    </w:p>
    <w:p>
      <w:pPr>
        <w:pStyle w:val="ListBullet"/>
        <w:spacing w:after="60"/>
      </w:pPr>
      <w:r>
        <w:rPr>
          <w:b/>
        </w:rPr>
        <w:t xml:space="preserve">Середина воронки просіла, низ — зріс. </w:t>
      </w:r>
      <w:r>
        <w:t>Конверсія клік → кошик упала з 27.8 % до 15.8 % (p &lt; 0.001), тоді як конверсія кошик → покупка зросла з 45.7 % до 61.2 % (p = 0.011). Нова аудиторія частіше клікає й рішучіше купує, якщо знаходить потрібний товар, але рідше доходить до кошика — ймовірно, через невідповідність очікувань від оголошення та вмісту сайту.</w:t>
      </w:r>
    </w:p>
    <w:p>
      <w:pPr>
        <w:pStyle w:val="ListBullet"/>
        <w:spacing w:after="60"/>
      </w:pPr>
      <w:r>
        <w:rPr>
          <w:b/>
        </w:rPr>
        <w:t xml:space="preserve">Наскрізна конверсія клік → покупка </w:t>
      </w:r>
      <w:r>
        <w:t>нижча у тестовій групі (11.5 % → 9.1 %), але поденно різниця незначуща (p = 0.123).</w:t>
      </w:r>
    </w:p>
    <w:p>
      <w:pPr>
        <w:pStyle w:val="ListBullet"/>
        <w:spacing w:after="60"/>
      </w:pPr>
      <w:r>
        <w:rPr>
          <w:b/>
        </w:rPr>
        <w:t xml:space="preserve">Стійкість висновків. </w:t>
      </w:r>
      <w:r>
        <w:t>Непараметричний критерій Манна–Уїтні дає ті самі висновки щодо значущості для всіх метрик; виключення аномального дня 30.08 не змінює напряму ефектів.</w:t>
      </w:r>
    </w:p>
    <w:p>
      <w:pPr>
        <w:pStyle w:val="Heading1"/>
      </w:pPr>
      <w:r>
        <w:t>8. Висновки та рекомендації</w:t>
      </w:r>
    </w:p>
    <w:p>
      <w:pPr>
        <w:pStyle w:val="ListNumber"/>
        <w:spacing w:after="60"/>
      </w:pPr>
      <w:r>
        <w:t>Гіпотезу про те, що новий підхід до розміщення реклами знижує вартість покупки, не підтверджено: покупок стільки ж, витрати вищі, CPA не кращий. У поточному вигляді новий підхід впроваджувати не варто.</w:t>
      </w:r>
    </w:p>
    <w:p>
      <w:pPr>
        <w:pStyle w:val="ListNumber"/>
        <w:spacing w:after="60"/>
      </w:pPr>
      <w:r>
        <w:t>Новий підхід має сильні сторони — удвічі вищий CTR і значно вищу готовність до покупки після додавання в кошик. Проблема локалізована на кроці клік → кошик. Рекомендується доопрацювати посадкові сторінки / каталог під очікування нової аудиторії та повторити тест.</w:t>
      </w:r>
    </w:p>
    <w:p>
      <w:pPr>
        <w:pStyle w:val="ListNumber"/>
        <w:spacing w:after="60"/>
      </w:pPr>
      <w:r>
        <w:t>Якщо вдасться підняти конверсію клік → кошик до рівня контрольної групи, поєднання вищого CTR і вищої конверсії кошик → покупка дасть істотний приріст покупок за той самий бюджет — це головна гіпотеза для наступної ітерації.</w:t>
      </w:r>
    </w:p>
    <w:p>
      <w:pPr>
        <w:pStyle w:val="ListNumber"/>
        <w:spacing w:after="60"/>
      </w:pPr>
      <w:r>
        <w:t>Перед наступним запуском слід усунути проблеми трекінгу (пропущений день, покупки без кроку «кошик») та забезпечити однакові витрати груп, інакше порівняння абсолютних показників буде некоректним.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C5C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C5C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0B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