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51758" w14:textId="7247C359" w:rsidR="00C8298D" w:rsidRDefault="00C8298D" w:rsidP="00C8298D">
      <w:pPr>
        <w:rPr>
          <w:b/>
          <w:bCs/>
        </w:rPr>
      </w:pPr>
      <w:r w:rsidRPr="00C8298D">
        <w:rPr>
          <w:b/>
          <w:bCs/>
        </w:rPr>
        <w:t xml:space="preserve">Project Title: </w:t>
      </w:r>
      <w:r w:rsidR="006E112A" w:rsidRPr="006E112A">
        <w:rPr>
          <w:b/>
          <w:bCs/>
        </w:rPr>
        <w:t>HCAHPS Survey Results Analysis</w:t>
      </w:r>
    </w:p>
    <w:p w14:paraId="2EC62177" w14:textId="6B642F0D" w:rsidR="00923682" w:rsidRDefault="00923682" w:rsidP="00923682">
      <w:pPr>
        <w:rPr>
          <w:b/>
          <w:bCs/>
        </w:rPr>
      </w:pPr>
      <w:r w:rsidRPr="00923682">
        <w:rPr>
          <w:b/>
          <w:bCs/>
        </w:rPr>
        <w:t xml:space="preserve">Project </w:t>
      </w:r>
      <w:r w:rsidR="000C4C6D">
        <w:rPr>
          <w:b/>
          <w:bCs/>
        </w:rPr>
        <w:t xml:space="preserve">Description: </w:t>
      </w:r>
    </w:p>
    <w:p w14:paraId="6B192A98" w14:textId="77777777" w:rsidR="0057307A" w:rsidRDefault="008B2FC5" w:rsidP="00923682">
      <w:r w:rsidRPr="008B2FC5">
        <w:t xml:space="preserve">The project required taking on the role of a Data Analyst representing the American Hospital Association (AHA). In this capacity, the main objective was to </w:t>
      </w:r>
      <w:proofErr w:type="spellStart"/>
      <w:r w:rsidRPr="008B2FC5">
        <w:t>analyze</w:t>
      </w:r>
      <w:proofErr w:type="spellEnd"/>
      <w:r w:rsidRPr="008B2FC5">
        <w:t xml:space="preserve"> data from nine years of Hospital Consumer Assessment of Healthcare Providers and Systems (HCAHPS) surveys. </w:t>
      </w:r>
    </w:p>
    <w:p w14:paraId="11AB7D1D" w14:textId="6E26D720" w:rsidR="000C4C6D" w:rsidRDefault="008B2FC5" w:rsidP="00923682">
      <w:r w:rsidRPr="008B2FC5">
        <w:t xml:space="preserve">The goal was to understand patients' perspectives on hospital care and identify opportunities for improving quality. Throughout the challenge, the project involved thoroughly examining trends in HCAHPS scores, </w:t>
      </w:r>
      <w:r w:rsidR="00C56E29" w:rsidRPr="00C56E29">
        <w:t>recogniz</w:t>
      </w:r>
      <w:r w:rsidR="00C56E29">
        <w:t>ing</w:t>
      </w:r>
      <w:r w:rsidR="00C56E29" w:rsidRPr="00C56E29">
        <w:t xml:space="preserve"> strong points</w:t>
      </w:r>
      <w:r w:rsidR="00C56E29">
        <w:t xml:space="preserve">, </w:t>
      </w:r>
      <w:r w:rsidRPr="008B2FC5">
        <w:t xml:space="preserve">pinpointing opportunities for improvement and developing practical recommendations for hospitals to enhance the overall patient experience. </w:t>
      </w:r>
    </w:p>
    <w:p w14:paraId="19AF7040" w14:textId="4EA7160B" w:rsidR="0057307A" w:rsidRDefault="00BC59A0" w:rsidP="00C8298D">
      <w:r w:rsidRPr="0057307A">
        <w:t>The following steps were undertaken to achieve this goal:</w:t>
      </w:r>
    </w:p>
    <w:p w14:paraId="5CD7EF71" w14:textId="77777777" w:rsidR="00C8298D" w:rsidRPr="00C8298D" w:rsidRDefault="00C8298D" w:rsidP="00C8298D">
      <w:pPr>
        <w:rPr>
          <w:b/>
          <w:bCs/>
        </w:rPr>
      </w:pPr>
      <w:r w:rsidRPr="00C8298D">
        <w:rPr>
          <w:b/>
          <w:bCs/>
        </w:rPr>
        <w:t>The project steps included:</w:t>
      </w:r>
    </w:p>
    <w:p w14:paraId="63099AFD" w14:textId="2BF8A131" w:rsidR="00C8298D" w:rsidRDefault="00C8298D" w:rsidP="00C7201A">
      <w:pPr>
        <w:numPr>
          <w:ilvl w:val="0"/>
          <w:numId w:val="4"/>
        </w:numPr>
        <w:spacing w:after="0"/>
      </w:pPr>
      <w:r w:rsidRPr="002D62EE">
        <w:rPr>
          <w:b/>
          <w:bCs/>
        </w:rPr>
        <w:t xml:space="preserve">Data Acquisition: </w:t>
      </w:r>
      <w:r w:rsidRPr="00C8298D">
        <w:t xml:space="preserve">The initial step involved downloading the dataset from </w:t>
      </w:r>
      <w:r w:rsidR="006E112A">
        <w:t xml:space="preserve">Maven Analytics website </w:t>
      </w:r>
      <w:r w:rsidR="002D62EE" w:rsidRPr="002D62EE">
        <w:t>followed by an initial exploration in MS Excel.</w:t>
      </w:r>
    </w:p>
    <w:p w14:paraId="7C7A4B70" w14:textId="7690D1EA" w:rsidR="00C8298D" w:rsidRDefault="00C8298D" w:rsidP="00C7201A">
      <w:pPr>
        <w:numPr>
          <w:ilvl w:val="0"/>
          <w:numId w:val="4"/>
        </w:numPr>
        <w:spacing w:after="0"/>
      </w:pPr>
      <w:r w:rsidRPr="00C8298D">
        <w:rPr>
          <w:b/>
          <w:bCs/>
        </w:rPr>
        <w:t>Data Connection</w:t>
      </w:r>
      <w:r w:rsidRPr="00C8298D">
        <w:t xml:space="preserve">: A connection was established to the data file within Microsoft Power BI, </w:t>
      </w:r>
      <w:r w:rsidRPr="00A94D14">
        <w:t xml:space="preserve">enabling </w:t>
      </w:r>
      <w:r w:rsidR="009E0FDF" w:rsidRPr="00A94D14">
        <w:t xml:space="preserve">an </w:t>
      </w:r>
      <w:r w:rsidRPr="00A94D14">
        <w:t>access and integration of the dataset.</w:t>
      </w:r>
    </w:p>
    <w:p w14:paraId="1B08D5F6" w14:textId="1C4337C8" w:rsidR="00C8298D" w:rsidRDefault="00C8298D" w:rsidP="00C7201A">
      <w:pPr>
        <w:numPr>
          <w:ilvl w:val="0"/>
          <w:numId w:val="4"/>
        </w:numPr>
        <w:spacing w:after="0"/>
      </w:pPr>
      <w:r w:rsidRPr="00A94D14">
        <w:rPr>
          <w:b/>
          <w:bCs/>
        </w:rPr>
        <w:t>Exploratory Data Analysis</w:t>
      </w:r>
      <w:r w:rsidRPr="00A94D14">
        <w:t>: Applied Exploratory Data Analysis techniques in the Query Editor to gain insights into the data</w:t>
      </w:r>
      <w:r w:rsidR="009650FF" w:rsidRPr="00A94D14">
        <w:t xml:space="preserve"> quality</w:t>
      </w:r>
      <w:r w:rsidR="005270BF">
        <w:t xml:space="preserve"> and</w:t>
      </w:r>
      <w:r w:rsidRPr="00A94D14">
        <w:t xml:space="preserve"> structure</w:t>
      </w:r>
      <w:r w:rsidR="005270BF">
        <w:t>.</w:t>
      </w:r>
    </w:p>
    <w:p w14:paraId="0A647748" w14:textId="44C0968F" w:rsidR="00C604FA" w:rsidRDefault="00550CA4" w:rsidP="00C7201A">
      <w:pPr>
        <w:pStyle w:val="ListParagraph"/>
        <w:numPr>
          <w:ilvl w:val="0"/>
          <w:numId w:val="4"/>
        </w:numPr>
        <w:spacing w:after="0"/>
      </w:pPr>
      <w:r w:rsidRPr="00C604FA">
        <w:rPr>
          <w:b/>
          <w:bCs/>
        </w:rPr>
        <w:t>Data Cleaning:</w:t>
      </w:r>
      <w:r w:rsidR="002D62EE">
        <w:t xml:space="preserve"> </w:t>
      </w:r>
      <w:r w:rsidR="00C604FA" w:rsidRPr="002D62EE">
        <w:t>Ensured data integrity by cleaning,</w:t>
      </w:r>
      <w:r w:rsidR="00C604FA">
        <w:t xml:space="preserve"> a</w:t>
      </w:r>
      <w:r w:rsidR="00C604FA" w:rsidRPr="00C604FA">
        <w:t xml:space="preserve">ddressing </w:t>
      </w:r>
      <w:r w:rsidR="00C604FA">
        <w:t>i</w:t>
      </w:r>
      <w:r w:rsidR="00C604FA" w:rsidRPr="00C604FA">
        <w:t xml:space="preserve">nconsistencies and </w:t>
      </w:r>
      <w:r w:rsidR="00C604FA">
        <w:t>h</w:t>
      </w:r>
      <w:r w:rsidR="00C604FA" w:rsidRPr="00C604FA">
        <w:t xml:space="preserve">andling </w:t>
      </w:r>
      <w:r w:rsidR="00C604FA">
        <w:t>m</w:t>
      </w:r>
      <w:r w:rsidR="00C604FA" w:rsidRPr="00C604FA">
        <w:t xml:space="preserve">ixed </w:t>
      </w:r>
      <w:r w:rsidR="00C604FA">
        <w:t>d</w:t>
      </w:r>
      <w:r w:rsidR="00C604FA" w:rsidRPr="00C604FA">
        <w:t>ata (</w:t>
      </w:r>
      <w:r w:rsidR="00C604FA">
        <w:t>n</w:t>
      </w:r>
      <w:r w:rsidR="00C604FA" w:rsidRPr="00C604FA">
        <w:t xml:space="preserve">umerical and </w:t>
      </w:r>
      <w:r w:rsidR="00C604FA">
        <w:t>c</w:t>
      </w:r>
      <w:r w:rsidR="00C604FA" w:rsidRPr="00C604FA">
        <w:t>ategorical)</w:t>
      </w:r>
      <w:r w:rsidR="00C604FA">
        <w:t>.</w:t>
      </w:r>
    </w:p>
    <w:p w14:paraId="108AEF0A" w14:textId="4F41AACE" w:rsidR="00C604FA" w:rsidRDefault="00C604FA" w:rsidP="00C7201A">
      <w:pPr>
        <w:pStyle w:val="ListParagraph"/>
        <w:numPr>
          <w:ilvl w:val="0"/>
          <w:numId w:val="4"/>
        </w:numPr>
        <w:spacing w:after="0"/>
      </w:pPr>
      <w:r w:rsidRPr="00991B7D">
        <w:rPr>
          <w:b/>
          <w:bCs/>
        </w:rPr>
        <w:t xml:space="preserve">Data </w:t>
      </w:r>
      <w:proofErr w:type="spellStart"/>
      <w:r w:rsidRPr="00991B7D">
        <w:rPr>
          <w:b/>
          <w:bCs/>
        </w:rPr>
        <w:t>Modeling</w:t>
      </w:r>
      <w:proofErr w:type="spellEnd"/>
      <w:r w:rsidRPr="00991B7D">
        <w:rPr>
          <w:b/>
          <w:bCs/>
        </w:rPr>
        <w:t>:</w:t>
      </w:r>
      <w:r w:rsidRPr="003E6ECE">
        <w:rPr>
          <w:b/>
          <w:bCs/>
        </w:rPr>
        <w:t xml:space="preserve"> </w:t>
      </w:r>
      <w:r w:rsidRPr="002D62EE">
        <w:t>Within the Data Model, created meaningful relationships between dimension tables (Reports, Survey Measures, States, Questions) and fact tables (National Results, State Results, Responses), resulting in an interactive analytical environment.</w:t>
      </w:r>
    </w:p>
    <w:p w14:paraId="1D6E48B2" w14:textId="33910772" w:rsidR="003E6ECE" w:rsidRPr="002D62EE" w:rsidRDefault="00511C1D" w:rsidP="00C7201A">
      <w:pPr>
        <w:pStyle w:val="ListParagraph"/>
        <w:numPr>
          <w:ilvl w:val="0"/>
          <w:numId w:val="4"/>
        </w:numPr>
        <w:spacing w:after="0"/>
      </w:pPr>
      <w:r w:rsidRPr="003E6ECE">
        <w:rPr>
          <w:b/>
          <w:bCs/>
        </w:rPr>
        <w:t>Comprehensive Analysis</w:t>
      </w:r>
      <w:r w:rsidRPr="00511C1D">
        <w:t>:</w:t>
      </w:r>
      <w:r w:rsidR="003E6ECE" w:rsidRPr="003E6ECE">
        <w:rPr>
          <w:b/>
          <w:bCs/>
        </w:rPr>
        <w:t xml:space="preserve"> </w:t>
      </w:r>
      <w:r w:rsidR="003E6ECE" w:rsidRPr="002D62EE">
        <w:t>Employed Data Analysis Expressions (DAX) measures to generate new data insights and enhance analytical capabilities.</w:t>
      </w:r>
    </w:p>
    <w:p w14:paraId="08736F91" w14:textId="70CF27B1" w:rsidR="002D62EE" w:rsidRDefault="00EC104D" w:rsidP="00C7201A">
      <w:pPr>
        <w:pStyle w:val="ListParagraph"/>
        <w:numPr>
          <w:ilvl w:val="0"/>
          <w:numId w:val="4"/>
        </w:numPr>
        <w:spacing w:after="0"/>
      </w:pPr>
      <w:r w:rsidRPr="003E6ECE">
        <w:rPr>
          <w:b/>
          <w:bCs/>
        </w:rPr>
        <w:t xml:space="preserve">Detailed Report: </w:t>
      </w:r>
      <w:r w:rsidR="002D62EE" w:rsidRPr="002D62EE">
        <w:t>Concluded the project with a multi-tab report, including "Overview"</w:t>
      </w:r>
      <w:r w:rsidR="003E6ECE">
        <w:t>,</w:t>
      </w:r>
      <w:r w:rsidR="002D62EE" w:rsidRPr="002D62EE">
        <w:t xml:space="preserve"> "National Results"</w:t>
      </w:r>
      <w:r w:rsidR="003E6ECE">
        <w:t>,</w:t>
      </w:r>
      <w:r w:rsidR="002D62EE" w:rsidRPr="002D62EE">
        <w:t xml:space="preserve"> "State Results I" and "State Results II" offering specialized perspectives on HCAHPS Survey Results and valuable insights.</w:t>
      </w:r>
    </w:p>
    <w:p w14:paraId="60A8DEA2" w14:textId="58651006" w:rsidR="00CD0BF6" w:rsidRDefault="00CD0BF6" w:rsidP="00C7201A">
      <w:pPr>
        <w:rPr>
          <w:b/>
          <w:bCs/>
          <w:sz w:val="8"/>
          <w:szCs w:val="8"/>
        </w:rPr>
      </w:pPr>
    </w:p>
    <w:p w14:paraId="230F8D40" w14:textId="6C324C60" w:rsidR="00C7201A" w:rsidRPr="00C7201A" w:rsidRDefault="00C7201A" w:rsidP="00C7201A">
      <w:pPr>
        <w:rPr>
          <w:b/>
          <w:bCs/>
        </w:rPr>
      </w:pPr>
      <w:r w:rsidRPr="00C7201A">
        <w:rPr>
          <w:b/>
          <w:bCs/>
        </w:rPr>
        <w:t>Terminology employed in the project:</w:t>
      </w:r>
    </w:p>
    <w:p w14:paraId="26AA9470" w14:textId="633C8D59" w:rsidR="00C7201A" w:rsidRPr="00C7201A" w:rsidRDefault="00C7201A" w:rsidP="00C7201A">
      <w:pPr>
        <w:numPr>
          <w:ilvl w:val="0"/>
          <w:numId w:val="18"/>
        </w:numPr>
        <w:spacing w:after="0" w:line="240" w:lineRule="auto"/>
      </w:pPr>
      <w:r w:rsidRPr="00C7201A">
        <w:rPr>
          <w:b/>
          <w:bCs/>
        </w:rPr>
        <w:t xml:space="preserve">Top Box %: </w:t>
      </w:r>
      <w:r w:rsidRPr="00C7201A">
        <w:t xml:space="preserve">Percentage of </w:t>
      </w:r>
      <w:r>
        <w:t>Positive</w:t>
      </w:r>
      <w:r w:rsidRPr="00C7201A">
        <w:t xml:space="preserve"> Responses</w:t>
      </w:r>
    </w:p>
    <w:p w14:paraId="790D4B66" w14:textId="77777777" w:rsidR="00C7201A" w:rsidRPr="00C7201A" w:rsidRDefault="00C7201A" w:rsidP="00C7201A">
      <w:pPr>
        <w:numPr>
          <w:ilvl w:val="0"/>
          <w:numId w:val="18"/>
        </w:numPr>
        <w:spacing w:after="0" w:line="240" w:lineRule="auto"/>
        <w:rPr>
          <w:b/>
          <w:bCs/>
        </w:rPr>
      </w:pPr>
      <w:r w:rsidRPr="00C7201A">
        <w:rPr>
          <w:b/>
          <w:bCs/>
        </w:rPr>
        <w:t xml:space="preserve">Middle Box %: </w:t>
      </w:r>
      <w:r w:rsidRPr="00C7201A">
        <w:t>Percentage of Neutral Responses</w:t>
      </w:r>
    </w:p>
    <w:p w14:paraId="0E128989" w14:textId="3C3E1E61" w:rsidR="00C7201A" w:rsidRDefault="00C7201A" w:rsidP="00C7201A">
      <w:pPr>
        <w:numPr>
          <w:ilvl w:val="0"/>
          <w:numId w:val="18"/>
        </w:numPr>
        <w:spacing w:after="0" w:line="240" w:lineRule="auto"/>
      </w:pPr>
      <w:r w:rsidRPr="00C7201A">
        <w:rPr>
          <w:b/>
          <w:bCs/>
        </w:rPr>
        <w:t xml:space="preserve">Bottom Box %: </w:t>
      </w:r>
      <w:r w:rsidRPr="00C7201A">
        <w:t xml:space="preserve">Percentage of </w:t>
      </w:r>
      <w:r>
        <w:t>Negative</w:t>
      </w:r>
      <w:r w:rsidRPr="00C7201A">
        <w:t xml:space="preserve"> Responses</w:t>
      </w:r>
    </w:p>
    <w:p w14:paraId="1DC7CDB3" w14:textId="77777777" w:rsidR="005270BF" w:rsidRDefault="005270BF" w:rsidP="005270BF">
      <w:pPr>
        <w:spacing w:after="0" w:line="240" w:lineRule="auto"/>
      </w:pPr>
    </w:p>
    <w:p w14:paraId="2D8FDDF0" w14:textId="77777777" w:rsidR="005270BF" w:rsidRDefault="005270BF" w:rsidP="005270BF">
      <w:pPr>
        <w:rPr>
          <w:b/>
          <w:bCs/>
        </w:rPr>
      </w:pPr>
      <w:r w:rsidRPr="009C7BB1">
        <w:rPr>
          <w:b/>
          <w:bCs/>
        </w:rPr>
        <w:t>Key findings from the data analysis are as follows:</w:t>
      </w:r>
    </w:p>
    <w:p w14:paraId="7C7DDA2D" w14:textId="77777777" w:rsidR="008D71C5" w:rsidRPr="008D71C5" w:rsidRDefault="008D71C5" w:rsidP="008D71C5">
      <w:pPr>
        <w:spacing w:after="0"/>
      </w:pPr>
      <w:r w:rsidRPr="008D71C5">
        <w:rPr>
          <w:b/>
          <w:bCs/>
        </w:rPr>
        <w:t>Participation and Response Rates:</w:t>
      </w:r>
    </w:p>
    <w:p w14:paraId="2E584224" w14:textId="3ADE0545" w:rsidR="008D71C5" w:rsidRPr="008D71C5" w:rsidRDefault="008D71C5" w:rsidP="00AB6B26">
      <w:pPr>
        <w:spacing w:after="0"/>
      </w:pPr>
      <w:r w:rsidRPr="008D71C5">
        <w:t>Over a span of 9 releases, the project involved 4,799 hospitals and collected a</w:t>
      </w:r>
      <w:r w:rsidR="005270BF">
        <w:t>round</w:t>
      </w:r>
      <w:r w:rsidRPr="008D71C5">
        <w:t xml:space="preserve"> 23.4 million completed surveys.</w:t>
      </w:r>
      <w:r>
        <w:t xml:space="preserve"> </w:t>
      </w:r>
      <w:r w:rsidRPr="008D71C5">
        <w:t>The average response rate across all years was 26.6%. However, it's important to note that the average response rate has been declining over the past 9 years, dropping from 30.8% in 2015 to 22.7% in 2023.</w:t>
      </w:r>
    </w:p>
    <w:p w14:paraId="409A6005" w14:textId="77777777" w:rsidR="008D71C5" w:rsidRDefault="008D71C5" w:rsidP="005A4BB3">
      <w:pPr>
        <w:spacing w:after="0"/>
      </w:pPr>
    </w:p>
    <w:p w14:paraId="142C032B" w14:textId="77777777" w:rsidR="008D71C5" w:rsidRPr="008D71C5" w:rsidRDefault="008D71C5" w:rsidP="008D71C5">
      <w:pPr>
        <w:spacing w:after="0"/>
        <w:rPr>
          <w:b/>
          <w:bCs/>
        </w:rPr>
      </w:pPr>
      <w:r w:rsidRPr="008D71C5">
        <w:rPr>
          <w:b/>
          <w:bCs/>
        </w:rPr>
        <w:t>Response Rates by State:</w:t>
      </w:r>
    </w:p>
    <w:p w14:paraId="7412CB8B" w14:textId="77777777" w:rsidR="008D71C5" w:rsidRDefault="008D71C5" w:rsidP="00AB6B26">
      <w:pPr>
        <w:spacing w:after="0"/>
      </w:pPr>
      <w:r>
        <w:t>Response rates varied significantly by state. Nebraska had the highest average response rate</w:t>
      </w:r>
    </w:p>
    <w:p w14:paraId="64821D29" w14:textId="421223B1" w:rsidR="005A4BB3" w:rsidRDefault="008D71C5" w:rsidP="008D71C5">
      <w:pPr>
        <w:spacing w:after="0"/>
      </w:pPr>
      <w:r>
        <w:t>at 36.3%, while the District of Columbia had the lowest at 20.6%.</w:t>
      </w:r>
      <w:r>
        <w:t xml:space="preserve"> </w:t>
      </w:r>
      <w:r>
        <w:t xml:space="preserve">The top-performing states in terms of response rate included Nebraska, Wisconsin, Minnesota, Iowa, North Dakota, South Dakota and </w:t>
      </w:r>
      <w:r>
        <w:lastRenderedPageBreak/>
        <w:t>Kansas. Conversely, the lowest response rates were observed in the District of Columbia, New Mexico, Georgia, New Jersey, Alaska, Maryland and Nevada.</w:t>
      </w:r>
    </w:p>
    <w:p w14:paraId="2C0FBA9F" w14:textId="77777777" w:rsidR="009E02AA" w:rsidRDefault="009E02AA" w:rsidP="008D71C5">
      <w:pPr>
        <w:spacing w:after="0"/>
      </w:pPr>
    </w:p>
    <w:p w14:paraId="03B56CB5" w14:textId="77777777" w:rsidR="009E02AA" w:rsidRPr="009E02AA" w:rsidRDefault="009E02AA" w:rsidP="009E02AA">
      <w:pPr>
        <w:spacing w:after="0"/>
      </w:pPr>
      <w:r w:rsidRPr="009E02AA">
        <w:rPr>
          <w:b/>
          <w:bCs/>
        </w:rPr>
        <w:t>National and State-Level Sentiment Overview:</w:t>
      </w:r>
    </w:p>
    <w:p w14:paraId="621800EB" w14:textId="75152082" w:rsidR="009E02AA" w:rsidRPr="009E02AA" w:rsidRDefault="009E02AA" w:rsidP="009E02AA">
      <w:pPr>
        <w:spacing w:after="0"/>
      </w:pPr>
      <w:r w:rsidRPr="009E02AA">
        <w:rPr>
          <w:b/>
          <w:bCs/>
        </w:rPr>
        <w:t>At the national level</w:t>
      </w:r>
      <w:r w:rsidRPr="009E02AA">
        <w:t>, the average Top Box % stands at 71.4% over nine years, with Middle Box % at 20.2% and Bottom Box % at 8.4%. The most recent data reveals a slight decline in Top Box % to 69.4% compared to the previous period at 70.7%. The Bottom Box % has increased by 4.35% from 9.2% to 9.6%. Notably, Top Box % had been steadily increasing since 2015 but saw a significant drop in 2021, reaching its lowest point in 2023. Bottom Box % showed minor drops in 2017, 2018 and 2021 but started rising in 2022, continuing into 2023.</w:t>
      </w:r>
    </w:p>
    <w:p w14:paraId="4DE814CE" w14:textId="2E176012" w:rsidR="009E02AA" w:rsidRPr="009E02AA" w:rsidRDefault="009E02AA" w:rsidP="009E02AA">
      <w:pPr>
        <w:spacing w:after="0"/>
      </w:pPr>
      <w:r w:rsidRPr="009E02AA">
        <w:rPr>
          <w:b/>
          <w:bCs/>
        </w:rPr>
        <w:t>On the state level</w:t>
      </w:r>
      <w:r w:rsidRPr="009E02AA">
        <w:t>, the nine-year average Top Box % is 71.3%, Middle Box % is 20.3% and Bottom Box % is 8.4%. Similar to the national trend, the latest data shows a slight decline in Top Box % to 69.4% from 70.6%. The Bottom Box % increased by 5.66% from 9.1% to 9.6%. Like the national level, Top Box % had been consistently rising since 2015 but experienced a decline in 2021, reaching its lowest point in 2023. Bottom Box % showed small drops in 2017, 2018 and 2021 but began to rise in 2022 and continued into 2023.</w:t>
      </w:r>
    </w:p>
    <w:p w14:paraId="596CC08A" w14:textId="77777777" w:rsidR="009E02AA" w:rsidRDefault="009E02AA" w:rsidP="00E4085D">
      <w:pPr>
        <w:spacing w:after="0"/>
      </w:pPr>
    </w:p>
    <w:p w14:paraId="79463997" w14:textId="41603607" w:rsidR="00E4085D" w:rsidRPr="00E4085D" w:rsidRDefault="00E4085D" w:rsidP="00E4085D">
      <w:pPr>
        <w:spacing w:after="0"/>
      </w:pPr>
      <w:r w:rsidRPr="00E4085D">
        <w:rPr>
          <w:b/>
          <w:bCs/>
        </w:rPr>
        <w:t>A Closer Look at Key Measures</w:t>
      </w:r>
      <w:r w:rsidR="009E02AA">
        <w:rPr>
          <w:b/>
          <w:bCs/>
        </w:rPr>
        <w:t>:</w:t>
      </w:r>
    </w:p>
    <w:p w14:paraId="161C5742" w14:textId="1C4A57B8" w:rsidR="00E4085D" w:rsidRDefault="00E4085D" w:rsidP="00E4085D">
      <w:pPr>
        <w:spacing w:after="0"/>
      </w:pPr>
      <w:r w:rsidRPr="00E4085D">
        <w:t xml:space="preserve">Upon conducting an in-depth analysis, several significant trends have emerged across all 10 measures. Notably, Top Box % has decreased while Bottom Box % has shown an increasing trend since 2021, based on 2020 year data. The most substantial shifts have been observed in the domains of </w:t>
      </w:r>
      <w:r w:rsidRPr="00E4085D">
        <w:rPr>
          <w:b/>
          <w:bCs/>
        </w:rPr>
        <w:t>Cleanliness of Hospital Environment</w:t>
      </w:r>
      <w:r w:rsidRPr="00E4085D">
        <w:t xml:space="preserve">, </w:t>
      </w:r>
      <w:r w:rsidRPr="00E4085D">
        <w:rPr>
          <w:b/>
          <w:bCs/>
        </w:rPr>
        <w:t>Communication about Medicine</w:t>
      </w:r>
      <w:r w:rsidRPr="00E4085D">
        <w:t xml:space="preserve"> and </w:t>
      </w:r>
      <w:r w:rsidRPr="00E4085D">
        <w:rPr>
          <w:b/>
          <w:bCs/>
        </w:rPr>
        <w:t>Responsiveness of Hospital Staff</w:t>
      </w:r>
      <w:r w:rsidRPr="00E4085D">
        <w:t>, both at the national and state levels.</w:t>
      </w:r>
    </w:p>
    <w:p w14:paraId="74E5D664" w14:textId="77777777" w:rsidR="00E4085D" w:rsidRDefault="00E4085D" w:rsidP="00E4085D">
      <w:pPr>
        <w:spacing w:after="0"/>
        <w:rPr>
          <w:b/>
          <w:bCs/>
        </w:rPr>
      </w:pPr>
      <w:r w:rsidRPr="00E4085D">
        <w:rPr>
          <w:b/>
          <w:bCs/>
        </w:rPr>
        <w:t>Cleanliness of Hospital Environment:</w:t>
      </w:r>
    </w:p>
    <w:p w14:paraId="584C4D20" w14:textId="305E9EA9" w:rsidR="00E4085D" w:rsidRPr="00E4085D" w:rsidRDefault="00E4085D" w:rsidP="00E4085D">
      <w:pPr>
        <w:spacing w:after="0"/>
      </w:pPr>
      <w:r w:rsidRPr="00E4085D">
        <w:rPr>
          <w:b/>
          <w:bCs/>
        </w:rPr>
        <w:t>National Level:</w:t>
      </w:r>
    </w:p>
    <w:p w14:paraId="0237AFC7" w14:textId="77777777" w:rsidR="00E4085D" w:rsidRPr="00E4085D" w:rsidRDefault="00E4085D" w:rsidP="00E4085D">
      <w:pPr>
        <w:numPr>
          <w:ilvl w:val="0"/>
          <w:numId w:val="24"/>
        </w:numPr>
        <w:spacing w:after="0"/>
      </w:pPr>
      <w:r w:rsidRPr="00E4085D">
        <w:t>The Top Box % reached its peak at 76% in 2021 but declined to 72% in 2023.</w:t>
      </w:r>
    </w:p>
    <w:p w14:paraId="2D5F0F08" w14:textId="77777777" w:rsidR="00E4085D" w:rsidRPr="00E4085D" w:rsidRDefault="00E4085D" w:rsidP="00E4085D">
      <w:pPr>
        <w:numPr>
          <w:ilvl w:val="0"/>
          <w:numId w:val="24"/>
        </w:numPr>
        <w:spacing w:after="0"/>
      </w:pPr>
      <w:r w:rsidRPr="00E4085D">
        <w:t>Simultaneously, the Bottom Box % displayed a noteworthy increase, climbing from 7% in 2021 to 10% in 2023.</w:t>
      </w:r>
    </w:p>
    <w:p w14:paraId="32D0600E" w14:textId="77777777" w:rsidR="00E4085D" w:rsidRPr="00E4085D" w:rsidRDefault="00E4085D" w:rsidP="00E4085D">
      <w:pPr>
        <w:spacing w:after="0"/>
      </w:pPr>
      <w:r w:rsidRPr="00E4085D">
        <w:rPr>
          <w:b/>
          <w:bCs/>
        </w:rPr>
        <w:t>State Level:</w:t>
      </w:r>
    </w:p>
    <w:p w14:paraId="7F01C1C3" w14:textId="77777777" w:rsidR="00E4085D" w:rsidRPr="00E4085D" w:rsidRDefault="00E4085D" w:rsidP="00E4085D">
      <w:pPr>
        <w:numPr>
          <w:ilvl w:val="0"/>
          <w:numId w:val="25"/>
        </w:numPr>
        <w:spacing w:after="0"/>
      </w:pPr>
      <w:r w:rsidRPr="00E4085D">
        <w:t>Similar to the national trend, the Top Box % at the state level reached its zenith at 75.6% in 2021 but dipped to 71.7% in 2023.</w:t>
      </w:r>
    </w:p>
    <w:p w14:paraId="01735D64" w14:textId="77777777" w:rsidR="00E4085D" w:rsidRPr="00E4085D" w:rsidRDefault="00E4085D" w:rsidP="00E4085D">
      <w:pPr>
        <w:numPr>
          <w:ilvl w:val="0"/>
          <w:numId w:val="25"/>
        </w:numPr>
        <w:spacing w:after="0"/>
      </w:pPr>
      <w:r w:rsidRPr="00E4085D">
        <w:t>In parallel, the Bottom Box % exhibited a comparable increase, rising from 7.5% in 2021 to 9.8% in 2023.</w:t>
      </w:r>
    </w:p>
    <w:p w14:paraId="55146A33" w14:textId="77777777" w:rsidR="00E4085D" w:rsidRDefault="00E4085D" w:rsidP="00E4085D">
      <w:pPr>
        <w:spacing w:after="0"/>
      </w:pPr>
      <w:r w:rsidRPr="00E4085D">
        <w:rPr>
          <w:b/>
          <w:bCs/>
        </w:rPr>
        <w:t>Communication about Medicine:</w:t>
      </w:r>
      <w:r w:rsidRPr="00E4085D">
        <w:t xml:space="preserve"> </w:t>
      </w:r>
    </w:p>
    <w:p w14:paraId="41D26912" w14:textId="38F97543" w:rsidR="00E4085D" w:rsidRPr="00E4085D" w:rsidRDefault="00E4085D" w:rsidP="00E4085D">
      <w:pPr>
        <w:spacing w:after="0"/>
      </w:pPr>
      <w:r w:rsidRPr="00E4085D">
        <w:rPr>
          <w:b/>
          <w:bCs/>
        </w:rPr>
        <w:t>National Level:</w:t>
      </w:r>
    </w:p>
    <w:p w14:paraId="4015A3AB" w14:textId="77777777" w:rsidR="00E4085D" w:rsidRPr="00E4085D" w:rsidRDefault="00E4085D" w:rsidP="00E4085D">
      <w:pPr>
        <w:numPr>
          <w:ilvl w:val="0"/>
          <w:numId w:val="26"/>
        </w:numPr>
        <w:spacing w:after="0"/>
      </w:pPr>
      <w:r w:rsidRPr="00E4085D">
        <w:t>The Top Box % experienced growth, peaking at 66% in 2021, but subsequently declined to 61% in 2023.</w:t>
      </w:r>
    </w:p>
    <w:p w14:paraId="1934AB0B" w14:textId="77777777" w:rsidR="00E4085D" w:rsidRPr="00E4085D" w:rsidRDefault="00E4085D" w:rsidP="00E4085D">
      <w:pPr>
        <w:numPr>
          <w:ilvl w:val="0"/>
          <w:numId w:val="26"/>
        </w:numPr>
        <w:spacing w:after="0"/>
      </w:pPr>
      <w:r w:rsidRPr="00E4085D">
        <w:t>Conversely, the Bottom Box % increased from 17% in the period spanning 2017-2021 to 20% in the years 2022-2023.</w:t>
      </w:r>
    </w:p>
    <w:p w14:paraId="14928942" w14:textId="77777777" w:rsidR="00E4085D" w:rsidRPr="00E4085D" w:rsidRDefault="00E4085D" w:rsidP="00E4085D">
      <w:pPr>
        <w:spacing w:after="0"/>
      </w:pPr>
      <w:r w:rsidRPr="00E4085D">
        <w:rPr>
          <w:b/>
          <w:bCs/>
        </w:rPr>
        <w:t>State Level:</w:t>
      </w:r>
    </w:p>
    <w:p w14:paraId="54A86EA9" w14:textId="77777777" w:rsidR="00E4085D" w:rsidRPr="00E4085D" w:rsidRDefault="00E4085D" w:rsidP="00E4085D">
      <w:pPr>
        <w:numPr>
          <w:ilvl w:val="0"/>
          <w:numId w:val="27"/>
        </w:numPr>
        <w:spacing w:after="0"/>
      </w:pPr>
      <w:r w:rsidRPr="00E4085D">
        <w:t>At the state level, the Top Box % mirrored the national pattern, reaching its highest point at 66.1% in 2021 but decreasing to 61.5% in 2023.</w:t>
      </w:r>
    </w:p>
    <w:p w14:paraId="5CAA2063" w14:textId="77777777" w:rsidR="00E4085D" w:rsidRPr="00E4085D" w:rsidRDefault="00E4085D" w:rsidP="00E4085D">
      <w:pPr>
        <w:numPr>
          <w:ilvl w:val="0"/>
          <w:numId w:val="27"/>
        </w:numPr>
        <w:spacing w:after="0"/>
      </w:pPr>
      <w:r w:rsidRPr="00E4085D">
        <w:t>Similarly, the Bottom Box % exhibited a parallel increase, ascending from 16.7% in 2021 to 20% in 2022-2023.</w:t>
      </w:r>
    </w:p>
    <w:p w14:paraId="714AAAAA" w14:textId="77777777" w:rsidR="00E4085D" w:rsidRDefault="00E4085D" w:rsidP="00E4085D">
      <w:pPr>
        <w:spacing w:after="0"/>
      </w:pPr>
      <w:r w:rsidRPr="00E4085D">
        <w:rPr>
          <w:b/>
          <w:bCs/>
        </w:rPr>
        <w:t>Responsiveness of Hospital Staff:</w:t>
      </w:r>
      <w:r w:rsidRPr="00E4085D">
        <w:t xml:space="preserve"> </w:t>
      </w:r>
    </w:p>
    <w:p w14:paraId="05A94B63" w14:textId="0B3AFEB9" w:rsidR="00E4085D" w:rsidRPr="00E4085D" w:rsidRDefault="00E4085D" w:rsidP="00E4085D">
      <w:pPr>
        <w:spacing w:after="0"/>
      </w:pPr>
      <w:r w:rsidRPr="00E4085D">
        <w:rPr>
          <w:b/>
          <w:bCs/>
        </w:rPr>
        <w:t>National Level:</w:t>
      </w:r>
    </w:p>
    <w:p w14:paraId="4ABDCB23" w14:textId="77777777" w:rsidR="00E4085D" w:rsidRPr="00E4085D" w:rsidRDefault="00E4085D" w:rsidP="00E4085D">
      <w:pPr>
        <w:numPr>
          <w:ilvl w:val="0"/>
          <w:numId w:val="28"/>
        </w:numPr>
        <w:spacing w:after="0"/>
      </w:pPr>
      <w:r w:rsidRPr="00E4085D">
        <w:t>Top Box % experienced a significant decrease, falling from 70% to 65% between 2021 and 2023.</w:t>
      </w:r>
    </w:p>
    <w:p w14:paraId="6E26E410" w14:textId="77777777" w:rsidR="00E4085D" w:rsidRPr="00E4085D" w:rsidRDefault="00E4085D" w:rsidP="00E4085D">
      <w:pPr>
        <w:numPr>
          <w:ilvl w:val="0"/>
          <w:numId w:val="28"/>
        </w:numPr>
        <w:spacing w:after="0"/>
      </w:pPr>
      <w:r w:rsidRPr="00E4085D">
        <w:lastRenderedPageBreak/>
        <w:t>In contrast, the Bottom Box % increased from 8% in 2021 to 10% and 11% in subsequent years.</w:t>
      </w:r>
    </w:p>
    <w:p w14:paraId="65083EA9" w14:textId="77777777" w:rsidR="00E4085D" w:rsidRPr="00E4085D" w:rsidRDefault="00E4085D" w:rsidP="00E4085D">
      <w:pPr>
        <w:spacing w:after="0"/>
      </w:pPr>
      <w:r w:rsidRPr="00E4085D">
        <w:rPr>
          <w:b/>
          <w:bCs/>
        </w:rPr>
        <w:t>State Level:</w:t>
      </w:r>
    </w:p>
    <w:p w14:paraId="0858B52F" w14:textId="77777777" w:rsidR="00E4085D" w:rsidRPr="00E4085D" w:rsidRDefault="00E4085D" w:rsidP="00E4085D">
      <w:pPr>
        <w:numPr>
          <w:ilvl w:val="0"/>
          <w:numId w:val="29"/>
        </w:numPr>
        <w:spacing w:after="0"/>
      </w:pPr>
      <w:r w:rsidRPr="00E4085D">
        <w:t>On the state level, Top Box % followed a similar trajectory, decreasing from 70.4% to 65.5% between 2021 and 2023.</w:t>
      </w:r>
    </w:p>
    <w:p w14:paraId="4E2B931B" w14:textId="77777777" w:rsidR="00E4085D" w:rsidRPr="00E4085D" w:rsidRDefault="00E4085D" w:rsidP="00E4085D">
      <w:pPr>
        <w:numPr>
          <w:ilvl w:val="0"/>
          <w:numId w:val="29"/>
        </w:numPr>
        <w:spacing w:after="0"/>
      </w:pPr>
      <w:r w:rsidRPr="00E4085D">
        <w:t>The Bottom Box % concurrently increased from 8.1% in 2021 to 9.9% and 10.4% in subsequent years.</w:t>
      </w:r>
    </w:p>
    <w:p w14:paraId="78B75423" w14:textId="48D5340E" w:rsidR="00E4085D" w:rsidRPr="00E4085D" w:rsidRDefault="00E4085D" w:rsidP="00E4085D">
      <w:pPr>
        <w:spacing w:after="0"/>
      </w:pPr>
      <w:r w:rsidRPr="00E4085D">
        <w:t xml:space="preserve">For the remaining measures, namely </w:t>
      </w:r>
      <w:r w:rsidRPr="00E4085D">
        <w:rPr>
          <w:b/>
          <w:bCs/>
        </w:rPr>
        <w:t>Care Transition</w:t>
      </w:r>
      <w:r w:rsidRPr="00E4085D">
        <w:t xml:space="preserve">, </w:t>
      </w:r>
      <w:r w:rsidRPr="00E4085D">
        <w:rPr>
          <w:b/>
          <w:bCs/>
        </w:rPr>
        <w:t>Communication with Doctors</w:t>
      </w:r>
      <w:r w:rsidRPr="00E4085D">
        <w:t xml:space="preserve">, </w:t>
      </w:r>
      <w:r w:rsidRPr="00E4085D">
        <w:rPr>
          <w:b/>
          <w:bCs/>
        </w:rPr>
        <w:t>Communication with Nurses</w:t>
      </w:r>
      <w:r w:rsidRPr="00E4085D">
        <w:t xml:space="preserve">, </w:t>
      </w:r>
      <w:r w:rsidRPr="00E4085D">
        <w:rPr>
          <w:b/>
          <w:bCs/>
        </w:rPr>
        <w:t>Discharge Information</w:t>
      </w:r>
      <w:r w:rsidRPr="00E4085D">
        <w:t xml:space="preserve">, </w:t>
      </w:r>
      <w:r w:rsidRPr="00E4085D">
        <w:rPr>
          <w:b/>
          <w:bCs/>
        </w:rPr>
        <w:t>Overall Hospital Rating</w:t>
      </w:r>
      <w:r w:rsidRPr="00E4085D">
        <w:t xml:space="preserve"> and </w:t>
      </w:r>
      <w:r w:rsidRPr="00E4085D">
        <w:rPr>
          <w:b/>
          <w:bCs/>
        </w:rPr>
        <w:t>Willingness to Recommend the Hospital</w:t>
      </w:r>
      <w:r w:rsidRPr="00E4085D">
        <w:t>, Top Box % declined to a lesser extent, with a minor rise in Bottom Box % observed both at the national and state levels.</w:t>
      </w:r>
    </w:p>
    <w:p w14:paraId="0A6C2823" w14:textId="298567A5" w:rsidR="00C4781B" w:rsidRDefault="00E4085D" w:rsidP="00AC382B">
      <w:pPr>
        <w:spacing w:after="0"/>
      </w:pPr>
      <w:r w:rsidRPr="00E4085D">
        <w:t xml:space="preserve">In the realm of </w:t>
      </w:r>
      <w:r w:rsidRPr="00E4085D">
        <w:rPr>
          <w:b/>
          <w:bCs/>
        </w:rPr>
        <w:t>Quietness of Hospital Environment</w:t>
      </w:r>
      <w:r w:rsidRPr="00E4085D">
        <w:t xml:space="preserve">, Top Box % and Bottom Box % remained relatively stable, showcasing minimal fluctuations at both the national and state levels. </w:t>
      </w:r>
    </w:p>
    <w:p w14:paraId="79C4E94F" w14:textId="77777777" w:rsidR="00C4781B" w:rsidRPr="0013006D" w:rsidRDefault="00C4781B" w:rsidP="00AC382B">
      <w:pPr>
        <w:spacing w:after="0"/>
        <w:rPr>
          <w:sz w:val="16"/>
          <w:szCs w:val="16"/>
        </w:rPr>
      </w:pPr>
    </w:p>
    <w:p w14:paraId="37575D24" w14:textId="197624AE" w:rsidR="00CD0BF6" w:rsidRPr="00AC382B" w:rsidRDefault="008A2C1B" w:rsidP="00AC382B">
      <w:pPr>
        <w:spacing w:after="0"/>
        <w:rPr>
          <w:b/>
          <w:bCs/>
        </w:rPr>
      </w:pPr>
      <w:r w:rsidRPr="008A2C1B">
        <w:rPr>
          <w:b/>
          <w:bCs/>
        </w:rPr>
        <w:t>Throughout the various states:</w:t>
      </w:r>
    </w:p>
    <w:p w14:paraId="683DD8A8" w14:textId="7ACB78F7" w:rsidR="00AC382B" w:rsidRPr="00AC382B" w:rsidRDefault="00AC382B" w:rsidP="00AC382B">
      <w:pPr>
        <w:spacing w:after="0"/>
      </w:pPr>
      <w:r w:rsidRPr="00AC382B">
        <w:rPr>
          <w:b/>
          <w:bCs/>
        </w:rPr>
        <w:t>Communication about Medicines:</w:t>
      </w:r>
      <w:r w:rsidRPr="00C523F6">
        <w:rPr>
          <w:b/>
          <w:bCs/>
        </w:rPr>
        <w:t xml:space="preserve"> </w:t>
      </w:r>
      <w:r w:rsidRPr="00AC382B">
        <w:t xml:space="preserve">Across states, the highest </w:t>
      </w:r>
      <w:r w:rsidRPr="00C523F6">
        <w:t>Top Box %</w:t>
      </w:r>
      <w:r w:rsidRPr="00AC382B">
        <w:t xml:space="preserve"> were observed in South Dakota, Louisiana, Maine, Wyoming</w:t>
      </w:r>
      <w:r w:rsidR="00C523F6" w:rsidRPr="00C523F6">
        <w:t>,</w:t>
      </w:r>
      <w:r w:rsidRPr="00AC382B">
        <w:t xml:space="preserve"> Wisconsin</w:t>
      </w:r>
      <w:r w:rsidR="00C523F6" w:rsidRPr="00C523F6">
        <w:t xml:space="preserve"> and Nebraska</w:t>
      </w:r>
      <w:r w:rsidRPr="00AC382B">
        <w:t>.</w:t>
      </w:r>
      <w:r w:rsidRPr="00C523F6">
        <w:t xml:space="preserve"> </w:t>
      </w:r>
      <w:r w:rsidRPr="00AC382B">
        <w:t xml:space="preserve">In contrast, the </w:t>
      </w:r>
      <w:r w:rsidRPr="00C523F6">
        <w:t>highest Bottom Box %</w:t>
      </w:r>
      <w:r w:rsidRPr="00AC382B">
        <w:t xml:space="preserve"> were recorded in the District of Columbia, New Jersey, Maryland, New York</w:t>
      </w:r>
      <w:r w:rsidR="00C523F6" w:rsidRPr="00D43161">
        <w:t>, Florida, Nevada and California.</w:t>
      </w:r>
    </w:p>
    <w:p w14:paraId="2BE57C90" w14:textId="146CE3F7" w:rsidR="00AC382B" w:rsidRPr="00AC382B" w:rsidRDefault="00AC382B" w:rsidP="00AC382B">
      <w:pPr>
        <w:spacing w:after="0"/>
      </w:pPr>
      <w:r w:rsidRPr="00AC382B">
        <w:rPr>
          <w:b/>
          <w:bCs/>
        </w:rPr>
        <w:t>Cleanliness of Hospital Environment:</w:t>
      </w:r>
      <w:r w:rsidRPr="001F06AA">
        <w:rPr>
          <w:b/>
          <w:bCs/>
        </w:rPr>
        <w:t xml:space="preserve"> </w:t>
      </w:r>
      <w:r w:rsidRPr="00AC382B">
        <w:t>States with the highest</w:t>
      </w:r>
      <w:r w:rsidRPr="001F06AA">
        <w:t xml:space="preserve"> Top Box %</w:t>
      </w:r>
      <w:r w:rsidRPr="00AC382B">
        <w:t xml:space="preserve"> in this category included Nebraska, Iowa, Wisconsin, Idaho and South Dakota.</w:t>
      </w:r>
      <w:r w:rsidRPr="001F06AA">
        <w:t xml:space="preserve"> </w:t>
      </w:r>
      <w:r w:rsidRPr="00AC382B">
        <w:t xml:space="preserve">Conversely, the </w:t>
      </w:r>
      <w:r w:rsidRPr="001F06AA">
        <w:t xml:space="preserve">highest Bottom Box % </w:t>
      </w:r>
      <w:r w:rsidRPr="00AC382B">
        <w:t xml:space="preserve"> were found in the District of Columbia, Maryland, Florida, Nevada</w:t>
      </w:r>
      <w:r w:rsidR="001F06AA" w:rsidRPr="00D43161">
        <w:t xml:space="preserve">, </w:t>
      </w:r>
      <w:r w:rsidRPr="00AC382B">
        <w:t>Arizona</w:t>
      </w:r>
      <w:r w:rsidR="001F06AA" w:rsidRPr="00D43161">
        <w:t xml:space="preserve"> and New Jersey.</w:t>
      </w:r>
    </w:p>
    <w:p w14:paraId="3CDEA953" w14:textId="48C3C6C9" w:rsidR="00AC382B" w:rsidRDefault="00AC382B" w:rsidP="00A55559">
      <w:pPr>
        <w:tabs>
          <w:tab w:val="num" w:pos="720"/>
        </w:tabs>
        <w:spacing w:after="0"/>
      </w:pPr>
      <w:r w:rsidRPr="00AC382B">
        <w:rPr>
          <w:b/>
          <w:bCs/>
        </w:rPr>
        <w:t>Responsiveness of Hospital Staff:</w:t>
      </w:r>
      <w:r w:rsidRPr="001F06AA">
        <w:rPr>
          <w:b/>
          <w:bCs/>
        </w:rPr>
        <w:t xml:space="preserve"> </w:t>
      </w:r>
      <w:r w:rsidRPr="00AC382B">
        <w:t>High-performing states for this measure included South Dakota, Nebraska, Minnesota, Wyoming and North Dakota.</w:t>
      </w:r>
      <w:r w:rsidR="00A55559" w:rsidRPr="001F06AA">
        <w:t xml:space="preserve"> </w:t>
      </w:r>
      <w:r w:rsidRPr="00AC382B">
        <w:t>On the other hand, the</w:t>
      </w:r>
      <w:r w:rsidR="00A55559" w:rsidRPr="001F06AA">
        <w:t xml:space="preserve"> highest</w:t>
      </w:r>
      <w:r w:rsidRPr="00AC382B">
        <w:t xml:space="preserve"> </w:t>
      </w:r>
      <w:r w:rsidR="00A55559" w:rsidRPr="001F06AA">
        <w:t>Bottom Box %</w:t>
      </w:r>
      <w:r w:rsidRPr="00AC382B">
        <w:t xml:space="preserve"> were registered in the District of Columbia, Maryland, New Jersey, New York</w:t>
      </w:r>
      <w:r w:rsidR="001F06AA" w:rsidRPr="00D43161">
        <w:t>,</w:t>
      </w:r>
      <w:r w:rsidRPr="00AC382B">
        <w:t xml:space="preserve"> Florida</w:t>
      </w:r>
      <w:r w:rsidR="001F06AA" w:rsidRPr="00D43161">
        <w:t>, California and Nevada</w:t>
      </w:r>
      <w:r w:rsidRPr="00AC382B">
        <w:t>.</w:t>
      </w:r>
    </w:p>
    <w:p w14:paraId="64381BDA" w14:textId="77777777" w:rsidR="00E93BC2" w:rsidRDefault="00E93BC2" w:rsidP="00A55559">
      <w:pPr>
        <w:tabs>
          <w:tab w:val="num" w:pos="720"/>
        </w:tabs>
        <w:spacing w:after="0"/>
      </w:pPr>
    </w:p>
    <w:p w14:paraId="4512A34D" w14:textId="579D1A5F" w:rsidR="00AC382B" w:rsidRPr="00AC382B" w:rsidRDefault="00E4085D" w:rsidP="00AC382B">
      <w:pPr>
        <w:spacing w:after="0"/>
      </w:pPr>
      <w:r>
        <w:rPr>
          <w:b/>
          <w:bCs/>
        </w:rPr>
        <w:t>C</w:t>
      </w:r>
      <w:r w:rsidR="00AC382B" w:rsidRPr="00AC382B">
        <w:rPr>
          <w:b/>
          <w:bCs/>
        </w:rPr>
        <w:t>onclusion:</w:t>
      </w:r>
      <w:r w:rsidR="00AC382B" w:rsidRPr="00AC382B">
        <w:t xml:space="preserve"> The findings underscore the need for hospitals to take proactive steps in addressing these concerns. Several key takeaways emerge:</w:t>
      </w:r>
    </w:p>
    <w:p w14:paraId="770FAC1E" w14:textId="77777777" w:rsidR="00AC382B" w:rsidRPr="00AC382B" w:rsidRDefault="00AC382B" w:rsidP="00AC382B">
      <w:pPr>
        <w:numPr>
          <w:ilvl w:val="0"/>
          <w:numId w:val="23"/>
        </w:numPr>
        <w:spacing w:after="0"/>
      </w:pPr>
      <w:r w:rsidRPr="00AC382B">
        <w:rPr>
          <w:b/>
          <w:bCs/>
        </w:rPr>
        <w:t>Encouraging Patient Participation:</w:t>
      </w:r>
      <w:r w:rsidRPr="00AC382B">
        <w:t xml:space="preserve"> Hospitals must actively encourage patient participation in surveys, as the Average Response Rate has declined in recent years. It is imperative to understand patient perspectives and experiences to drive improvements.</w:t>
      </w:r>
    </w:p>
    <w:p w14:paraId="2F4AF15D" w14:textId="77777777" w:rsidR="00AC382B" w:rsidRPr="00AC382B" w:rsidRDefault="00AC382B" w:rsidP="00AC382B">
      <w:pPr>
        <w:numPr>
          <w:ilvl w:val="0"/>
          <w:numId w:val="23"/>
        </w:numPr>
        <w:spacing w:after="0"/>
      </w:pPr>
      <w:r w:rsidRPr="00AC382B">
        <w:rPr>
          <w:b/>
          <w:bCs/>
        </w:rPr>
        <w:t>Focusing on Low-Performing Areas:</w:t>
      </w:r>
      <w:r w:rsidRPr="00AC382B">
        <w:t xml:space="preserve"> Attention should be particularly directed towards regions with lower performance. The District of Columbia stands out as a concern with not only the lowest Response Rate but also the highest Bottom Box % across the three key measures. This indicates a loss of patient interest in survey participation, possibly due to a perceived lack of improvement in healthcare quality over time.</w:t>
      </w:r>
    </w:p>
    <w:p w14:paraId="691A3701" w14:textId="6E88221A" w:rsidR="00AC382B" w:rsidRPr="00AC382B" w:rsidRDefault="00AC382B" w:rsidP="00AC382B">
      <w:pPr>
        <w:numPr>
          <w:ilvl w:val="0"/>
          <w:numId w:val="23"/>
        </w:numPr>
        <w:spacing w:after="0"/>
      </w:pPr>
      <w:r w:rsidRPr="00AC382B">
        <w:rPr>
          <w:b/>
          <w:bCs/>
        </w:rPr>
        <w:t>Addressing Specific Issues:</w:t>
      </w:r>
      <w:r w:rsidRPr="00AC382B">
        <w:t xml:space="preserve"> Hospitals should prioritize addressing issues related to Communication about Medicines, Cleanliness of Hospital Environment and Responsiveness of Hospital Staff. These aspects are pivotal in patient satisfaction and overall quality of care.</w:t>
      </w:r>
    </w:p>
    <w:p w14:paraId="2DBD0060" w14:textId="798F358F" w:rsidR="00AC382B" w:rsidRDefault="00AC382B" w:rsidP="00AC382B">
      <w:pPr>
        <w:numPr>
          <w:ilvl w:val="0"/>
          <w:numId w:val="23"/>
        </w:numPr>
        <w:spacing w:after="0"/>
      </w:pPr>
      <w:r w:rsidRPr="00AC382B">
        <w:rPr>
          <w:b/>
          <w:bCs/>
        </w:rPr>
        <w:t>Targeted Improvement in Challenging States:</w:t>
      </w:r>
      <w:r w:rsidRPr="00AC382B">
        <w:t xml:space="preserve"> Special attention is needed in states like the District of Columbia, New Jersey, Maryland, New Yo</w:t>
      </w:r>
      <w:r w:rsidR="00D43161">
        <w:t xml:space="preserve">rk, </w:t>
      </w:r>
      <w:r w:rsidRPr="00AC382B">
        <w:t>Florida</w:t>
      </w:r>
      <w:r w:rsidR="00D43161">
        <w:t>, Nevada and California,</w:t>
      </w:r>
      <w:r w:rsidRPr="00AC382B">
        <w:t xml:space="preserve"> where multiple areas of healthcare quality exhibit lower performance.</w:t>
      </w:r>
    </w:p>
    <w:p w14:paraId="2F461EB4" w14:textId="77777777" w:rsidR="00CD0BF6" w:rsidRPr="00AC382B" w:rsidRDefault="00CD0BF6" w:rsidP="00CD0BF6">
      <w:pPr>
        <w:spacing w:after="0"/>
        <w:ind w:left="720"/>
      </w:pPr>
    </w:p>
    <w:p w14:paraId="4838CBBB" w14:textId="01BAB3CD" w:rsidR="00C4781B" w:rsidRDefault="00AC382B" w:rsidP="00CF3C0D">
      <w:pPr>
        <w:spacing w:after="0"/>
        <w:rPr>
          <w:b/>
          <w:bCs/>
        </w:rPr>
      </w:pPr>
      <w:r w:rsidRPr="00AC382B">
        <w:t>In conclusion, healthcare facilities should take a holistic approach to improve patient experiences and the quality of care. By focusing on these key measures and regions, hospitals can work towards enhancing patient satisfaction and ensuring that healthcare services consistently meet or exceed expectations.</w:t>
      </w:r>
    </w:p>
    <w:sectPr w:rsidR="00C47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39AA"/>
    <w:multiLevelType w:val="multilevel"/>
    <w:tmpl w:val="F0966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31F86"/>
    <w:multiLevelType w:val="multilevel"/>
    <w:tmpl w:val="0C96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940D94"/>
    <w:multiLevelType w:val="multilevel"/>
    <w:tmpl w:val="36968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F2734"/>
    <w:multiLevelType w:val="multilevel"/>
    <w:tmpl w:val="6EB6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277B40"/>
    <w:multiLevelType w:val="multilevel"/>
    <w:tmpl w:val="BECE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56438E"/>
    <w:multiLevelType w:val="multilevel"/>
    <w:tmpl w:val="E72A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A30DEC"/>
    <w:multiLevelType w:val="hybridMultilevel"/>
    <w:tmpl w:val="53CACD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A07BFA"/>
    <w:multiLevelType w:val="hybridMultilevel"/>
    <w:tmpl w:val="16E47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4C1743"/>
    <w:multiLevelType w:val="multilevel"/>
    <w:tmpl w:val="6EB6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CB0595"/>
    <w:multiLevelType w:val="multilevel"/>
    <w:tmpl w:val="BECE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4F2974"/>
    <w:multiLevelType w:val="multilevel"/>
    <w:tmpl w:val="6EB6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AF5DE2"/>
    <w:multiLevelType w:val="multilevel"/>
    <w:tmpl w:val="D562B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D93D33"/>
    <w:multiLevelType w:val="hybridMultilevel"/>
    <w:tmpl w:val="E404E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4A4543"/>
    <w:multiLevelType w:val="multilevel"/>
    <w:tmpl w:val="BECE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54028A"/>
    <w:multiLevelType w:val="multilevel"/>
    <w:tmpl w:val="6EB6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A612C0"/>
    <w:multiLevelType w:val="multilevel"/>
    <w:tmpl w:val="6EB6D4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D5728B"/>
    <w:multiLevelType w:val="multilevel"/>
    <w:tmpl w:val="BECE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3E1687"/>
    <w:multiLevelType w:val="multilevel"/>
    <w:tmpl w:val="6EB6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E25D8F"/>
    <w:multiLevelType w:val="hybridMultilevel"/>
    <w:tmpl w:val="B832E7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30A32A7"/>
    <w:multiLevelType w:val="multilevel"/>
    <w:tmpl w:val="6EB6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E22151"/>
    <w:multiLevelType w:val="multilevel"/>
    <w:tmpl w:val="BD00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212949"/>
    <w:multiLevelType w:val="multilevel"/>
    <w:tmpl w:val="6EB6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4E5603"/>
    <w:multiLevelType w:val="multilevel"/>
    <w:tmpl w:val="BECE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5A3872"/>
    <w:multiLevelType w:val="hybridMultilevel"/>
    <w:tmpl w:val="B832E7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D286E2E"/>
    <w:multiLevelType w:val="multilevel"/>
    <w:tmpl w:val="6EB6D4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731752"/>
    <w:multiLevelType w:val="multilevel"/>
    <w:tmpl w:val="6EB6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1A13EF"/>
    <w:multiLevelType w:val="multilevel"/>
    <w:tmpl w:val="6EB6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8A530D"/>
    <w:multiLevelType w:val="multilevel"/>
    <w:tmpl w:val="CA327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71398F"/>
    <w:multiLevelType w:val="multilevel"/>
    <w:tmpl w:val="6EB6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2917148">
    <w:abstractNumId w:val="27"/>
  </w:num>
  <w:num w:numId="2" w16cid:durableId="40981374">
    <w:abstractNumId w:val="5"/>
  </w:num>
  <w:num w:numId="3" w16cid:durableId="635137017">
    <w:abstractNumId w:val="12"/>
  </w:num>
  <w:num w:numId="4" w16cid:durableId="1781873158">
    <w:abstractNumId w:val="13"/>
  </w:num>
  <w:num w:numId="5" w16cid:durableId="1304503483">
    <w:abstractNumId w:val="18"/>
  </w:num>
  <w:num w:numId="6" w16cid:durableId="161354403">
    <w:abstractNumId w:val="0"/>
  </w:num>
  <w:num w:numId="7" w16cid:durableId="1583490274">
    <w:abstractNumId w:val="9"/>
  </w:num>
  <w:num w:numId="8" w16cid:durableId="343170916">
    <w:abstractNumId w:val="4"/>
  </w:num>
  <w:num w:numId="9" w16cid:durableId="1732146711">
    <w:abstractNumId w:val="22"/>
  </w:num>
  <w:num w:numId="10" w16cid:durableId="313801934">
    <w:abstractNumId w:val="16"/>
  </w:num>
  <w:num w:numId="11" w16cid:durableId="748815138">
    <w:abstractNumId w:val="23"/>
  </w:num>
  <w:num w:numId="12" w16cid:durableId="1964266549">
    <w:abstractNumId w:val="6"/>
  </w:num>
  <w:num w:numId="13" w16cid:durableId="820393645">
    <w:abstractNumId w:val="2"/>
  </w:num>
  <w:num w:numId="14" w16cid:durableId="1383092690">
    <w:abstractNumId w:val="1"/>
  </w:num>
  <w:num w:numId="15" w16cid:durableId="1307080836">
    <w:abstractNumId w:val="7"/>
  </w:num>
  <w:num w:numId="16" w16cid:durableId="931355114">
    <w:abstractNumId w:val="20"/>
  </w:num>
  <w:num w:numId="17" w16cid:durableId="675109412">
    <w:abstractNumId w:val="24"/>
  </w:num>
  <w:num w:numId="18" w16cid:durableId="48042081">
    <w:abstractNumId w:val="14"/>
  </w:num>
  <w:num w:numId="19" w16cid:durableId="186914187">
    <w:abstractNumId w:val="15"/>
  </w:num>
  <w:num w:numId="20" w16cid:durableId="2077624938">
    <w:abstractNumId w:val="25"/>
  </w:num>
  <w:num w:numId="21" w16cid:durableId="1168325536">
    <w:abstractNumId w:val="10"/>
  </w:num>
  <w:num w:numId="22" w16cid:durableId="916019960">
    <w:abstractNumId w:val="3"/>
  </w:num>
  <w:num w:numId="23" w16cid:durableId="566183976">
    <w:abstractNumId w:val="11"/>
  </w:num>
  <w:num w:numId="24" w16cid:durableId="266694946">
    <w:abstractNumId w:val="26"/>
  </w:num>
  <w:num w:numId="25" w16cid:durableId="2119399491">
    <w:abstractNumId w:val="28"/>
  </w:num>
  <w:num w:numId="26" w16cid:durableId="1836143117">
    <w:abstractNumId w:val="21"/>
  </w:num>
  <w:num w:numId="27" w16cid:durableId="311326077">
    <w:abstractNumId w:val="8"/>
  </w:num>
  <w:num w:numId="28" w16cid:durableId="2070372458">
    <w:abstractNumId w:val="19"/>
  </w:num>
  <w:num w:numId="29" w16cid:durableId="2124317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304"/>
    <w:rsid w:val="00010230"/>
    <w:rsid w:val="000119CB"/>
    <w:rsid w:val="00021F5C"/>
    <w:rsid w:val="00032BB2"/>
    <w:rsid w:val="00055C48"/>
    <w:rsid w:val="000652E8"/>
    <w:rsid w:val="0007304F"/>
    <w:rsid w:val="00087CF6"/>
    <w:rsid w:val="000C4C6D"/>
    <w:rsid w:val="000E0B9A"/>
    <w:rsid w:val="000F20FE"/>
    <w:rsid w:val="00106B03"/>
    <w:rsid w:val="0013006D"/>
    <w:rsid w:val="0013046F"/>
    <w:rsid w:val="001331F3"/>
    <w:rsid w:val="00134ED7"/>
    <w:rsid w:val="00171BE4"/>
    <w:rsid w:val="00185591"/>
    <w:rsid w:val="001D64CB"/>
    <w:rsid w:val="001F06AA"/>
    <w:rsid w:val="00200C7B"/>
    <w:rsid w:val="00211DF8"/>
    <w:rsid w:val="00227304"/>
    <w:rsid w:val="002665D2"/>
    <w:rsid w:val="002B1001"/>
    <w:rsid w:val="002C078E"/>
    <w:rsid w:val="002D135C"/>
    <w:rsid w:val="002D62EE"/>
    <w:rsid w:val="002D76EE"/>
    <w:rsid w:val="002E5FC6"/>
    <w:rsid w:val="00301FC7"/>
    <w:rsid w:val="00334D2E"/>
    <w:rsid w:val="0035738F"/>
    <w:rsid w:val="0036299A"/>
    <w:rsid w:val="0036472A"/>
    <w:rsid w:val="00366496"/>
    <w:rsid w:val="00374E0A"/>
    <w:rsid w:val="003B45F9"/>
    <w:rsid w:val="003E6ECE"/>
    <w:rsid w:val="00414F50"/>
    <w:rsid w:val="00421E38"/>
    <w:rsid w:val="004426D0"/>
    <w:rsid w:val="00443393"/>
    <w:rsid w:val="00477275"/>
    <w:rsid w:val="004C20B0"/>
    <w:rsid w:val="004D19F0"/>
    <w:rsid w:val="004F7F5C"/>
    <w:rsid w:val="005027E9"/>
    <w:rsid w:val="00511C1D"/>
    <w:rsid w:val="005270BF"/>
    <w:rsid w:val="00550CA4"/>
    <w:rsid w:val="00572A31"/>
    <w:rsid w:val="0057307A"/>
    <w:rsid w:val="005A4BB3"/>
    <w:rsid w:val="005C3893"/>
    <w:rsid w:val="005D4BCB"/>
    <w:rsid w:val="005F1680"/>
    <w:rsid w:val="005F3F27"/>
    <w:rsid w:val="006162AF"/>
    <w:rsid w:val="0063257C"/>
    <w:rsid w:val="006475A5"/>
    <w:rsid w:val="0066372A"/>
    <w:rsid w:val="006710D7"/>
    <w:rsid w:val="006C7C42"/>
    <w:rsid w:val="006E0C3A"/>
    <w:rsid w:val="006E112A"/>
    <w:rsid w:val="00721DA7"/>
    <w:rsid w:val="007C608A"/>
    <w:rsid w:val="007D4372"/>
    <w:rsid w:val="007E2CCF"/>
    <w:rsid w:val="00897016"/>
    <w:rsid w:val="008A2C1B"/>
    <w:rsid w:val="008A56CD"/>
    <w:rsid w:val="008B063F"/>
    <w:rsid w:val="008B1354"/>
    <w:rsid w:val="008B2FC5"/>
    <w:rsid w:val="008B650B"/>
    <w:rsid w:val="008B7BF8"/>
    <w:rsid w:val="008D71C5"/>
    <w:rsid w:val="008F6668"/>
    <w:rsid w:val="00913005"/>
    <w:rsid w:val="00923682"/>
    <w:rsid w:val="009407D3"/>
    <w:rsid w:val="00941971"/>
    <w:rsid w:val="009650FF"/>
    <w:rsid w:val="00991B7D"/>
    <w:rsid w:val="009C47D0"/>
    <w:rsid w:val="009C7BB1"/>
    <w:rsid w:val="009D5BC4"/>
    <w:rsid w:val="009E02AA"/>
    <w:rsid w:val="009E0FDF"/>
    <w:rsid w:val="009E1B00"/>
    <w:rsid w:val="009E7CF5"/>
    <w:rsid w:val="009F7031"/>
    <w:rsid w:val="00A0632E"/>
    <w:rsid w:val="00A32866"/>
    <w:rsid w:val="00A3519B"/>
    <w:rsid w:val="00A55559"/>
    <w:rsid w:val="00A82B8E"/>
    <w:rsid w:val="00A94D14"/>
    <w:rsid w:val="00AB0F59"/>
    <w:rsid w:val="00AB6B26"/>
    <w:rsid w:val="00AC1035"/>
    <w:rsid w:val="00AC382B"/>
    <w:rsid w:val="00AE36E0"/>
    <w:rsid w:val="00B03878"/>
    <w:rsid w:val="00B24D97"/>
    <w:rsid w:val="00BA0791"/>
    <w:rsid w:val="00BC59A0"/>
    <w:rsid w:val="00C17138"/>
    <w:rsid w:val="00C4781B"/>
    <w:rsid w:val="00C523F6"/>
    <w:rsid w:val="00C56E29"/>
    <w:rsid w:val="00C604FA"/>
    <w:rsid w:val="00C64909"/>
    <w:rsid w:val="00C714A2"/>
    <w:rsid w:val="00C7201A"/>
    <w:rsid w:val="00C8298D"/>
    <w:rsid w:val="00CA525C"/>
    <w:rsid w:val="00CC2F55"/>
    <w:rsid w:val="00CC3F9D"/>
    <w:rsid w:val="00CD0BF6"/>
    <w:rsid w:val="00CF3C0D"/>
    <w:rsid w:val="00CF4EF1"/>
    <w:rsid w:val="00D11748"/>
    <w:rsid w:val="00D43161"/>
    <w:rsid w:val="00D65A05"/>
    <w:rsid w:val="00D74530"/>
    <w:rsid w:val="00D93454"/>
    <w:rsid w:val="00DC46B3"/>
    <w:rsid w:val="00DC582B"/>
    <w:rsid w:val="00E11844"/>
    <w:rsid w:val="00E23A8F"/>
    <w:rsid w:val="00E333CE"/>
    <w:rsid w:val="00E4085D"/>
    <w:rsid w:val="00E44BB5"/>
    <w:rsid w:val="00E9227F"/>
    <w:rsid w:val="00E93B03"/>
    <w:rsid w:val="00E93BC2"/>
    <w:rsid w:val="00EB6863"/>
    <w:rsid w:val="00EC104D"/>
    <w:rsid w:val="00EF7AAB"/>
    <w:rsid w:val="00F20982"/>
    <w:rsid w:val="00F2440E"/>
    <w:rsid w:val="00F27DC2"/>
    <w:rsid w:val="00F67522"/>
    <w:rsid w:val="00F83798"/>
    <w:rsid w:val="00F863CC"/>
    <w:rsid w:val="00FC161A"/>
    <w:rsid w:val="00FE23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6E220"/>
  <w15:chartTrackingRefBased/>
  <w15:docId w15:val="{C22D4509-5EBD-40F6-B2FA-1905F0AE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3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04"/>
    <w:pPr>
      <w:ind w:left="720"/>
      <w:contextualSpacing/>
    </w:pPr>
  </w:style>
  <w:style w:type="character" w:styleId="Hyperlink">
    <w:name w:val="Hyperlink"/>
    <w:basedOn w:val="DefaultParagraphFont"/>
    <w:uiPriority w:val="99"/>
    <w:unhideWhenUsed/>
    <w:rsid w:val="00C8298D"/>
    <w:rPr>
      <w:color w:val="0563C1" w:themeColor="hyperlink"/>
      <w:u w:val="single"/>
    </w:rPr>
  </w:style>
  <w:style w:type="character" w:styleId="UnresolvedMention">
    <w:name w:val="Unresolved Mention"/>
    <w:basedOn w:val="DefaultParagraphFont"/>
    <w:uiPriority w:val="99"/>
    <w:semiHidden/>
    <w:unhideWhenUsed/>
    <w:rsid w:val="00C8298D"/>
    <w:rPr>
      <w:color w:val="605E5C"/>
      <w:shd w:val="clear" w:color="auto" w:fill="E1DFDD"/>
    </w:rPr>
  </w:style>
  <w:style w:type="character" w:styleId="FollowedHyperlink">
    <w:name w:val="FollowedHyperlink"/>
    <w:basedOn w:val="DefaultParagraphFont"/>
    <w:uiPriority w:val="99"/>
    <w:semiHidden/>
    <w:unhideWhenUsed/>
    <w:rsid w:val="00B038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8739">
      <w:bodyDiv w:val="1"/>
      <w:marLeft w:val="0"/>
      <w:marRight w:val="0"/>
      <w:marTop w:val="0"/>
      <w:marBottom w:val="0"/>
      <w:divBdr>
        <w:top w:val="none" w:sz="0" w:space="0" w:color="auto"/>
        <w:left w:val="none" w:sz="0" w:space="0" w:color="auto"/>
        <w:bottom w:val="none" w:sz="0" w:space="0" w:color="auto"/>
        <w:right w:val="none" w:sz="0" w:space="0" w:color="auto"/>
      </w:divBdr>
    </w:div>
    <w:div w:id="99105931">
      <w:bodyDiv w:val="1"/>
      <w:marLeft w:val="0"/>
      <w:marRight w:val="0"/>
      <w:marTop w:val="0"/>
      <w:marBottom w:val="0"/>
      <w:divBdr>
        <w:top w:val="none" w:sz="0" w:space="0" w:color="auto"/>
        <w:left w:val="none" w:sz="0" w:space="0" w:color="auto"/>
        <w:bottom w:val="none" w:sz="0" w:space="0" w:color="auto"/>
        <w:right w:val="none" w:sz="0" w:space="0" w:color="auto"/>
      </w:divBdr>
    </w:div>
    <w:div w:id="193157724">
      <w:bodyDiv w:val="1"/>
      <w:marLeft w:val="0"/>
      <w:marRight w:val="0"/>
      <w:marTop w:val="0"/>
      <w:marBottom w:val="0"/>
      <w:divBdr>
        <w:top w:val="none" w:sz="0" w:space="0" w:color="auto"/>
        <w:left w:val="none" w:sz="0" w:space="0" w:color="auto"/>
        <w:bottom w:val="none" w:sz="0" w:space="0" w:color="auto"/>
        <w:right w:val="none" w:sz="0" w:space="0" w:color="auto"/>
      </w:divBdr>
    </w:div>
    <w:div w:id="250965942">
      <w:bodyDiv w:val="1"/>
      <w:marLeft w:val="0"/>
      <w:marRight w:val="0"/>
      <w:marTop w:val="0"/>
      <w:marBottom w:val="0"/>
      <w:divBdr>
        <w:top w:val="none" w:sz="0" w:space="0" w:color="auto"/>
        <w:left w:val="none" w:sz="0" w:space="0" w:color="auto"/>
        <w:bottom w:val="none" w:sz="0" w:space="0" w:color="auto"/>
        <w:right w:val="none" w:sz="0" w:space="0" w:color="auto"/>
      </w:divBdr>
    </w:div>
    <w:div w:id="348718999">
      <w:bodyDiv w:val="1"/>
      <w:marLeft w:val="0"/>
      <w:marRight w:val="0"/>
      <w:marTop w:val="0"/>
      <w:marBottom w:val="0"/>
      <w:divBdr>
        <w:top w:val="none" w:sz="0" w:space="0" w:color="auto"/>
        <w:left w:val="none" w:sz="0" w:space="0" w:color="auto"/>
        <w:bottom w:val="none" w:sz="0" w:space="0" w:color="auto"/>
        <w:right w:val="none" w:sz="0" w:space="0" w:color="auto"/>
      </w:divBdr>
    </w:div>
    <w:div w:id="496381925">
      <w:bodyDiv w:val="1"/>
      <w:marLeft w:val="0"/>
      <w:marRight w:val="0"/>
      <w:marTop w:val="0"/>
      <w:marBottom w:val="0"/>
      <w:divBdr>
        <w:top w:val="none" w:sz="0" w:space="0" w:color="auto"/>
        <w:left w:val="none" w:sz="0" w:space="0" w:color="auto"/>
        <w:bottom w:val="none" w:sz="0" w:space="0" w:color="auto"/>
        <w:right w:val="none" w:sz="0" w:space="0" w:color="auto"/>
      </w:divBdr>
    </w:div>
    <w:div w:id="503126098">
      <w:bodyDiv w:val="1"/>
      <w:marLeft w:val="0"/>
      <w:marRight w:val="0"/>
      <w:marTop w:val="0"/>
      <w:marBottom w:val="0"/>
      <w:divBdr>
        <w:top w:val="none" w:sz="0" w:space="0" w:color="auto"/>
        <w:left w:val="none" w:sz="0" w:space="0" w:color="auto"/>
        <w:bottom w:val="none" w:sz="0" w:space="0" w:color="auto"/>
        <w:right w:val="none" w:sz="0" w:space="0" w:color="auto"/>
      </w:divBdr>
    </w:div>
    <w:div w:id="522596265">
      <w:bodyDiv w:val="1"/>
      <w:marLeft w:val="0"/>
      <w:marRight w:val="0"/>
      <w:marTop w:val="0"/>
      <w:marBottom w:val="0"/>
      <w:divBdr>
        <w:top w:val="none" w:sz="0" w:space="0" w:color="auto"/>
        <w:left w:val="none" w:sz="0" w:space="0" w:color="auto"/>
        <w:bottom w:val="none" w:sz="0" w:space="0" w:color="auto"/>
        <w:right w:val="none" w:sz="0" w:space="0" w:color="auto"/>
      </w:divBdr>
    </w:div>
    <w:div w:id="522674079">
      <w:bodyDiv w:val="1"/>
      <w:marLeft w:val="0"/>
      <w:marRight w:val="0"/>
      <w:marTop w:val="0"/>
      <w:marBottom w:val="0"/>
      <w:divBdr>
        <w:top w:val="none" w:sz="0" w:space="0" w:color="auto"/>
        <w:left w:val="none" w:sz="0" w:space="0" w:color="auto"/>
        <w:bottom w:val="none" w:sz="0" w:space="0" w:color="auto"/>
        <w:right w:val="none" w:sz="0" w:space="0" w:color="auto"/>
      </w:divBdr>
    </w:div>
    <w:div w:id="665282546">
      <w:bodyDiv w:val="1"/>
      <w:marLeft w:val="0"/>
      <w:marRight w:val="0"/>
      <w:marTop w:val="0"/>
      <w:marBottom w:val="0"/>
      <w:divBdr>
        <w:top w:val="none" w:sz="0" w:space="0" w:color="auto"/>
        <w:left w:val="none" w:sz="0" w:space="0" w:color="auto"/>
        <w:bottom w:val="none" w:sz="0" w:space="0" w:color="auto"/>
        <w:right w:val="none" w:sz="0" w:space="0" w:color="auto"/>
      </w:divBdr>
    </w:div>
    <w:div w:id="873735124">
      <w:bodyDiv w:val="1"/>
      <w:marLeft w:val="0"/>
      <w:marRight w:val="0"/>
      <w:marTop w:val="0"/>
      <w:marBottom w:val="0"/>
      <w:divBdr>
        <w:top w:val="none" w:sz="0" w:space="0" w:color="auto"/>
        <w:left w:val="none" w:sz="0" w:space="0" w:color="auto"/>
        <w:bottom w:val="none" w:sz="0" w:space="0" w:color="auto"/>
        <w:right w:val="none" w:sz="0" w:space="0" w:color="auto"/>
      </w:divBdr>
    </w:div>
    <w:div w:id="917208758">
      <w:bodyDiv w:val="1"/>
      <w:marLeft w:val="0"/>
      <w:marRight w:val="0"/>
      <w:marTop w:val="0"/>
      <w:marBottom w:val="0"/>
      <w:divBdr>
        <w:top w:val="none" w:sz="0" w:space="0" w:color="auto"/>
        <w:left w:val="none" w:sz="0" w:space="0" w:color="auto"/>
        <w:bottom w:val="none" w:sz="0" w:space="0" w:color="auto"/>
        <w:right w:val="none" w:sz="0" w:space="0" w:color="auto"/>
      </w:divBdr>
      <w:divsChild>
        <w:div w:id="342980918">
          <w:marLeft w:val="0"/>
          <w:marRight w:val="0"/>
          <w:marTop w:val="0"/>
          <w:marBottom w:val="0"/>
          <w:divBdr>
            <w:top w:val="single" w:sz="2" w:space="0" w:color="auto"/>
            <w:left w:val="single" w:sz="2" w:space="0" w:color="auto"/>
            <w:bottom w:val="single" w:sz="6" w:space="0" w:color="auto"/>
            <w:right w:val="single" w:sz="2" w:space="0" w:color="auto"/>
          </w:divBdr>
          <w:divsChild>
            <w:div w:id="1632051686">
              <w:marLeft w:val="0"/>
              <w:marRight w:val="0"/>
              <w:marTop w:val="100"/>
              <w:marBottom w:val="100"/>
              <w:divBdr>
                <w:top w:val="single" w:sz="2" w:space="0" w:color="D9D9E3"/>
                <w:left w:val="single" w:sz="2" w:space="0" w:color="D9D9E3"/>
                <w:bottom w:val="single" w:sz="2" w:space="0" w:color="D9D9E3"/>
                <w:right w:val="single" w:sz="2" w:space="0" w:color="D9D9E3"/>
              </w:divBdr>
              <w:divsChild>
                <w:div w:id="276959546">
                  <w:marLeft w:val="0"/>
                  <w:marRight w:val="0"/>
                  <w:marTop w:val="0"/>
                  <w:marBottom w:val="0"/>
                  <w:divBdr>
                    <w:top w:val="single" w:sz="2" w:space="0" w:color="D9D9E3"/>
                    <w:left w:val="single" w:sz="2" w:space="0" w:color="D9D9E3"/>
                    <w:bottom w:val="single" w:sz="2" w:space="0" w:color="D9D9E3"/>
                    <w:right w:val="single" w:sz="2" w:space="0" w:color="D9D9E3"/>
                  </w:divBdr>
                  <w:divsChild>
                    <w:div w:id="1172181667">
                      <w:marLeft w:val="0"/>
                      <w:marRight w:val="0"/>
                      <w:marTop w:val="0"/>
                      <w:marBottom w:val="0"/>
                      <w:divBdr>
                        <w:top w:val="single" w:sz="2" w:space="0" w:color="D9D9E3"/>
                        <w:left w:val="single" w:sz="2" w:space="0" w:color="D9D9E3"/>
                        <w:bottom w:val="single" w:sz="2" w:space="0" w:color="D9D9E3"/>
                        <w:right w:val="single" w:sz="2" w:space="0" w:color="D9D9E3"/>
                      </w:divBdr>
                      <w:divsChild>
                        <w:div w:id="1973252">
                          <w:marLeft w:val="0"/>
                          <w:marRight w:val="0"/>
                          <w:marTop w:val="0"/>
                          <w:marBottom w:val="0"/>
                          <w:divBdr>
                            <w:top w:val="single" w:sz="2" w:space="0" w:color="D9D9E3"/>
                            <w:left w:val="single" w:sz="2" w:space="0" w:color="D9D9E3"/>
                            <w:bottom w:val="single" w:sz="2" w:space="0" w:color="D9D9E3"/>
                            <w:right w:val="single" w:sz="2" w:space="0" w:color="D9D9E3"/>
                          </w:divBdr>
                          <w:divsChild>
                            <w:div w:id="2055806241">
                              <w:marLeft w:val="0"/>
                              <w:marRight w:val="0"/>
                              <w:marTop w:val="0"/>
                              <w:marBottom w:val="0"/>
                              <w:divBdr>
                                <w:top w:val="single" w:sz="2" w:space="0" w:color="D9D9E3"/>
                                <w:left w:val="single" w:sz="2" w:space="0" w:color="D9D9E3"/>
                                <w:bottom w:val="single" w:sz="2" w:space="0" w:color="D9D9E3"/>
                                <w:right w:val="single" w:sz="2" w:space="0" w:color="D9D9E3"/>
                              </w:divBdr>
                              <w:divsChild>
                                <w:div w:id="572742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7541348">
      <w:bodyDiv w:val="1"/>
      <w:marLeft w:val="0"/>
      <w:marRight w:val="0"/>
      <w:marTop w:val="0"/>
      <w:marBottom w:val="0"/>
      <w:divBdr>
        <w:top w:val="none" w:sz="0" w:space="0" w:color="auto"/>
        <w:left w:val="none" w:sz="0" w:space="0" w:color="auto"/>
        <w:bottom w:val="none" w:sz="0" w:space="0" w:color="auto"/>
        <w:right w:val="none" w:sz="0" w:space="0" w:color="auto"/>
      </w:divBdr>
    </w:div>
    <w:div w:id="1012494660">
      <w:bodyDiv w:val="1"/>
      <w:marLeft w:val="0"/>
      <w:marRight w:val="0"/>
      <w:marTop w:val="0"/>
      <w:marBottom w:val="0"/>
      <w:divBdr>
        <w:top w:val="none" w:sz="0" w:space="0" w:color="auto"/>
        <w:left w:val="none" w:sz="0" w:space="0" w:color="auto"/>
        <w:bottom w:val="none" w:sz="0" w:space="0" w:color="auto"/>
        <w:right w:val="none" w:sz="0" w:space="0" w:color="auto"/>
      </w:divBdr>
    </w:div>
    <w:div w:id="1070735353">
      <w:bodyDiv w:val="1"/>
      <w:marLeft w:val="0"/>
      <w:marRight w:val="0"/>
      <w:marTop w:val="0"/>
      <w:marBottom w:val="0"/>
      <w:divBdr>
        <w:top w:val="none" w:sz="0" w:space="0" w:color="auto"/>
        <w:left w:val="none" w:sz="0" w:space="0" w:color="auto"/>
        <w:bottom w:val="none" w:sz="0" w:space="0" w:color="auto"/>
        <w:right w:val="none" w:sz="0" w:space="0" w:color="auto"/>
      </w:divBdr>
    </w:div>
    <w:div w:id="1196310006">
      <w:bodyDiv w:val="1"/>
      <w:marLeft w:val="0"/>
      <w:marRight w:val="0"/>
      <w:marTop w:val="0"/>
      <w:marBottom w:val="0"/>
      <w:divBdr>
        <w:top w:val="none" w:sz="0" w:space="0" w:color="auto"/>
        <w:left w:val="none" w:sz="0" w:space="0" w:color="auto"/>
        <w:bottom w:val="none" w:sz="0" w:space="0" w:color="auto"/>
        <w:right w:val="none" w:sz="0" w:space="0" w:color="auto"/>
      </w:divBdr>
      <w:divsChild>
        <w:div w:id="1951355424">
          <w:marLeft w:val="0"/>
          <w:marRight w:val="0"/>
          <w:marTop w:val="0"/>
          <w:marBottom w:val="0"/>
          <w:divBdr>
            <w:top w:val="single" w:sz="2" w:space="0" w:color="D9D9E3"/>
            <w:left w:val="single" w:sz="2" w:space="0" w:color="D9D9E3"/>
            <w:bottom w:val="single" w:sz="2" w:space="0" w:color="D9D9E3"/>
            <w:right w:val="single" w:sz="2" w:space="0" w:color="D9D9E3"/>
          </w:divBdr>
          <w:divsChild>
            <w:div w:id="708259856">
              <w:marLeft w:val="0"/>
              <w:marRight w:val="0"/>
              <w:marTop w:val="0"/>
              <w:marBottom w:val="0"/>
              <w:divBdr>
                <w:top w:val="single" w:sz="2" w:space="0" w:color="D9D9E3"/>
                <w:left w:val="single" w:sz="2" w:space="0" w:color="D9D9E3"/>
                <w:bottom w:val="single" w:sz="2" w:space="0" w:color="D9D9E3"/>
                <w:right w:val="single" w:sz="2" w:space="0" w:color="D9D9E3"/>
              </w:divBdr>
              <w:divsChild>
                <w:div w:id="1010912726">
                  <w:marLeft w:val="0"/>
                  <w:marRight w:val="0"/>
                  <w:marTop w:val="0"/>
                  <w:marBottom w:val="0"/>
                  <w:divBdr>
                    <w:top w:val="single" w:sz="2" w:space="0" w:color="D9D9E3"/>
                    <w:left w:val="single" w:sz="2" w:space="0" w:color="D9D9E3"/>
                    <w:bottom w:val="single" w:sz="2" w:space="0" w:color="D9D9E3"/>
                    <w:right w:val="single" w:sz="2" w:space="0" w:color="D9D9E3"/>
                  </w:divBdr>
                  <w:divsChild>
                    <w:div w:id="127477077">
                      <w:marLeft w:val="0"/>
                      <w:marRight w:val="0"/>
                      <w:marTop w:val="0"/>
                      <w:marBottom w:val="0"/>
                      <w:divBdr>
                        <w:top w:val="single" w:sz="2" w:space="0" w:color="D9D9E3"/>
                        <w:left w:val="single" w:sz="2" w:space="0" w:color="D9D9E3"/>
                        <w:bottom w:val="single" w:sz="2" w:space="0" w:color="D9D9E3"/>
                        <w:right w:val="single" w:sz="2" w:space="0" w:color="D9D9E3"/>
                      </w:divBdr>
                      <w:divsChild>
                        <w:div w:id="1972519981">
                          <w:marLeft w:val="0"/>
                          <w:marRight w:val="0"/>
                          <w:marTop w:val="0"/>
                          <w:marBottom w:val="0"/>
                          <w:divBdr>
                            <w:top w:val="single" w:sz="2" w:space="0" w:color="auto"/>
                            <w:left w:val="single" w:sz="2" w:space="0" w:color="auto"/>
                            <w:bottom w:val="single" w:sz="6" w:space="0" w:color="auto"/>
                            <w:right w:val="single" w:sz="2" w:space="0" w:color="auto"/>
                          </w:divBdr>
                          <w:divsChild>
                            <w:div w:id="146286144">
                              <w:marLeft w:val="0"/>
                              <w:marRight w:val="0"/>
                              <w:marTop w:val="100"/>
                              <w:marBottom w:val="100"/>
                              <w:divBdr>
                                <w:top w:val="single" w:sz="2" w:space="0" w:color="D9D9E3"/>
                                <w:left w:val="single" w:sz="2" w:space="0" w:color="D9D9E3"/>
                                <w:bottom w:val="single" w:sz="2" w:space="0" w:color="D9D9E3"/>
                                <w:right w:val="single" w:sz="2" w:space="0" w:color="D9D9E3"/>
                              </w:divBdr>
                              <w:divsChild>
                                <w:div w:id="72239383">
                                  <w:marLeft w:val="0"/>
                                  <w:marRight w:val="0"/>
                                  <w:marTop w:val="0"/>
                                  <w:marBottom w:val="0"/>
                                  <w:divBdr>
                                    <w:top w:val="single" w:sz="2" w:space="0" w:color="D9D9E3"/>
                                    <w:left w:val="single" w:sz="2" w:space="0" w:color="D9D9E3"/>
                                    <w:bottom w:val="single" w:sz="2" w:space="0" w:color="D9D9E3"/>
                                    <w:right w:val="single" w:sz="2" w:space="0" w:color="D9D9E3"/>
                                  </w:divBdr>
                                  <w:divsChild>
                                    <w:div w:id="1529223073">
                                      <w:marLeft w:val="0"/>
                                      <w:marRight w:val="0"/>
                                      <w:marTop w:val="0"/>
                                      <w:marBottom w:val="0"/>
                                      <w:divBdr>
                                        <w:top w:val="single" w:sz="2" w:space="0" w:color="D9D9E3"/>
                                        <w:left w:val="single" w:sz="2" w:space="0" w:color="D9D9E3"/>
                                        <w:bottom w:val="single" w:sz="2" w:space="0" w:color="D9D9E3"/>
                                        <w:right w:val="single" w:sz="2" w:space="0" w:color="D9D9E3"/>
                                      </w:divBdr>
                                      <w:divsChild>
                                        <w:div w:id="1150755821">
                                          <w:marLeft w:val="0"/>
                                          <w:marRight w:val="0"/>
                                          <w:marTop w:val="0"/>
                                          <w:marBottom w:val="0"/>
                                          <w:divBdr>
                                            <w:top w:val="single" w:sz="2" w:space="0" w:color="D9D9E3"/>
                                            <w:left w:val="single" w:sz="2" w:space="0" w:color="D9D9E3"/>
                                            <w:bottom w:val="single" w:sz="2" w:space="0" w:color="D9D9E3"/>
                                            <w:right w:val="single" w:sz="2" w:space="0" w:color="D9D9E3"/>
                                          </w:divBdr>
                                          <w:divsChild>
                                            <w:div w:id="1491218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6641185">
          <w:marLeft w:val="0"/>
          <w:marRight w:val="0"/>
          <w:marTop w:val="0"/>
          <w:marBottom w:val="0"/>
          <w:divBdr>
            <w:top w:val="none" w:sz="0" w:space="0" w:color="auto"/>
            <w:left w:val="none" w:sz="0" w:space="0" w:color="auto"/>
            <w:bottom w:val="none" w:sz="0" w:space="0" w:color="auto"/>
            <w:right w:val="none" w:sz="0" w:space="0" w:color="auto"/>
          </w:divBdr>
        </w:div>
      </w:divsChild>
    </w:div>
    <w:div w:id="1218204291">
      <w:bodyDiv w:val="1"/>
      <w:marLeft w:val="0"/>
      <w:marRight w:val="0"/>
      <w:marTop w:val="0"/>
      <w:marBottom w:val="0"/>
      <w:divBdr>
        <w:top w:val="none" w:sz="0" w:space="0" w:color="auto"/>
        <w:left w:val="none" w:sz="0" w:space="0" w:color="auto"/>
        <w:bottom w:val="none" w:sz="0" w:space="0" w:color="auto"/>
        <w:right w:val="none" w:sz="0" w:space="0" w:color="auto"/>
      </w:divBdr>
    </w:div>
    <w:div w:id="1235243922">
      <w:bodyDiv w:val="1"/>
      <w:marLeft w:val="0"/>
      <w:marRight w:val="0"/>
      <w:marTop w:val="0"/>
      <w:marBottom w:val="0"/>
      <w:divBdr>
        <w:top w:val="none" w:sz="0" w:space="0" w:color="auto"/>
        <w:left w:val="none" w:sz="0" w:space="0" w:color="auto"/>
        <w:bottom w:val="none" w:sz="0" w:space="0" w:color="auto"/>
        <w:right w:val="none" w:sz="0" w:space="0" w:color="auto"/>
      </w:divBdr>
    </w:div>
    <w:div w:id="1317996215">
      <w:bodyDiv w:val="1"/>
      <w:marLeft w:val="0"/>
      <w:marRight w:val="0"/>
      <w:marTop w:val="0"/>
      <w:marBottom w:val="0"/>
      <w:divBdr>
        <w:top w:val="none" w:sz="0" w:space="0" w:color="auto"/>
        <w:left w:val="none" w:sz="0" w:space="0" w:color="auto"/>
        <w:bottom w:val="none" w:sz="0" w:space="0" w:color="auto"/>
        <w:right w:val="none" w:sz="0" w:space="0" w:color="auto"/>
      </w:divBdr>
    </w:div>
    <w:div w:id="1522355849">
      <w:bodyDiv w:val="1"/>
      <w:marLeft w:val="0"/>
      <w:marRight w:val="0"/>
      <w:marTop w:val="0"/>
      <w:marBottom w:val="0"/>
      <w:divBdr>
        <w:top w:val="none" w:sz="0" w:space="0" w:color="auto"/>
        <w:left w:val="none" w:sz="0" w:space="0" w:color="auto"/>
        <w:bottom w:val="none" w:sz="0" w:space="0" w:color="auto"/>
        <w:right w:val="none" w:sz="0" w:space="0" w:color="auto"/>
      </w:divBdr>
    </w:div>
    <w:div w:id="1778481244">
      <w:bodyDiv w:val="1"/>
      <w:marLeft w:val="0"/>
      <w:marRight w:val="0"/>
      <w:marTop w:val="0"/>
      <w:marBottom w:val="0"/>
      <w:divBdr>
        <w:top w:val="none" w:sz="0" w:space="0" w:color="auto"/>
        <w:left w:val="none" w:sz="0" w:space="0" w:color="auto"/>
        <w:bottom w:val="none" w:sz="0" w:space="0" w:color="auto"/>
        <w:right w:val="none" w:sz="0" w:space="0" w:color="auto"/>
      </w:divBdr>
    </w:div>
    <w:div w:id="1779329217">
      <w:bodyDiv w:val="1"/>
      <w:marLeft w:val="0"/>
      <w:marRight w:val="0"/>
      <w:marTop w:val="0"/>
      <w:marBottom w:val="0"/>
      <w:divBdr>
        <w:top w:val="none" w:sz="0" w:space="0" w:color="auto"/>
        <w:left w:val="none" w:sz="0" w:space="0" w:color="auto"/>
        <w:bottom w:val="none" w:sz="0" w:space="0" w:color="auto"/>
        <w:right w:val="none" w:sz="0" w:space="0" w:color="auto"/>
      </w:divBdr>
      <w:divsChild>
        <w:div w:id="1236431976">
          <w:marLeft w:val="0"/>
          <w:marRight w:val="0"/>
          <w:marTop w:val="0"/>
          <w:marBottom w:val="0"/>
          <w:divBdr>
            <w:top w:val="single" w:sz="2" w:space="0" w:color="auto"/>
            <w:left w:val="single" w:sz="2" w:space="0" w:color="auto"/>
            <w:bottom w:val="single" w:sz="6" w:space="0" w:color="auto"/>
            <w:right w:val="single" w:sz="2" w:space="0" w:color="auto"/>
          </w:divBdr>
          <w:divsChild>
            <w:div w:id="168983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309313">
                  <w:marLeft w:val="0"/>
                  <w:marRight w:val="0"/>
                  <w:marTop w:val="0"/>
                  <w:marBottom w:val="0"/>
                  <w:divBdr>
                    <w:top w:val="single" w:sz="2" w:space="0" w:color="D9D9E3"/>
                    <w:left w:val="single" w:sz="2" w:space="0" w:color="D9D9E3"/>
                    <w:bottom w:val="single" w:sz="2" w:space="0" w:color="D9D9E3"/>
                    <w:right w:val="single" w:sz="2" w:space="0" w:color="D9D9E3"/>
                  </w:divBdr>
                  <w:divsChild>
                    <w:div w:id="1726492974">
                      <w:marLeft w:val="0"/>
                      <w:marRight w:val="0"/>
                      <w:marTop w:val="0"/>
                      <w:marBottom w:val="0"/>
                      <w:divBdr>
                        <w:top w:val="single" w:sz="2" w:space="0" w:color="D9D9E3"/>
                        <w:left w:val="single" w:sz="2" w:space="0" w:color="D9D9E3"/>
                        <w:bottom w:val="single" w:sz="2" w:space="0" w:color="D9D9E3"/>
                        <w:right w:val="single" w:sz="2" w:space="0" w:color="D9D9E3"/>
                      </w:divBdr>
                      <w:divsChild>
                        <w:div w:id="792480873">
                          <w:marLeft w:val="0"/>
                          <w:marRight w:val="0"/>
                          <w:marTop w:val="0"/>
                          <w:marBottom w:val="0"/>
                          <w:divBdr>
                            <w:top w:val="single" w:sz="2" w:space="0" w:color="D9D9E3"/>
                            <w:left w:val="single" w:sz="2" w:space="0" w:color="D9D9E3"/>
                            <w:bottom w:val="single" w:sz="2" w:space="0" w:color="D9D9E3"/>
                            <w:right w:val="single" w:sz="2" w:space="0" w:color="D9D9E3"/>
                          </w:divBdr>
                          <w:divsChild>
                            <w:div w:id="578976885">
                              <w:marLeft w:val="0"/>
                              <w:marRight w:val="0"/>
                              <w:marTop w:val="0"/>
                              <w:marBottom w:val="0"/>
                              <w:divBdr>
                                <w:top w:val="single" w:sz="2" w:space="0" w:color="D9D9E3"/>
                                <w:left w:val="single" w:sz="2" w:space="0" w:color="D9D9E3"/>
                                <w:bottom w:val="single" w:sz="2" w:space="0" w:color="D9D9E3"/>
                                <w:right w:val="single" w:sz="2" w:space="0" w:color="D9D9E3"/>
                              </w:divBdr>
                              <w:divsChild>
                                <w:div w:id="853416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9006987">
      <w:bodyDiv w:val="1"/>
      <w:marLeft w:val="0"/>
      <w:marRight w:val="0"/>
      <w:marTop w:val="0"/>
      <w:marBottom w:val="0"/>
      <w:divBdr>
        <w:top w:val="none" w:sz="0" w:space="0" w:color="auto"/>
        <w:left w:val="none" w:sz="0" w:space="0" w:color="auto"/>
        <w:bottom w:val="none" w:sz="0" w:space="0" w:color="auto"/>
        <w:right w:val="none" w:sz="0" w:space="0" w:color="auto"/>
      </w:divBdr>
    </w:div>
    <w:div w:id="1837913899">
      <w:bodyDiv w:val="1"/>
      <w:marLeft w:val="0"/>
      <w:marRight w:val="0"/>
      <w:marTop w:val="0"/>
      <w:marBottom w:val="0"/>
      <w:divBdr>
        <w:top w:val="none" w:sz="0" w:space="0" w:color="auto"/>
        <w:left w:val="none" w:sz="0" w:space="0" w:color="auto"/>
        <w:bottom w:val="none" w:sz="0" w:space="0" w:color="auto"/>
        <w:right w:val="none" w:sz="0" w:space="0" w:color="auto"/>
      </w:divBdr>
    </w:div>
    <w:div w:id="1843545345">
      <w:bodyDiv w:val="1"/>
      <w:marLeft w:val="0"/>
      <w:marRight w:val="0"/>
      <w:marTop w:val="0"/>
      <w:marBottom w:val="0"/>
      <w:divBdr>
        <w:top w:val="none" w:sz="0" w:space="0" w:color="auto"/>
        <w:left w:val="none" w:sz="0" w:space="0" w:color="auto"/>
        <w:bottom w:val="none" w:sz="0" w:space="0" w:color="auto"/>
        <w:right w:val="none" w:sz="0" w:space="0" w:color="auto"/>
      </w:divBdr>
    </w:div>
    <w:div w:id="1851335676">
      <w:bodyDiv w:val="1"/>
      <w:marLeft w:val="0"/>
      <w:marRight w:val="0"/>
      <w:marTop w:val="0"/>
      <w:marBottom w:val="0"/>
      <w:divBdr>
        <w:top w:val="none" w:sz="0" w:space="0" w:color="auto"/>
        <w:left w:val="none" w:sz="0" w:space="0" w:color="auto"/>
        <w:bottom w:val="none" w:sz="0" w:space="0" w:color="auto"/>
        <w:right w:val="none" w:sz="0" w:space="0" w:color="auto"/>
      </w:divBdr>
    </w:div>
    <w:div w:id="1890847181">
      <w:bodyDiv w:val="1"/>
      <w:marLeft w:val="0"/>
      <w:marRight w:val="0"/>
      <w:marTop w:val="0"/>
      <w:marBottom w:val="0"/>
      <w:divBdr>
        <w:top w:val="none" w:sz="0" w:space="0" w:color="auto"/>
        <w:left w:val="none" w:sz="0" w:space="0" w:color="auto"/>
        <w:bottom w:val="none" w:sz="0" w:space="0" w:color="auto"/>
        <w:right w:val="none" w:sz="0" w:space="0" w:color="auto"/>
      </w:divBdr>
    </w:div>
    <w:div w:id="1922642125">
      <w:bodyDiv w:val="1"/>
      <w:marLeft w:val="0"/>
      <w:marRight w:val="0"/>
      <w:marTop w:val="0"/>
      <w:marBottom w:val="0"/>
      <w:divBdr>
        <w:top w:val="none" w:sz="0" w:space="0" w:color="auto"/>
        <w:left w:val="none" w:sz="0" w:space="0" w:color="auto"/>
        <w:bottom w:val="none" w:sz="0" w:space="0" w:color="auto"/>
        <w:right w:val="none" w:sz="0" w:space="0" w:color="auto"/>
      </w:divBdr>
    </w:div>
    <w:div w:id="2065132779">
      <w:bodyDiv w:val="1"/>
      <w:marLeft w:val="0"/>
      <w:marRight w:val="0"/>
      <w:marTop w:val="0"/>
      <w:marBottom w:val="0"/>
      <w:divBdr>
        <w:top w:val="none" w:sz="0" w:space="0" w:color="auto"/>
        <w:left w:val="none" w:sz="0" w:space="0" w:color="auto"/>
        <w:bottom w:val="none" w:sz="0" w:space="0" w:color="auto"/>
        <w:right w:val="none" w:sz="0" w:space="0" w:color="auto"/>
      </w:divBdr>
    </w:div>
    <w:div w:id="2128111167">
      <w:bodyDiv w:val="1"/>
      <w:marLeft w:val="0"/>
      <w:marRight w:val="0"/>
      <w:marTop w:val="0"/>
      <w:marBottom w:val="0"/>
      <w:divBdr>
        <w:top w:val="none" w:sz="0" w:space="0" w:color="auto"/>
        <w:left w:val="none" w:sz="0" w:space="0" w:color="auto"/>
        <w:bottom w:val="none" w:sz="0" w:space="0" w:color="auto"/>
        <w:right w:val="none" w:sz="0" w:space="0" w:color="auto"/>
      </w:divBdr>
    </w:div>
    <w:div w:id="213339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Sedykh</dc:creator>
  <cp:keywords/>
  <dc:description/>
  <cp:lastModifiedBy>Svetlana Sedykh</cp:lastModifiedBy>
  <cp:revision>17</cp:revision>
  <dcterms:created xsi:type="dcterms:W3CDTF">2023-08-31T11:29:00Z</dcterms:created>
  <dcterms:modified xsi:type="dcterms:W3CDTF">2023-09-03T16:14:00Z</dcterms:modified>
</cp:coreProperties>
</file>