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ИСХОДНЫЕ ДАННЫЕ И ПРЕДПОСЫЛКИ ДЛЯ ПРОВЕРКИ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МАКРОЭКОНОМИЧЕСКИЕ ПОКАЗАТЕЛИ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>
          <w:b/>
          <w:bCs/>
        </w:rPr>
        <w:t>Население и демография</w:t>
      </w:r>
    </w:p>
    <w:p>
      <w:pPr>
        <w:pStyle w:val="Normal"/>
        <w:bidi w:val="0"/>
        <w:jc w:val="left"/>
        <w:rPr/>
      </w:pPr>
      <w:r>
        <w:rPr/>
        <w:t>- Сербия: 6.8 млн человек (2025)</w:t>
      </w:r>
    </w:p>
    <w:p>
      <w:pPr>
        <w:pStyle w:val="Normal"/>
        <w:bidi w:val="0"/>
        <w:jc w:val="left"/>
        <w:rPr/>
      </w:pPr>
      <w:r>
        <w:rPr/>
        <w:t>- Хорватия: 3.9 млн человек</w:t>
      </w:r>
    </w:p>
    <w:p>
      <w:pPr>
        <w:pStyle w:val="Normal"/>
        <w:bidi w:val="0"/>
        <w:jc w:val="left"/>
        <w:rPr/>
      </w:pPr>
      <w:r>
        <w:rPr/>
        <w:t>- Босния и Герцеговина: 3.2 млн человек</w:t>
      </w:r>
    </w:p>
    <w:p>
      <w:pPr>
        <w:pStyle w:val="Normal"/>
        <w:bidi w:val="0"/>
        <w:jc w:val="left"/>
        <w:rPr/>
      </w:pPr>
      <w:r>
        <w:rPr/>
        <w:t>- Северная Македония: 2.1 млн человек</w:t>
      </w:r>
    </w:p>
    <w:p>
      <w:pPr>
        <w:pStyle w:val="Normal"/>
        <w:bidi w:val="0"/>
        <w:jc w:val="left"/>
        <w:rPr/>
      </w:pPr>
      <w:r>
        <w:rPr/>
        <w:t>- Черногория: 0.6 млн человек</w:t>
      </w:r>
    </w:p>
    <w:p>
      <w:pPr>
        <w:pStyle w:val="Normal"/>
        <w:bidi w:val="0"/>
        <w:jc w:val="left"/>
        <w:rPr/>
      </w:pPr>
      <w:r>
        <w:rPr/>
        <w:t>- Словения: 2.1 млн человек</w:t>
      </w:r>
    </w:p>
    <w:p>
      <w:pPr>
        <w:pStyle w:val="Normal"/>
        <w:bidi w:val="0"/>
        <w:jc w:val="left"/>
        <w:rPr/>
      </w:pPr>
      <w:r>
        <w:rPr/>
        <w:t>- ИТОГО Западные Балканы: 18.7 млн человек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>
          <w:b/>
          <w:bCs/>
        </w:rPr>
        <w:t>Интернет-проникновение</w:t>
      </w:r>
    </w:p>
    <w:p>
      <w:pPr>
        <w:pStyle w:val="Normal"/>
        <w:bidi w:val="0"/>
        <w:jc w:val="left"/>
        <w:rPr/>
      </w:pPr>
      <w:r>
        <w:rPr/>
        <w:t>- Сербия 2025: 85% населения</w:t>
      </w:r>
    </w:p>
    <w:p>
      <w:pPr>
        <w:pStyle w:val="Normal"/>
        <w:bidi w:val="0"/>
        <w:jc w:val="left"/>
        <w:rPr/>
      </w:pPr>
      <w:r>
        <w:rPr/>
        <w:t>- Сербия 2019: 73% населения</w:t>
      </w:r>
    </w:p>
    <w:p>
      <w:pPr>
        <w:pStyle w:val="Normal"/>
        <w:bidi w:val="0"/>
        <w:jc w:val="left"/>
        <w:rPr/>
      </w:pPr>
      <w:r>
        <w:rPr/>
        <w:t>- Прогноз 2028: 92% населения</w:t>
      </w:r>
    </w:p>
    <w:p>
      <w:pPr>
        <w:pStyle w:val="Normal"/>
        <w:bidi w:val="0"/>
        <w:jc w:val="left"/>
        <w:rPr/>
      </w:pPr>
      <w:r>
        <w:rPr/>
        <w:t>- Онлайн-покупатели (16-74 лет): 65% в 2025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>
          <w:b/>
          <w:bCs/>
        </w:rPr>
        <w:t>Экономические показатели</w:t>
      </w:r>
    </w:p>
    <w:p>
      <w:pPr>
        <w:pStyle w:val="Normal"/>
        <w:bidi w:val="0"/>
        <w:jc w:val="left"/>
        <w:rPr/>
      </w:pPr>
      <w:r>
        <w:rPr/>
        <w:t>- Средняя зарплата Сербия: €600-800/месяц</w:t>
      </w:r>
    </w:p>
    <w:p>
      <w:pPr>
        <w:pStyle w:val="Normal"/>
        <w:bidi w:val="0"/>
        <w:jc w:val="left"/>
        <w:rPr/>
      </w:pPr>
      <w:r>
        <w:rPr/>
        <w:t>- Digital Natives доход: €400-1,200/месяц</w:t>
      </w:r>
    </w:p>
    <w:p>
      <w:pPr>
        <w:pStyle w:val="Normal"/>
        <w:bidi w:val="0"/>
        <w:jc w:val="left"/>
        <w:rPr/>
      </w:pPr>
      <w:r>
        <w:rPr/>
        <w:t>- Опытные покупатели доход: €600-2,000/месяц</w:t>
      </w:r>
    </w:p>
    <w:p>
      <w:pPr>
        <w:pStyle w:val="Normal"/>
        <w:bidi w:val="0"/>
        <w:jc w:val="left"/>
        <w:rPr/>
      </w:pPr>
      <w:r>
        <w:rPr/>
        <w:t>- Диаспора доход: €2,000-5,000/месяц</w:t>
      </w:r>
    </w:p>
    <w:p>
      <w:pPr>
        <w:pStyle w:val="Normal"/>
        <w:bidi w:val="0"/>
        <w:jc w:val="left"/>
        <w:rPr/>
      </w:pPr>
      <w:r>
        <w:rPr/>
        <w:t>- Денежные переводы диаспоры: €4.2 млрд/год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РЫНОЧНЫЕ ДАННЫЕ E-COMMERCE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>
          <w:b/>
          <w:bCs/>
        </w:rPr>
        <w:t>Объем рынка e-commerce Сербии</w:t>
      </w:r>
    </w:p>
    <w:p>
      <w:pPr>
        <w:pStyle w:val="Normal"/>
        <w:bidi w:val="0"/>
        <w:jc w:val="left"/>
        <w:rPr/>
      </w:pPr>
      <w:r>
        <w:rPr/>
        <w:t>- 2024 факт: €852 млн</w:t>
      </w:r>
    </w:p>
    <w:p>
      <w:pPr>
        <w:pStyle w:val="Normal"/>
        <w:bidi w:val="0"/>
        <w:jc w:val="left"/>
        <w:rPr/>
      </w:pPr>
      <w:r>
        <w:rPr/>
        <w:t>- 2025 прогноз: €980 млн</w:t>
      </w:r>
    </w:p>
    <w:p>
      <w:pPr>
        <w:pStyle w:val="Normal"/>
        <w:bidi w:val="0"/>
        <w:jc w:val="left"/>
        <w:rPr/>
      </w:pPr>
      <w:r>
        <w:rPr/>
        <w:t>- 2026 прогноз: €1,196 млн</w:t>
      </w:r>
    </w:p>
    <w:p>
      <w:pPr>
        <w:pStyle w:val="Normal"/>
        <w:bidi w:val="0"/>
        <w:jc w:val="left"/>
        <w:rPr/>
      </w:pPr>
      <w:r>
        <w:rPr/>
        <w:t>- 2027 прогноз: €1,459 млн</w:t>
      </w:r>
    </w:p>
    <w:p>
      <w:pPr>
        <w:pStyle w:val="Normal"/>
        <w:bidi w:val="0"/>
        <w:jc w:val="left"/>
        <w:rPr/>
      </w:pPr>
      <w:r>
        <w:rPr/>
        <w:t>- 2028 прогноз: €1,780 млн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>
          <w:b/>
          <w:bCs/>
        </w:rPr>
        <w:t>Темпы роста рынка</w:t>
      </w:r>
    </w:p>
    <w:p>
      <w:pPr>
        <w:pStyle w:val="Normal"/>
        <w:bidi w:val="0"/>
        <w:jc w:val="left"/>
        <w:rPr/>
      </w:pPr>
      <w:r>
        <w:rPr/>
        <w:t>- E-commerce CAGR 2025-2030: 22.3% (оптимистичная оценка)</w:t>
      </w:r>
    </w:p>
    <w:p>
      <w:pPr>
        <w:pStyle w:val="Normal"/>
        <w:bidi w:val="0"/>
        <w:jc w:val="left"/>
        <w:rPr/>
      </w:pPr>
      <w:r>
        <w:rPr/>
        <w:t>- Реалистичный годовой рост: 18-20%</w:t>
      </w:r>
    </w:p>
    <w:p>
      <w:pPr>
        <w:pStyle w:val="Normal"/>
        <w:bidi w:val="0"/>
        <w:jc w:val="left"/>
        <w:rPr/>
      </w:pPr>
      <w:r>
        <w:rPr/>
        <w:t>- Рост Q3 2025: +7.2% квартал к кварталу</w:t>
      </w:r>
    </w:p>
    <w:p>
      <w:pPr>
        <w:pStyle w:val="Normal"/>
        <w:bidi w:val="0"/>
        <w:jc w:val="left"/>
        <w:rPr/>
      </w:pPr>
      <w:r>
        <w:rPr/>
        <w:t>- AI-услуги для маркетплейсов CAGR: +45%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>Структура рынка по категориям</w:t>
      </w:r>
    </w:p>
    <w:p>
      <w:pPr>
        <w:pStyle w:val="Normal"/>
        <w:bidi w:val="0"/>
        <w:jc w:val="left"/>
        <w:rPr/>
      </w:pPr>
      <w:r>
        <w:rPr/>
        <w:t>- Электроника и техника: 24.5% (€240 млн/год)</w:t>
      </w:r>
    </w:p>
    <w:p>
      <w:pPr>
        <w:pStyle w:val="Normal"/>
        <w:bidi w:val="0"/>
        <w:jc w:val="left"/>
        <w:rPr/>
      </w:pPr>
      <w:r>
        <w:rPr/>
        <w:t>- Мода и одежда: 19.2% (€188 млн/год)</w:t>
      </w:r>
    </w:p>
    <w:p>
      <w:pPr>
        <w:pStyle w:val="Normal"/>
        <w:bidi w:val="0"/>
        <w:jc w:val="left"/>
        <w:rPr/>
      </w:pPr>
      <w:r>
        <w:rPr/>
        <w:t>- Дом и сад: 14.8% (€145 млн/год)</w:t>
      </w:r>
    </w:p>
    <w:p>
      <w:pPr>
        <w:pStyle w:val="Normal"/>
        <w:bidi w:val="0"/>
        <w:jc w:val="left"/>
        <w:rPr/>
      </w:pPr>
      <w:r>
        <w:rPr/>
        <w:t>- Авто (запчасти/аксессуары): 11.3% (€111 млн/год)</w:t>
      </w:r>
    </w:p>
    <w:p>
      <w:pPr>
        <w:pStyle w:val="Normal"/>
        <w:bidi w:val="0"/>
        <w:jc w:val="left"/>
        <w:rPr/>
      </w:pPr>
      <w:r>
        <w:rPr/>
        <w:t>- Детские товары: 8.7% (€85 млн/год)</w:t>
      </w:r>
    </w:p>
    <w:p>
      <w:pPr>
        <w:pStyle w:val="Normal"/>
        <w:bidi w:val="0"/>
        <w:jc w:val="left"/>
        <w:rPr/>
      </w:pPr>
      <w:r>
        <w:rPr/>
        <w:t>- Спорт и хобби: 7.9% (€77 млн/год)</w:t>
      </w:r>
    </w:p>
    <w:p>
      <w:pPr>
        <w:pStyle w:val="Normal"/>
        <w:bidi w:val="0"/>
        <w:jc w:val="left"/>
        <w:rPr/>
      </w:pPr>
      <w:r>
        <w:rPr/>
        <w:t>- Косметика и здоровье: 6.5% (€64 млн/год)</w:t>
      </w:r>
    </w:p>
    <w:p>
      <w:pPr>
        <w:pStyle w:val="Normal"/>
        <w:bidi w:val="0"/>
        <w:jc w:val="left"/>
        <w:rPr/>
      </w:pPr>
      <w:r>
        <w:rPr/>
        <w:t>- Продукты питания: 4.8% (€47 млн/год)</w:t>
      </w:r>
    </w:p>
    <w:p>
      <w:pPr>
        <w:pStyle w:val="Normal"/>
        <w:bidi w:val="0"/>
        <w:jc w:val="left"/>
        <w:rPr/>
      </w:pPr>
      <w:r>
        <w:rPr/>
        <w:t>- Услуги: 2.3% (€23 млн/год)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>
          <w:b/>
          <w:bCs/>
        </w:rPr>
        <w:t>Общий адресуемый рынок (TAM)</w:t>
      </w:r>
    </w:p>
    <w:p>
      <w:pPr>
        <w:pStyle w:val="Normal"/>
        <w:bidi w:val="0"/>
        <w:jc w:val="left"/>
        <w:rPr/>
      </w:pPr>
      <w:r>
        <w:rPr/>
        <w:t>- 2025: €2,700 млн (весь e-commerce Западных Балкан)</w:t>
      </w:r>
    </w:p>
    <w:p>
      <w:pPr>
        <w:pStyle w:val="Normal"/>
        <w:bidi w:val="0"/>
        <w:jc w:val="left"/>
        <w:rPr/>
      </w:pPr>
      <w:r>
        <w:rPr/>
        <w:t>- 2028: €4,500 млн</w:t>
      </w:r>
    </w:p>
    <w:p>
      <w:pPr>
        <w:pStyle w:val="Normal"/>
        <w:bidi w:val="0"/>
        <w:jc w:val="left"/>
        <w:rPr/>
      </w:pPr>
      <w:r>
        <w:rPr/>
        <w:t>- CAGR: 18.5%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>
          <w:b/>
          <w:bCs/>
        </w:rPr>
        <w:t>Обслуживаемый рынок (SAM)</w:t>
      </w:r>
    </w:p>
    <w:p>
      <w:pPr>
        <w:pStyle w:val="Normal"/>
        <w:bidi w:val="0"/>
        <w:jc w:val="left"/>
        <w:rPr/>
      </w:pPr>
      <w:r>
        <w:rPr/>
        <w:t>- 2025: €2,295 млн (85% от TAM)</w:t>
      </w:r>
    </w:p>
    <w:p>
      <w:pPr>
        <w:pStyle w:val="Normal"/>
        <w:bidi w:val="0"/>
        <w:jc w:val="left"/>
        <w:rPr/>
      </w:pPr>
      <w:r>
        <w:rPr/>
        <w:t>- 2028: €3,825 млн</w:t>
      </w:r>
    </w:p>
    <w:p>
      <w:pPr>
        <w:pStyle w:val="Normal"/>
        <w:bidi w:val="0"/>
        <w:jc w:val="left"/>
        <w:rPr/>
      </w:pPr>
      <w:r>
        <w:rPr/>
        <w:t>- C2C классифайды: 35% от TAM</w:t>
      </w:r>
    </w:p>
    <w:p>
      <w:pPr>
        <w:pStyle w:val="Normal"/>
        <w:bidi w:val="0"/>
        <w:jc w:val="left"/>
        <w:rPr/>
      </w:pPr>
      <w:r>
        <w:rPr/>
        <w:t>- B2C витрины МСБ: 30% от TAM</w:t>
      </w:r>
    </w:p>
    <w:p>
      <w:pPr>
        <w:pStyle w:val="Normal"/>
        <w:bidi w:val="0"/>
        <w:jc w:val="left"/>
        <w:rPr/>
      </w:pPr>
      <w:r>
        <w:rPr/>
        <w:t>- B2B marketplace: 15% от TAM</w:t>
      </w:r>
    </w:p>
    <w:p>
      <w:pPr>
        <w:pStyle w:val="Normal"/>
        <w:bidi w:val="0"/>
        <w:jc w:val="left"/>
        <w:rPr/>
      </w:pPr>
      <w:r>
        <w:rPr/>
        <w:t>- AI как сервис: 5% от TAM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>
          <w:b/>
          <w:bCs/>
        </w:rPr>
        <w:t>Достижимый рынок (SOM)</w:t>
      </w:r>
    </w:p>
    <w:p>
      <w:pPr>
        <w:pStyle w:val="Normal"/>
        <w:bidi w:val="0"/>
        <w:jc w:val="left"/>
        <w:rPr/>
      </w:pPr>
      <w:r>
        <w:rPr/>
        <w:t>- Q4 2025: €2.3 млн (0.1% от SAM)</w:t>
      </w:r>
    </w:p>
    <w:p>
      <w:pPr>
        <w:pStyle w:val="Normal"/>
        <w:bidi w:val="0"/>
        <w:jc w:val="left"/>
        <w:rPr/>
      </w:pPr>
      <w:r>
        <w:rPr/>
        <w:t>- 2026: €34.4 млн (1.5% от SAM)</w:t>
      </w:r>
    </w:p>
    <w:p>
      <w:pPr>
        <w:pStyle w:val="Normal"/>
        <w:bidi w:val="0"/>
        <w:jc w:val="left"/>
        <w:rPr/>
      </w:pPr>
      <w:r>
        <w:rPr/>
        <w:t>- 2027: €107.3 млн (3.5% от SAM)</w:t>
      </w:r>
    </w:p>
    <w:p>
      <w:pPr>
        <w:pStyle w:val="Normal"/>
        <w:bidi w:val="0"/>
        <w:jc w:val="left"/>
        <w:rPr/>
      </w:pPr>
      <w:r>
        <w:rPr/>
        <w:t>- 2028: €229.5 млн (6.0% от SAM)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/>
      </w:pPr>
      <w:r>
        <w:rPr>
          <w:b/>
          <w:bCs/>
        </w:rPr>
        <w:t>ДАННЫЕ О КОНКУРЕНТАХ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>
          <w:b/>
          <w:bCs/>
        </w:rPr>
        <w:t>KupujemProdajem (KP)</w:t>
      </w:r>
    </w:p>
    <w:p>
      <w:pPr>
        <w:pStyle w:val="Normal"/>
        <w:bidi w:val="0"/>
        <w:jc w:val="left"/>
        <w:rPr/>
      </w:pPr>
      <w:r>
        <w:rPr/>
        <w:t>- Пользователи: 3.2 млн зарегистрированных</w:t>
      </w:r>
    </w:p>
    <w:p>
      <w:pPr>
        <w:pStyle w:val="Normal"/>
        <w:bidi w:val="0"/>
        <w:jc w:val="left"/>
        <w:rPr/>
      </w:pPr>
      <w:r>
        <w:rPr/>
        <w:t>- MAU: 850k активных ежемесячно</w:t>
      </w:r>
    </w:p>
    <w:p>
      <w:pPr>
        <w:pStyle w:val="Normal"/>
        <w:bidi w:val="0"/>
        <w:jc w:val="left"/>
        <w:rPr/>
      </w:pPr>
      <w:r>
        <w:rPr/>
        <w:t>- Объявления: 6.6 млн активных</w:t>
      </w:r>
    </w:p>
    <w:p>
      <w:pPr>
        <w:pStyle w:val="Normal"/>
        <w:bidi w:val="0"/>
        <w:jc w:val="left"/>
        <w:rPr/>
      </w:pPr>
      <w:r>
        <w:rPr/>
        <w:t>- Трафик: 15 млн уникальных посещений/месяц</w:t>
      </w:r>
    </w:p>
    <w:p>
      <w:pPr>
        <w:pStyle w:val="Normal"/>
        <w:bidi w:val="0"/>
        <w:jc w:val="left"/>
        <w:rPr/>
      </w:pPr>
      <w:r>
        <w:rPr/>
        <w:t>- Выручка: ~€12 млн/год (2024)</w:t>
      </w:r>
    </w:p>
    <w:p>
      <w:pPr>
        <w:pStyle w:val="Normal"/>
        <w:bidi w:val="0"/>
        <w:jc w:val="left"/>
        <w:rPr/>
      </w:pPr>
      <w:r>
        <w:rPr/>
        <w:t>- Сотрудники: ~45 человек</w:t>
      </w:r>
    </w:p>
    <w:p>
      <w:pPr>
        <w:pStyle w:val="Normal"/>
        <w:bidi w:val="0"/>
        <w:jc w:val="left"/>
        <w:rPr/>
      </w:pPr>
      <w:r>
        <w:rPr/>
        <w:t>- Доля рынка: ~65%</w:t>
      </w:r>
    </w:p>
    <w:p>
      <w:pPr>
        <w:pStyle w:val="Normal"/>
        <w:bidi w:val="0"/>
        <w:jc w:val="left"/>
        <w:rPr/>
      </w:pPr>
      <w:r>
        <w:rPr/>
        <w:t>- Lifetime reach в Сербии: 90%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>
          <w:b/>
          <w:bCs/>
        </w:rPr>
        <w:t>Halo Oglasi</w:t>
      </w:r>
    </w:p>
    <w:p>
      <w:pPr>
        <w:pStyle w:val="Normal"/>
        <w:bidi w:val="0"/>
        <w:jc w:val="left"/>
        <w:rPr/>
      </w:pPr>
      <w:r>
        <w:rPr/>
        <w:t>- Пользователи: 1.5 млн зарегистрированных</w:t>
      </w:r>
    </w:p>
    <w:p>
      <w:pPr>
        <w:pStyle w:val="Normal"/>
        <w:bidi w:val="0"/>
        <w:jc w:val="left"/>
        <w:rPr/>
      </w:pPr>
      <w:r>
        <w:rPr/>
        <w:t>- MAU: 1.2 млн</w:t>
      </w:r>
    </w:p>
    <w:p>
      <w:pPr>
        <w:pStyle w:val="Normal"/>
        <w:bidi w:val="0"/>
        <w:jc w:val="left"/>
        <w:rPr/>
      </w:pPr>
      <w:r>
        <w:rPr/>
        <w:t>- Объявления: 800k (500k недвижимость)</w:t>
      </w:r>
    </w:p>
    <w:p>
      <w:pPr>
        <w:pStyle w:val="Normal"/>
        <w:bidi w:val="0"/>
        <w:jc w:val="left"/>
        <w:rPr/>
      </w:pPr>
      <w:r>
        <w:rPr/>
        <w:t>- Выручка: ~€8 млн/год</w:t>
      </w:r>
    </w:p>
    <w:p>
      <w:pPr>
        <w:pStyle w:val="Normal"/>
        <w:bidi w:val="0"/>
        <w:jc w:val="left"/>
        <w:rPr/>
      </w:pPr>
      <w:r>
        <w:rPr/>
        <w:t>- Доля рынка: ~12% общего, ~40% в недвижимости</w:t>
      </w:r>
    </w:p>
    <w:p>
      <w:pPr>
        <w:pStyle w:val="Normal"/>
        <w:bidi w:val="0"/>
        <w:jc w:val="left"/>
        <w:rPr/>
      </w:pPr>
      <w:r>
        <w:rPr/>
        <w:t>- Премиум подписки для агентств: €99-499/месяц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>
          <w:b/>
          <w:bCs/>
        </w:rPr>
        <w:t>Facebook Marketplace</w:t>
      </w:r>
    </w:p>
    <w:p>
      <w:pPr>
        <w:pStyle w:val="Normal"/>
        <w:bidi w:val="0"/>
        <w:jc w:val="left"/>
        <w:rPr/>
      </w:pPr>
      <w:r>
        <w:rPr/>
        <w:t>- Facebook пользователи в Сербии: 2.1 млн</w:t>
      </w:r>
    </w:p>
    <w:p>
      <w:pPr>
        <w:pStyle w:val="Normal"/>
        <w:bidi w:val="0"/>
        <w:jc w:val="left"/>
        <w:rPr/>
      </w:pPr>
      <w:r>
        <w:rPr/>
        <w:t>- MAU: 800k</w:t>
      </w:r>
    </w:p>
    <w:p>
      <w:pPr>
        <w:pStyle w:val="Normal"/>
        <w:bidi w:val="0"/>
        <w:jc w:val="left"/>
        <w:rPr/>
      </w:pPr>
      <w:r>
        <w:rPr/>
        <w:t>- Активные продавцы: ~150k</w:t>
      </w:r>
    </w:p>
    <w:p>
      <w:pPr>
        <w:pStyle w:val="Normal"/>
        <w:bidi w:val="0"/>
        <w:jc w:val="left"/>
        <w:rPr/>
      </w:pPr>
      <w:r>
        <w:rPr/>
        <w:t>- Листинги: ~400k</w:t>
      </w:r>
    </w:p>
    <w:p>
      <w:pPr>
        <w:pStyle w:val="Normal"/>
        <w:bidi w:val="0"/>
        <w:jc w:val="left"/>
        <w:rPr/>
      </w:pPr>
      <w:r>
        <w:rPr/>
        <w:t>- Take rate: 0% (пока бесплатно)</w:t>
      </w:r>
    </w:p>
    <w:p>
      <w:pPr>
        <w:pStyle w:val="Normal"/>
        <w:bidi w:val="0"/>
        <w:jc w:val="left"/>
        <w:rPr/>
      </w:pPr>
      <w:r>
        <w:rPr/>
        <w:t>- Рост: 40% YoY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>
          <w:b/>
          <w:bCs/>
        </w:rPr>
        <w:t>Ananas E-commerce</w:t>
      </w:r>
    </w:p>
    <w:p>
      <w:pPr>
        <w:pStyle w:val="Normal"/>
        <w:bidi w:val="0"/>
        <w:jc w:val="left"/>
        <w:rPr/>
      </w:pPr>
      <w:r>
        <w:rPr/>
        <w:t>- MAU: 300k (оценка)</w:t>
      </w:r>
    </w:p>
    <w:p>
      <w:pPr>
        <w:pStyle w:val="Normal"/>
        <w:bidi w:val="0"/>
        <w:jc w:val="left"/>
        <w:rPr/>
      </w:pPr>
      <w:r>
        <w:rPr/>
        <w:t>- GMV: €15 млн/год (2024)</w:t>
      </w:r>
    </w:p>
    <w:p>
      <w:pPr>
        <w:pStyle w:val="Normal"/>
        <w:bidi w:val="0"/>
        <w:jc w:val="left"/>
        <w:rPr/>
      </w:pPr>
      <w:r>
        <w:rPr/>
        <w:t>- SKU: 50,000 товаров</w:t>
      </w:r>
    </w:p>
    <w:p>
      <w:pPr>
        <w:pStyle w:val="Normal"/>
        <w:bidi w:val="0"/>
        <w:jc w:val="left"/>
        <w:rPr/>
      </w:pPr>
      <w:r>
        <w:rPr/>
        <w:t>- Инвестиции: €3 млн seed (2024)</w:t>
      </w:r>
    </w:p>
    <w:p>
      <w:pPr>
        <w:pStyle w:val="Normal"/>
        <w:bidi w:val="0"/>
        <w:jc w:val="left"/>
        <w:rPr/>
      </w:pPr>
      <w:r>
        <w:rPr/>
        <w:t>- Команда: 35 человек</w:t>
      </w:r>
    </w:p>
    <w:p>
      <w:pPr>
        <w:pStyle w:val="Normal"/>
        <w:bidi w:val="0"/>
        <w:jc w:val="left"/>
        <w:rPr/>
      </w:pPr>
      <w:r>
        <w:rPr/>
        <w:t>- Фокус: 65% покупателей 18-35 лет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>
          <w:b/>
          <w:bCs/>
        </w:rPr>
        <w:t>Bazzar.rs</w:t>
      </w:r>
    </w:p>
    <w:p>
      <w:pPr>
        <w:pStyle w:val="Normal"/>
        <w:bidi w:val="0"/>
        <w:jc w:val="left"/>
        <w:rPr/>
      </w:pPr>
      <w:r>
        <w:rPr/>
        <w:t>- MAU: 200k (оценка)</w:t>
      </w:r>
    </w:p>
    <w:p>
      <w:pPr>
        <w:pStyle w:val="Normal"/>
        <w:bidi w:val="0"/>
        <w:jc w:val="left"/>
        <w:rPr/>
      </w:pPr>
      <w:r>
        <w:rPr/>
        <w:t>- Трафик: 2 млн уникальных/месяц</w:t>
      </w:r>
    </w:p>
    <w:p>
      <w:pPr>
        <w:pStyle w:val="Normal"/>
        <w:bidi w:val="0"/>
        <w:jc w:val="left"/>
        <w:rPr/>
      </w:pPr>
      <w:r>
        <w:rPr/>
        <w:t>- Проиндексировано: 15 млн объявлений</w:t>
      </w:r>
    </w:p>
    <w:p>
      <w:pPr>
        <w:pStyle w:val="Normal"/>
        <w:bidi w:val="0"/>
        <w:jc w:val="left"/>
        <w:rPr/>
      </w:pPr>
      <w:r>
        <w:rPr/>
        <w:t>- Выручка: €1.5 млн/год (реклама)</w:t>
      </w:r>
    </w:p>
    <w:p>
      <w:pPr>
        <w:pStyle w:val="Normal"/>
        <w:bidi w:val="0"/>
        <w:jc w:val="left"/>
        <w:rPr/>
      </w:pPr>
      <w:r>
        <w:rPr/>
        <w:t>- Команда: 12 человек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>
          <w:b/>
          <w:bCs/>
        </w:rPr>
        <w:t>Shoppster</w:t>
      </w:r>
    </w:p>
    <w:p>
      <w:pPr>
        <w:pStyle w:val="Normal"/>
        <w:bidi w:val="0"/>
        <w:jc w:val="left"/>
        <w:rPr/>
      </w:pPr>
      <w:r>
        <w:rPr/>
        <w:t>- MAU: 100k (оценка)</w:t>
      </w:r>
    </w:p>
    <w:p>
      <w:pPr>
        <w:pStyle w:val="Normal"/>
        <w:bidi w:val="0"/>
        <w:jc w:val="left"/>
        <w:rPr/>
      </w:pPr>
      <w:r>
        <w:rPr/>
        <w:t>- B2B клиенты: 5,000 компаний</w:t>
      </w:r>
    </w:p>
    <w:p>
      <w:pPr>
        <w:pStyle w:val="Normal"/>
        <w:bidi w:val="0"/>
        <w:jc w:val="left"/>
        <w:rPr/>
      </w:pPr>
      <w:r>
        <w:rPr/>
        <w:t>- GMV: €120 млн/год</w:t>
      </w:r>
    </w:p>
    <w:p>
      <w:pPr>
        <w:pStyle w:val="Normal"/>
        <w:bidi w:val="0"/>
        <w:jc w:val="left"/>
        <w:rPr/>
      </w:pPr>
      <w:r>
        <w:rPr/>
        <w:t>- Средний чек: €2,500</w:t>
      </w:r>
    </w:p>
    <w:p>
      <w:pPr>
        <w:pStyle w:val="Normal"/>
        <w:bidi w:val="0"/>
        <w:jc w:val="left"/>
        <w:rPr/>
      </w:pPr>
      <w:r>
        <w:rPr/>
        <w:t>- Take rate: 7-12%</w:t>
      </w:r>
    </w:p>
    <w:p>
      <w:pPr>
        <w:pStyle w:val="Normal"/>
        <w:bidi w:val="0"/>
        <w:jc w:val="left"/>
        <w:rPr/>
      </w:pPr>
      <w:r>
        <w:rPr/>
        <w:t>- Команда: 55 человек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/>
      </w:pPr>
      <w:r>
        <w:rPr>
          <w:b/>
          <w:bCs/>
        </w:rPr>
        <w:t>ТЕХНОЛОГИЧЕСКИЕ ПРЕДПОСЫЛКИ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>
          <w:b/>
          <w:bCs/>
        </w:rPr>
        <w:t>Claude Master System</w:t>
      </w:r>
    </w:p>
    <w:p>
      <w:pPr>
        <w:pStyle w:val="Normal"/>
        <w:bidi w:val="0"/>
        <w:jc w:val="left"/>
        <w:rPr/>
      </w:pPr>
      <w:r>
        <w:rPr/>
        <w:t>- Снижение затрат на разработку: 70%</w:t>
      </w:r>
    </w:p>
    <w:p>
      <w:pPr>
        <w:pStyle w:val="Normal"/>
        <w:bidi w:val="0"/>
        <w:jc w:val="left"/>
        <w:rPr/>
      </w:pPr>
      <w:r>
        <w:rPr/>
        <w:t>- Традиционная команда: 20-30 разработчиков</w:t>
      </w:r>
    </w:p>
    <w:p>
      <w:pPr>
        <w:pStyle w:val="Normal"/>
        <w:bidi w:val="0"/>
        <w:jc w:val="left"/>
        <w:rPr/>
      </w:pPr>
      <w:r>
        <w:rPr/>
        <w:t>- Наша команда: 5 разработчиков + AI</w:t>
      </w:r>
    </w:p>
    <w:p>
      <w:pPr>
        <w:pStyle w:val="Normal"/>
        <w:bidi w:val="0"/>
        <w:jc w:val="left"/>
        <w:rPr/>
      </w:pPr>
      <w:r>
        <w:rPr/>
        <w:t>- Традиционная стоимость: €1.5-2M/год</w:t>
      </w:r>
    </w:p>
    <w:p>
      <w:pPr>
        <w:pStyle w:val="Normal"/>
        <w:bidi w:val="0"/>
        <w:jc w:val="left"/>
        <w:rPr/>
      </w:pPr>
      <w:r>
        <w:rPr/>
        <w:t>- Наша стоимость: €400-620k/год</w:t>
      </w:r>
    </w:p>
    <w:p>
      <w:pPr>
        <w:pStyle w:val="Normal"/>
        <w:bidi w:val="0"/>
        <w:jc w:val="left"/>
        <w:rPr/>
      </w:pPr>
      <w:r>
        <w:rPr/>
        <w:t>- Экономия: €1.38M/год</w:t>
      </w:r>
    </w:p>
    <w:p>
      <w:pPr>
        <w:pStyle w:val="Normal"/>
        <w:bidi w:val="0"/>
        <w:jc w:val="left"/>
        <w:rPr/>
      </w:pPr>
      <w:r>
        <w:rPr/>
        <w:t>- Ускорение разработки: 10x</w:t>
      </w:r>
    </w:p>
    <w:p>
      <w:pPr>
        <w:pStyle w:val="Normal"/>
        <w:bidi w:val="0"/>
        <w:jc w:val="left"/>
        <w:rPr/>
      </w:pPr>
      <w:r>
        <w:rPr/>
        <w:t>- Время на major feature: 2-4 недели vs 6-12 месяцев</w:t>
      </w:r>
    </w:p>
    <w:p>
      <w:pPr>
        <w:pStyle w:val="Normal"/>
        <w:bidi w:val="0"/>
        <w:jc w:val="left"/>
        <w:rPr/>
      </w:pPr>
      <w:r>
        <w:rPr/>
        <w:t>- Test coverage: 95% vs 70-80%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>
          <w:b/>
          <w:bCs/>
        </w:rPr>
        <w:t>AI функционал</w:t>
      </w:r>
    </w:p>
    <w:p>
      <w:pPr>
        <w:pStyle w:val="Normal"/>
        <w:bidi w:val="0"/>
        <w:jc w:val="left"/>
        <w:rPr/>
      </w:pPr>
      <w:r>
        <w:rPr/>
        <w:t>- Время создания объявления: 5 секунд vs 30+ минут</w:t>
      </w:r>
    </w:p>
    <w:p>
      <w:pPr>
        <w:pStyle w:val="Normal"/>
        <w:bidi w:val="0"/>
        <w:jc w:val="left"/>
        <w:rPr/>
      </w:pPr>
      <w:r>
        <w:rPr/>
        <w:t>- Точность категоризации: 95%</w:t>
      </w:r>
    </w:p>
    <w:p>
      <w:pPr>
        <w:pStyle w:val="Normal"/>
        <w:bidi w:val="0"/>
        <w:jc w:val="left"/>
        <w:rPr/>
      </w:pPr>
      <w:r>
        <w:rPr/>
        <w:t>- Языки автоперевода: 3 (сербский, русский, английский)</w:t>
      </w:r>
    </w:p>
    <w:p>
      <w:pPr>
        <w:pStyle w:val="Normal"/>
        <w:bidi w:val="0"/>
        <w:jc w:val="left"/>
        <w:rPr/>
      </w:pPr>
      <w:r>
        <w:rPr/>
        <w:t>- Точность AI оценки недвижимости: 92%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/>
      </w:pPr>
      <w:r>
        <w:rPr>
          <w:b/>
          <w:bCs/>
        </w:rPr>
        <w:t>ФИНАНСОВЫЕ МЕТРИКИ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>
          <w:b/>
          <w:bCs/>
        </w:rPr>
        <w:t>Unit Economics</w:t>
      </w:r>
    </w:p>
    <w:p>
      <w:pPr>
        <w:pStyle w:val="Normal"/>
        <w:bidi w:val="0"/>
        <w:jc w:val="left"/>
        <w:rPr/>
      </w:pPr>
      <w:r>
        <w:rPr/>
        <w:t>- CAC Q4 2025: €12</w:t>
      </w:r>
    </w:p>
    <w:p>
      <w:pPr>
        <w:pStyle w:val="Normal"/>
        <w:bidi w:val="0"/>
        <w:jc w:val="left"/>
        <w:rPr/>
      </w:pPr>
      <w:r>
        <w:rPr/>
        <w:t>- CAC 2026: €8</w:t>
      </w:r>
    </w:p>
    <w:p>
      <w:pPr>
        <w:pStyle w:val="Normal"/>
        <w:bidi w:val="0"/>
        <w:jc w:val="left"/>
        <w:rPr/>
      </w:pPr>
      <w:r>
        <w:rPr/>
        <w:t>- CAC 2028: €5</w:t>
      </w:r>
    </w:p>
    <w:p>
      <w:pPr>
        <w:pStyle w:val="Normal"/>
        <w:bidi w:val="0"/>
        <w:jc w:val="left"/>
        <w:rPr/>
      </w:pPr>
      <w:r>
        <w:rPr/>
        <w:t>- LTV Q4 2025: €45</w:t>
      </w:r>
    </w:p>
    <w:p>
      <w:pPr>
        <w:pStyle w:val="Normal"/>
        <w:bidi w:val="0"/>
        <w:jc w:val="left"/>
        <w:rPr/>
      </w:pPr>
      <w:r>
        <w:rPr/>
        <w:t>- LTV 2026: €96</w:t>
      </w:r>
    </w:p>
    <w:p>
      <w:pPr>
        <w:pStyle w:val="Normal"/>
        <w:bidi w:val="0"/>
        <w:jc w:val="left"/>
        <w:rPr/>
      </w:pPr>
      <w:r>
        <w:rPr/>
        <w:t>- LTV 2028: €182</w:t>
      </w:r>
    </w:p>
    <w:p>
      <w:pPr>
        <w:pStyle w:val="Normal"/>
        <w:bidi w:val="0"/>
        <w:jc w:val="left"/>
        <w:rPr/>
      </w:pPr>
      <w:r>
        <w:rPr/>
        <w:t>- LTV/CAC Q4 2025: 3.75x</w:t>
      </w:r>
    </w:p>
    <w:p>
      <w:pPr>
        <w:pStyle w:val="Normal"/>
        <w:bidi w:val="0"/>
        <w:jc w:val="left"/>
        <w:rPr/>
      </w:pPr>
      <w:r>
        <w:rPr/>
        <w:t>- LTV/CAC 2028: 36x</w:t>
      </w:r>
    </w:p>
    <w:p>
      <w:pPr>
        <w:pStyle w:val="Normal"/>
        <w:bidi w:val="0"/>
        <w:jc w:val="left"/>
        <w:rPr/>
      </w:pPr>
      <w:r>
        <w:rPr/>
        <w:t>- Payback период Q4 2025: 8 месяцев</w:t>
      </w:r>
    </w:p>
    <w:p>
      <w:pPr>
        <w:pStyle w:val="Normal"/>
        <w:bidi w:val="0"/>
        <w:jc w:val="left"/>
        <w:rPr/>
      </w:pPr>
      <w:r>
        <w:rPr/>
        <w:t>- Payback период 2028: 1.5 месяца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>Take Rate и комиссии</w:t>
      </w:r>
    </w:p>
    <w:p>
      <w:pPr>
        <w:pStyle w:val="Normal"/>
        <w:bidi w:val="0"/>
        <w:jc w:val="left"/>
        <w:rPr/>
      </w:pPr>
      <w:r>
        <w:rPr/>
        <w:t>- C2C комиссии: 3-5% от GMV</w:t>
      </w:r>
    </w:p>
    <w:p>
      <w:pPr>
        <w:pStyle w:val="Normal"/>
        <w:bidi w:val="0"/>
        <w:jc w:val="left"/>
        <w:rPr/>
      </w:pPr>
      <w:r>
        <w:rPr/>
        <w:t>- Средний take rate 2025: 3.8%</w:t>
      </w:r>
    </w:p>
    <w:p>
      <w:pPr>
        <w:pStyle w:val="Normal"/>
        <w:bidi w:val="0"/>
        <w:jc w:val="left"/>
        <w:rPr/>
      </w:pPr>
      <w:r>
        <w:rPr/>
        <w:t>- Средний take rate 2028: 4.5%</w:t>
      </w:r>
    </w:p>
    <w:p>
      <w:pPr>
        <w:pStyle w:val="Normal"/>
        <w:bidi w:val="0"/>
        <w:jc w:val="left"/>
        <w:rPr/>
      </w:pPr>
      <w:r>
        <w:rPr/>
        <w:t>- Premium размещение: €5-20 за объявление</w:t>
      </w:r>
    </w:p>
    <w:p>
      <w:pPr>
        <w:pStyle w:val="Normal"/>
        <w:bidi w:val="0"/>
        <w:jc w:val="left"/>
        <w:rPr/>
      </w:pPr>
      <w:r>
        <w:rPr/>
        <w:t>- Доставка markup: €0.5-1 за посылку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>
          <w:b/>
          <w:bCs/>
        </w:rPr>
        <w:t>B2B AI pricing</w:t>
      </w:r>
    </w:p>
    <w:p>
      <w:pPr>
        <w:pStyle w:val="Normal"/>
        <w:bidi w:val="0"/>
        <w:jc w:val="left"/>
        <w:rPr/>
      </w:pPr>
      <w:r>
        <w:rPr/>
        <w:t>- KupujemProdajem API: €50,000/месяц</w:t>
      </w:r>
    </w:p>
    <w:p>
      <w:pPr>
        <w:pStyle w:val="Normal"/>
        <w:bidi w:val="0"/>
        <w:jc w:val="left"/>
        <w:rPr/>
      </w:pPr>
      <w:r>
        <w:rPr/>
        <w:t>- Halo Oglasi AI: €30,000/месяц</w:t>
      </w:r>
    </w:p>
    <w:p>
      <w:pPr>
        <w:pStyle w:val="Normal"/>
        <w:bidi w:val="0"/>
        <w:jc w:val="left"/>
        <w:rPr/>
      </w:pPr>
      <w:r>
        <w:rPr/>
        <w:t>- Ananas каталогизация: €20,000/месяц</w:t>
      </w:r>
    </w:p>
    <w:p>
      <w:pPr>
        <w:pStyle w:val="Normal"/>
        <w:bidi w:val="0"/>
        <w:jc w:val="left"/>
        <w:rPr/>
      </w:pPr>
      <w:r>
        <w:rPr/>
        <w:t>- Bazzar API: €15,000/месяц</w:t>
      </w:r>
    </w:p>
    <w:p>
      <w:pPr>
        <w:pStyle w:val="Normal"/>
        <w:bidi w:val="0"/>
        <w:jc w:val="left"/>
        <w:rPr/>
      </w:pPr>
      <w:r>
        <w:rPr/>
        <w:t>- Shoppster B2B: €25,000/месяц</w:t>
      </w:r>
    </w:p>
    <w:p>
      <w:pPr>
        <w:pStyle w:val="Normal"/>
        <w:bidi w:val="0"/>
        <w:jc w:val="left"/>
        <w:rPr/>
      </w:pPr>
      <w:r>
        <w:rPr/>
        <w:t>- Агентства white-label: €500-2,000/месяц</w:t>
      </w:r>
    </w:p>
    <w:p>
      <w:pPr>
        <w:pStyle w:val="Normal"/>
        <w:bidi w:val="0"/>
        <w:jc w:val="left"/>
        <w:rPr/>
      </w:pPr>
      <w:r>
        <w:rPr/>
        <w:t>- Итого B2B потенциал: €140,000/месяц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>
          <w:b/>
          <w:bCs/>
        </w:rPr>
        <w:t>B2C SaaS подписки</w:t>
      </w:r>
    </w:p>
    <w:p>
      <w:pPr>
        <w:pStyle w:val="Normal"/>
        <w:bidi w:val="0"/>
        <w:jc w:val="left"/>
        <w:rPr/>
      </w:pPr>
      <w:r>
        <w:rPr/>
        <w:t>- Professional план: €29/месяц</w:t>
      </w:r>
    </w:p>
    <w:p>
      <w:pPr>
        <w:pStyle w:val="Normal"/>
        <w:bidi w:val="0"/>
        <w:jc w:val="left"/>
        <w:rPr/>
      </w:pPr>
      <w:r>
        <w:rPr/>
        <w:t>- Business план: €99/месяц</w:t>
      </w:r>
    </w:p>
    <w:p>
      <w:pPr>
        <w:pStyle w:val="Normal"/>
        <w:bidi w:val="0"/>
        <w:jc w:val="left"/>
        <w:rPr/>
      </w:pPr>
      <w:r>
        <w:rPr/>
        <w:t>- Enterprise план: €299/месяц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>
          <w:b/>
          <w:bCs/>
        </w:rPr>
        <w:t>Средние показатели рынка</w:t>
      </w:r>
    </w:p>
    <w:p>
      <w:pPr>
        <w:pStyle w:val="Normal"/>
        <w:bidi w:val="0"/>
        <w:jc w:val="left"/>
        <w:rPr/>
      </w:pPr>
      <w:r>
        <w:rPr/>
        <w:t>- Средний чек e-commerce Сербия: €38</w:t>
      </w:r>
    </w:p>
    <w:p>
      <w:pPr>
        <w:pStyle w:val="Normal"/>
        <w:bidi w:val="0"/>
        <w:jc w:val="left"/>
        <w:rPr/>
      </w:pPr>
      <w:r>
        <w:rPr/>
        <w:t>- Средний чек EU: €67</w:t>
      </w:r>
    </w:p>
    <w:p>
      <w:pPr>
        <w:pStyle w:val="Normal"/>
        <w:bidi w:val="0"/>
        <w:jc w:val="left"/>
        <w:rPr/>
      </w:pPr>
      <w:r>
        <w:rPr/>
        <w:t>- Частота покупок Сербия: 11/год</w:t>
      </w:r>
    </w:p>
    <w:p>
      <w:pPr>
        <w:pStyle w:val="Normal"/>
        <w:bidi w:val="0"/>
        <w:jc w:val="left"/>
        <w:rPr/>
      </w:pPr>
      <w:r>
        <w:rPr/>
        <w:t>- Частота покупок EU: 24/год</w:t>
      </w:r>
    </w:p>
    <w:p>
      <w:pPr>
        <w:pStyle w:val="Normal"/>
        <w:bidi w:val="0"/>
        <w:jc w:val="left"/>
        <w:rPr/>
      </w:pPr>
      <w:r>
        <w:rPr/>
        <w:t>- Mobile commerce доля Сербия: 48%</w:t>
      </w:r>
    </w:p>
    <w:p>
      <w:pPr>
        <w:pStyle w:val="Normal"/>
        <w:bidi w:val="0"/>
        <w:jc w:val="left"/>
        <w:rPr/>
      </w:pPr>
      <w:r>
        <w:rPr/>
        <w:t>- E-commerce/GDP Сербия: 1.8%</w:t>
      </w:r>
    </w:p>
    <w:p>
      <w:pPr>
        <w:pStyle w:val="Normal"/>
        <w:bidi w:val="0"/>
        <w:jc w:val="left"/>
        <w:rPr/>
      </w:pPr>
      <w:r>
        <w:rPr/>
        <w:t>- E-commerce/GDP EU: 4.2%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/>
      </w:pPr>
      <w:r>
        <w:rPr>
          <w:b/>
          <w:bCs/>
        </w:rPr>
        <w:t>ОПЕРАЦИОННЫЕ МЕТРИКИ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>
          <w:b/>
          <w:bCs/>
        </w:rPr>
        <w:t>Затраты на персонал</w:t>
      </w:r>
    </w:p>
    <w:p>
      <w:pPr>
        <w:pStyle w:val="Normal"/>
        <w:bidi w:val="0"/>
        <w:jc w:val="left"/>
        <w:rPr/>
      </w:pPr>
      <w:r>
        <w:rPr/>
        <w:t>- Средняя ЗП разработчика: €4,000/месяц</w:t>
      </w:r>
    </w:p>
    <w:p>
      <w:pPr>
        <w:pStyle w:val="Normal"/>
        <w:bidi w:val="0"/>
        <w:jc w:val="left"/>
        <w:rPr/>
      </w:pPr>
      <w:r>
        <w:rPr/>
        <w:t>- Средняя ЗП в IT Сербии: €2,000-5,000/месяц</w:t>
      </w:r>
    </w:p>
    <w:p>
      <w:pPr>
        <w:pStyle w:val="Normal"/>
        <w:bidi w:val="0"/>
        <w:jc w:val="left"/>
        <w:rPr/>
      </w:pPr>
      <w:r>
        <w:rPr/>
        <w:t>- Команда Q4 2025: 5 человек</w:t>
      </w:r>
    </w:p>
    <w:p>
      <w:pPr>
        <w:pStyle w:val="Normal"/>
        <w:bidi w:val="0"/>
        <w:jc w:val="left"/>
        <w:rPr/>
      </w:pPr>
      <w:r>
        <w:rPr/>
        <w:t>- Команда 2026: 15 человек</w:t>
      </w:r>
    </w:p>
    <w:p>
      <w:pPr>
        <w:pStyle w:val="Normal"/>
        <w:bidi w:val="0"/>
        <w:jc w:val="left"/>
        <w:rPr/>
      </w:pPr>
      <w:r>
        <w:rPr/>
        <w:t>- Команда 2028: 50+ человек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>
          <w:b/>
          <w:bCs/>
        </w:rPr>
        <w:t>Инфраструктурные затраты</w:t>
      </w:r>
    </w:p>
    <w:p>
      <w:pPr>
        <w:pStyle w:val="Normal"/>
        <w:bidi w:val="0"/>
        <w:jc w:val="left"/>
        <w:rPr/>
      </w:pPr>
      <w:r>
        <w:rPr/>
        <w:t>- AWS/Cloud Q4 2025: €48k</w:t>
      </w:r>
    </w:p>
    <w:p>
      <w:pPr>
        <w:pStyle w:val="Normal"/>
        <w:bidi w:val="0"/>
        <w:jc w:val="left"/>
        <w:rPr/>
      </w:pPr>
      <w:r>
        <w:rPr/>
        <w:t>- AWS/Cloud 2026: €320k</w:t>
      </w:r>
    </w:p>
    <w:p>
      <w:pPr>
        <w:pStyle w:val="Normal"/>
        <w:bidi w:val="0"/>
        <w:jc w:val="left"/>
        <w:rPr/>
      </w:pPr>
      <w:r>
        <w:rPr/>
        <w:t>- AWS/Cloud 2028: €910k</w:t>
      </w:r>
    </w:p>
    <w:p>
      <w:pPr>
        <w:pStyle w:val="Normal"/>
        <w:bidi w:val="0"/>
        <w:jc w:val="left"/>
        <w:rPr/>
      </w:pPr>
      <w:r>
        <w:rPr/>
        <w:t>- Лицензии (Claude, Mapbox) 2026: €85k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>
          <w:b/>
          <w:bCs/>
        </w:rPr>
        <w:t>Маркетинговые затраты</w:t>
      </w:r>
    </w:p>
    <w:p>
      <w:pPr>
        <w:pStyle w:val="Normal"/>
        <w:bidi w:val="0"/>
        <w:jc w:val="left"/>
        <w:rPr/>
      </w:pPr>
      <w:r>
        <w:rPr/>
        <w:t>- Performance ads 2026: €800k</w:t>
      </w:r>
    </w:p>
    <w:p>
      <w:pPr>
        <w:pStyle w:val="Normal"/>
        <w:bidi w:val="0"/>
        <w:jc w:val="left"/>
        <w:rPr/>
      </w:pPr>
      <w:r>
        <w:rPr/>
        <w:t>- Контент и SEO 2026: €200k</w:t>
      </w:r>
    </w:p>
    <w:p>
      <w:pPr>
        <w:pStyle w:val="Normal"/>
        <w:bidi w:val="0"/>
        <w:jc w:val="left"/>
        <w:rPr/>
      </w:pPr>
      <w:r>
        <w:rPr/>
        <w:t>- PR и партнерства 2026: €220k</w:t>
      </w:r>
    </w:p>
    <w:p>
      <w:pPr>
        <w:pStyle w:val="Normal"/>
        <w:bidi w:val="0"/>
        <w:jc w:val="left"/>
        <w:rPr/>
      </w:pPr>
      <w:r>
        <w:rPr/>
        <w:t>- Общий маркетинг 2026: €1,220k (32% от выручки)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/>
      </w:pPr>
      <w:r>
        <w:rPr>
          <w:b/>
          <w:bCs/>
        </w:rPr>
        <w:t>ПРОГНОЗЫ РОСТА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>
          <w:b/>
          <w:bCs/>
        </w:rPr>
        <w:t>Пользовательская база</w:t>
      </w:r>
    </w:p>
    <w:p>
      <w:pPr>
        <w:pStyle w:val="Normal"/>
        <w:bidi w:val="0"/>
        <w:jc w:val="left"/>
        <w:rPr/>
      </w:pPr>
      <w:r>
        <w:rPr/>
        <w:t>- Q4 2025: 25,000 регистраций</w:t>
      </w:r>
    </w:p>
    <w:p>
      <w:pPr>
        <w:pStyle w:val="Normal"/>
        <w:bidi w:val="0"/>
        <w:jc w:val="left"/>
        <w:rPr/>
      </w:pPr>
      <w:r>
        <w:rPr/>
        <w:t>- 2026: 200,000 регистраций</w:t>
      </w:r>
    </w:p>
    <w:p>
      <w:pPr>
        <w:pStyle w:val="Normal"/>
        <w:bidi w:val="0"/>
        <w:jc w:val="left"/>
        <w:rPr/>
      </w:pPr>
      <w:r>
        <w:rPr/>
        <w:t>- 2027: 500,000 регистраций</w:t>
      </w:r>
    </w:p>
    <w:p>
      <w:pPr>
        <w:pStyle w:val="Normal"/>
        <w:bidi w:val="0"/>
        <w:jc w:val="left"/>
        <w:rPr/>
      </w:pPr>
      <w:r>
        <w:rPr/>
        <w:t>- 2028: 1,000,000 регистраций</w:t>
      </w:r>
    </w:p>
    <w:p>
      <w:pPr>
        <w:pStyle w:val="Normal"/>
        <w:bidi w:val="0"/>
        <w:jc w:val="left"/>
        <w:rPr/>
      </w:pPr>
      <w:r>
        <w:rPr/>
        <w:t>- MAU/Total ratio: 40-48%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>
          <w:b/>
          <w:bCs/>
        </w:rPr>
        <w:t>GMV прогнозы</w:t>
      </w:r>
    </w:p>
    <w:p>
      <w:pPr>
        <w:pStyle w:val="Normal"/>
        <w:bidi w:val="0"/>
        <w:jc w:val="left"/>
        <w:rPr/>
      </w:pPr>
      <w:r>
        <w:rPr/>
        <w:t>- Q4 2025: €5 млн</w:t>
      </w:r>
    </w:p>
    <w:p>
      <w:pPr>
        <w:pStyle w:val="Normal"/>
        <w:bidi w:val="0"/>
        <w:jc w:val="left"/>
        <w:rPr/>
      </w:pPr>
      <w:r>
        <w:rPr/>
        <w:t>- 2026: €86 млн</w:t>
      </w:r>
    </w:p>
    <w:p>
      <w:pPr>
        <w:pStyle w:val="Normal"/>
        <w:bidi w:val="0"/>
        <w:jc w:val="left"/>
        <w:rPr/>
      </w:pPr>
      <w:r>
        <w:rPr/>
        <w:t>- 2027: €268 млн</w:t>
      </w:r>
    </w:p>
    <w:p>
      <w:pPr>
        <w:pStyle w:val="Normal"/>
        <w:bidi w:val="0"/>
        <w:jc w:val="left"/>
        <w:rPr/>
      </w:pPr>
      <w:r>
        <w:rPr/>
        <w:t>- 2028: €574 млн</w:t>
      </w:r>
    </w:p>
    <w:p>
      <w:pPr>
        <w:pStyle w:val="Normal"/>
        <w:bidi w:val="0"/>
        <w:jc w:val="left"/>
        <w:rPr/>
      </w:pPr>
      <w:r>
        <w:rPr/>
        <w:t>- CAGR GMV: 235%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>
          <w:b/>
          <w:bCs/>
        </w:rPr>
        <w:t>Выручка</w:t>
      </w:r>
    </w:p>
    <w:p>
      <w:pPr>
        <w:pStyle w:val="Normal"/>
        <w:bidi w:val="0"/>
        <w:jc w:val="left"/>
        <w:rPr/>
      </w:pPr>
      <w:r>
        <w:rPr/>
        <w:t>- Q4 2025: €285k</w:t>
      </w:r>
    </w:p>
    <w:p>
      <w:pPr>
        <w:pStyle w:val="Normal"/>
        <w:bidi w:val="0"/>
        <w:jc w:val="left"/>
        <w:rPr/>
      </w:pPr>
      <w:r>
        <w:rPr/>
        <w:t>- 2026: €3,840k</w:t>
      </w:r>
    </w:p>
    <w:p>
      <w:pPr>
        <w:pStyle w:val="Normal"/>
        <w:bidi w:val="0"/>
        <w:jc w:val="left"/>
        <w:rPr/>
      </w:pPr>
      <w:r>
        <w:rPr/>
        <w:t>- 2027: €9,650k</w:t>
      </w:r>
    </w:p>
    <w:p>
      <w:pPr>
        <w:pStyle w:val="Normal"/>
        <w:bidi w:val="0"/>
        <w:jc w:val="left"/>
        <w:rPr/>
      </w:pPr>
      <w:r>
        <w:rPr/>
        <w:t>- 2028: €18,200k</w:t>
      </w:r>
    </w:p>
    <w:p>
      <w:pPr>
        <w:pStyle w:val="Normal"/>
        <w:bidi w:val="0"/>
        <w:jc w:val="left"/>
        <w:rPr/>
      </w:pPr>
      <w:r>
        <w:rPr/>
        <w:t>- CAGR выручка: 183%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>
          <w:b/>
          <w:bCs/>
        </w:rPr>
        <w:t>EBITDA</w:t>
      </w:r>
    </w:p>
    <w:p>
      <w:pPr>
        <w:pStyle w:val="Normal"/>
        <w:bidi w:val="0"/>
        <w:jc w:val="left"/>
        <w:rPr/>
      </w:pPr>
      <w:r>
        <w:rPr/>
        <w:t>- Q4 2025: -€165k (-58% margin)</w:t>
      </w:r>
    </w:p>
    <w:p>
      <w:pPr>
        <w:pStyle w:val="Normal"/>
        <w:bidi w:val="0"/>
        <w:jc w:val="left"/>
        <w:rPr/>
      </w:pPr>
      <w:r>
        <w:rPr/>
        <w:t>- 2026: €576k (15% margin)</w:t>
      </w:r>
    </w:p>
    <w:p>
      <w:pPr>
        <w:pStyle w:val="Normal"/>
        <w:bidi w:val="0"/>
        <w:jc w:val="left"/>
        <w:rPr/>
      </w:pPr>
      <w:r>
        <w:rPr/>
        <w:t>- 2027: €2,895k (30% margin)</w:t>
      </w:r>
    </w:p>
    <w:p>
      <w:pPr>
        <w:pStyle w:val="Normal"/>
        <w:bidi w:val="0"/>
        <w:jc w:val="left"/>
        <w:rPr/>
      </w:pPr>
      <w:r>
        <w:rPr/>
        <w:t>- 2028: €6,370k (35% margin)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ИНВЕСТИЦИИ И ОЦЕНКА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>
          <w:b/>
          <w:bCs/>
        </w:rPr>
        <w:t>Раунды финансирования</w:t>
      </w:r>
    </w:p>
    <w:p>
      <w:pPr>
        <w:pStyle w:val="Normal"/>
        <w:bidi w:val="0"/>
        <w:jc w:val="left"/>
        <w:rPr/>
      </w:pPr>
      <w:r>
        <w:rPr/>
        <w:t>- Friends &amp; Family: €300k при оценке €1.5M post-money</w:t>
      </w:r>
    </w:p>
    <w:p>
      <w:pPr>
        <w:pStyle w:val="Normal"/>
        <w:bidi w:val="0"/>
        <w:jc w:val="left"/>
        <w:rPr/>
      </w:pPr>
      <w:r>
        <w:rPr/>
        <w:t>- Seed: €1.5M при оценке €6M post-money</w:t>
      </w:r>
    </w:p>
    <w:p>
      <w:pPr>
        <w:pStyle w:val="Normal"/>
        <w:bidi w:val="0"/>
        <w:jc w:val="left"/>
        <w:rPr/>
      </w:pPr>
      <w:r>
        <w:rPr/>
        <w:t>- Series A: €5M при оценке €25M post-money</w:t>
      </w:r>
    </w:p>
    <w:p>
      <w:pPr>
        <w:pStyle w:val="Normal"/>
        <w:bidi w:val="0"/>
        <w:jc w:val="left"/>
        <w:rPr/>
      </w:pPr>
      <w:r>
        <w:rPr/>
        <w:t>- Series B: €15M при оценке €75M post-money</w:t>
      </w:r>
    </w:p>
    <w:p>
      <w:pPr>
        <w:pStyle w:val="Normal"/>
        <w:bidi w:val="0"/>
        <w:jc w:val="left"/>
        <w:rPr/>
      </w:pPr>
      <w:r>
        <w:rPr/>
        <w:t>- Series C/Pre-IPO: €30M при оценке €200M post-money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>
          <w:b/>
          <w:bCs/>
        </w:rPr>
        <w:t>Мультипликаторы оценки</w:t>
      </w:r>
    </w:p>
    <w:p>
      <w:pPr>
        <w:pStyle w:val="Normal"/>
        <w:bidi w:val="0"/>
        <w:jc w:val="left"/>
        <w:rPr/>
      </w:pPr>
      <w:r>
        <w:rPr/>
        <w:t>- EV/Revenue 2026: 6.5x</w:t>
      </w:r>
    </w:p>
    <w:p>
      <w:pPr>
        <w:pStyle w:val="Normal"/>
        <w:bidi w:val="0"/>
        <w:jc w:val="left"/>
        <w:rPr/>
      </w:pPr>
      <w:r>
        <w:rPr/>
        <w:t>- EV/Revenue 2028: 11x</w:t>
      </w:r>
    </w:p>
    <w:p>
      <w:pPr>
        <w:pStyle w:val="Normal"/>
        <w:bidi w:val="0"/>
        <w:jc w:val="left"/>
        <w:rPr/>
      </w:pPr>
      <w:r>
        <w:rPr/>
        <w:t>- EV/GMV 2028: 0.35x</w:t>
      </w:r>
    </w:p>
    <w:p>
      <w:pPr>
        <w:pStyle w:val="Normal"/>
        <w:bidi w:val="0"/>
        <w:jc w:val="left"/>
        <w:rPr/>
      </w:pPr>
      <w:r>
        <w:rPr/>
        <w:t>- EV/User 2028: €200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>
          <w:b/>
          <w:bCs/>
        </w:rPr>
        <w:t>ROI для инвесторов</w:t>
      </w:r>
    </w:p>
    <w:p>
      <w:pPr>
        <w:pStyle w:val="Normal"/>
        <w:bidi w:val="0"/>
        <w:jc w:val="left"/>
        <w:rPr/>
      </w:pPr>
      <w:r>
        <w:rPr/>
        <w:t>- Seed ROI: 33x за 3 года</w:t>
      </w:r>
    </w:p>
    <w:p>
      <w:pPr>
        <w:pStyle w:val="Normal"/>
        <w:bidi w:val="0"/>
        <w:jc w:val="left"/>
        <w:rPr/>
      </w:pPr>
      <w:r>
        <w:rPr/>
        <w:t>- Seed IRR: 142%</w:t>
      </w:r>
    </w:p>
    <w:p>
      <w:pPr>
        <w:pStyle w:val="Normal"/>
        <w:bidi w:val="0"/>
        <w:jc w:val="left"/>
        <w:rPr/>
      </w:pPr>
      <w:r>
        <w:rPr/>
        <w:t>- Series A ROI: 8x</w:t>
      </w:r>
    </w:p>
    <w:p>
      <w:pPr>
        <w:pStyle w:val="Normal"/>
        <w:bidi w:val="0"/>
        <w:jc w:val="left"/>
        <w:rPr/>
      </w:pPr>
      <w:r>
        <w:rPr/>
        <w:t>- Series A IRR: 68%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РЕГИОНАЛЬНАЯ ЭКСПАНСИЯ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>
          <w:b/>
          <w:bCs/>
        </w:rPr>
        <w:t>Timeline экспансии</w:t>
      </w:r>
    </w:p>
    <w:p>
      <w:pPr>
        <w:pStyle w:val="Normal"/>
        <w:bidi w:val="0"/>
        <w:jc w:val="left"/>
        <w:rPr/>
      </w:pPr>
      <w:r>
        <w:rPr/>
        <w:t>- Q4 2025: Запуск в Сербии (Белград, Нови Сад)</w:t>
      </w:r>
    </w:p>
    <w:p>
      <w:pPr>
        <w:pStyle w:val="Normal"/>
        <w:bidi w:val="0"/>
        <w:jc w:val="left"/>
        <w:rPr/>
      </w:pPr>
      <w:r>
        <w:rPr/>
        <w:t>- Q1 2026: Запуск в Боснии и Герцеговине</w:t>
      </w:r>
    </w:p>
    <w:p>
      <w:pPr>
        <w:pStyle w:val="Normal"/>
        <w:bidi w:val="0"/>
        <w:jc w:val="left"/>
        <w:rPr/>
      </w:pPr>
      <w:r>
        <w:rPr/>
        <w:t>- 2027: Македония и Черногория</w:t>
      </w:r>
    </w:p>
    <w:p>
      <w:pPr>
        <w:pStyle w:val="Normal"/>
        <w:bidi w:val="0"/>
        <w:jc w:val="left"/>
        <w:rPr/>
      </w:pPr>
      <w:r>
        <w:rPr/>
        <w:t>- 2028: Хорватия и Словения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>
          <w:b/>
          <w:bCs/>
        </w:rPr>
        <w:t>Логистическая инфраструктура</w:t>
      </w:r>
    </w:p>
    <w:p>
      <w:pPr>
        <w:pStyle w:val="Normal"/>
        <w:bidi w:val="0"/>
        <w:jc w:val="left"/>
        <w:rPr/>
      </w:pPr>
      <w:r>
        <w:rPr/>
        <w:t>- ПВЗ в регионе 2025: 1,200</w:t>
      </w:r>
    </w:p>
    <w:p>
      <w:pPr>
        <w:pStyle w:val="Normal"/>
        <w:bidi w:val="0"/>
        <w:jc w:val="left"/>
        <w:rPr/>
      </w:pPr>
      <w:r>
        <w:rPr/>
        <w:t>- ПВЗ прогноз 2028: 3,000</w:t>
      </w:r>
    </w:p>
    <w:p>
      <w:pPr>
        <w:pStyle w:val="Normal"/>
        <w:bidi w:val="0"/>
        <w:jc w:val="left"/>
        <w:rPr/>
      </w:pPr>
      <w:r>
        <w:rPr/>
        <w:t>- Скорость доставки сейчас: 3-5 дней</w:t>
      </w:r>
    </w:p>
    <w:p>
      <w:pPr>
        <w:pStyle w:val="Normal"/>
        <w:bidi w:val="0"/>
        <w:jc w:val="left"/>
        <w:rPr/>
      </w:pPr>
      <w:r>
        <w:rPr/>
        <w:t>- Скорость доставки 2028: 1-2 дня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КЛЮЧЕВЫЕ ДОПУЩЕНИЯ И РИСКИ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>
          <w:b/>
          <w:bCs/>
        </w:rPr>
        <w:t>Допущения модели</w:t>
      </w:r>
    </w:p>
    <w:p>
      <w:pPr>
        <w:pStyle w:val="Normal"/>
        <w:bidi w:val="0"/>
        <w:jc w:val="left"/>
        <w:rPr/>
      </w:pPr>
      <w:r>
        <w:rPr/>
        <w:t>- Конверсия регистрация → активный продавец: 20%</w:t>
      </w:r>
    </w:p>
    <w:p>
      <w:pPr>
        <w:pStyle w:val="Normal"/>
        <w:bidi w:val="0"/>
        <w:jc w:val="left"/>
        <w:rPr/>
      </w:pPr>
      <w:r>
        <w:rPr/>
        <w:t>- Retention D30: 68%</w:t>
      </w:r>
    </w:p>
    <w:p>
      <w:pPr>
        <w:pStyle w:val="Normal"/>
        <w:bidi w:val="0"/>
        <w:jc w:val="left"/>
        <w:rPr/>
      </w:pPr>
      <w:r>
        <w:rPr/>
        <w:t>- Viral coefficient к 2027: 0.5</w:t>
      </w:r>
    </w:p>
    <w:p>
      <w:pPr>
        <w:pStyle w:val="Normal"/>
        <w:bidi w:val="0"/>
        <w:jc w:val="left"/>
        <w:rPr/>
      </w:pPr>
      <w:r>
        <w:rPr/>
        <w:t>- Churn месячный Q4 2025: 8%</w:t>
      </w:r>
    </w:p>
    <w:p>
      <w:pPr>
        <w:pStyle w:val="Normal"/>
        <w:bidi w:val="0"/>
        <w:jc w:val="left"/>
        <w:rPr/>
      </w:pPr>
      <w:r>
        <w:rPr/>
        <w:t>- Churn месячный 2028: 2.5%</w:t>
      </w:r>
    </w:p>
    <w:p>
      <w:pPr>
        <w:pStyle w:val="Normal"/>
        <w:bidi w:val="0"/>
        <w:jc w:val="left"/>
        <w:rPr/>
      </w:pPr>
      <w:r>
        <w:rPr/>
        <w:t>- NPS score: 72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>
          <w:b/>
          <w:bCs/>
        </w:rPr>
        <w:t>Риски реализации</w:t>
      </w:r>
    </w:p>
    <w:p>
      <w:pPr>
        <w:pStyle w:val="Normal"/>
        <w:bidi w:val="0"/>
        <w:jc w:val="left"/>
        <w:rPr/>
      </w:pPr>
      <w:r>
        <w:rPr/>
        <w:t>- Вход Amazon в регион: вероятность 75% к 2027-2028</w:t>
      </w:r>
    </w:p>
    <w:p>
      <w:pPr>
        <w:pStyle w:val="Normal"/>
        <w:bidi w:val="0"/>
        <w:jc w:val="left"/>
        <w:rPr/>
      </w:pPr>
      <w:r>
        <w:rPr/>
        <w:t>- KP запускает AI: вероятность 50%</w:t>
      </w:r>
    </w:p>
    <w:p>
      <w:pPr>
        <w:pStyle w:val="Normal"/>
        <w:bidi w:val="0"/>
        <w:jc w:val="left"/>
        <w:rPr/>
      </w:pPr>
      <w:r>
        <w:rPr/>
        <w:t>- Экономический кризис: вероятность 40%</w:t>
      </w:r>
    </w:p>
    <w:p>
      <w:pPr>
        <w:pStyle w:val="Normal"/>
        <w:bidi w:val="0"/>
        <w:jc w:val="left"/>
        <w:rPr/>
      </w:pPr>
      <w:r>
        <w:rPr/>
        <w:t>- Регуляторные изменения: вероятность 25%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Источники: Mordor Intelligence, Statista, World Bank, местные исследования рынка  </w:t>
      </w:r>
    </w:p>
    <w:p>
      <w:pPr>
        <w:pStyle w:val="Normal"/>
        <w:bidi w:val="0"/>
        <w:jc w:val="left"/>
        <w:rPr/>
      </w:pPr>
      <w:r>
        <w:rPr/>
        <w:t>Дата составления: 26 августа 2025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LibreOffice/24.2.7.2$Linux_X86_64 LibreOffice_project/420$Build-2</Application>
  <AppVersion>15.0000</AppVersion>
  <Pages>6</Pages>
  <Words>1150</Words>
  <Characters>5937</Characters>
  <CharactersWithSpaces>6884</CharactersWithSpaces>
  <Paragraphs>241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2025-08-26T17:45:03Z</dcterms:created>
  <dc:creator/>
  <dc:description/>
  <dc:language>en-US</dc:language>
  <cp:lastModifiedBy/>
  <dcterms:modified xsi:type="dcterms:W3CDTF">2025-08-26T17:49:22Z</dcterms:modified>
  <cp:revision>1</cp:revision>
  <dc:subject/>
  <dc:title/>
</cp:coreProperties>
</file>