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480" w:after="240"/>
        <w:rPr>
          <w:rFonts w:ascii="Calibri" w:hAnsi="Calibri"/>
        </w:rPr>
      </w:pPr>
      <w:r>
        <w:rPr>
          <w:rFonts w:ascii="Calibri" w:hAnsi="Calibri"/>
        </w:rPr>
        <w:t>Техническое задание для финансовых операторов маркетплейса</w:t>
      </w:r>
    </w:p>
    <w:p>
      <w:pPr>
        <w:pStyle w:val="Heading2"/>
        <w:rPr/>
      </w:pPr>
      <w:bookmarkStart w:id="0" w:name="общая-информация-о-проекте"/>
      <w:bookmarkStart w:id="1" w:name="X4b65b0f74d6aee33a388f84e0772c3fb77e821e"/>
      <w:r>
        <w:rPr>
          <w:rFonts w:ascii="Calibri" w:hAnsi="Calibri"/>
        </w:rPr>
        <w:tab/>
        <w:t>1. Общая информация о проекте</w:t>
      </w:r>
    </w:p>
    <w:p>
      <w:pPr>
        <w:pStyle w:val="Heading3"/>
        <w:rPr/>
      </w:pPr>
      <w:bookmarkStart w:id="2" w:name="о-компании"/>
      <w:r>
        <w:rPr>
          <w:rFonts w:ascii="Calibri" w:hAnsi="Calibri"/>
        </w:rPr>
        <w:tab/>
        <w:t>1.1 О компании</w:t>
      </w:r>
    </w:p>
    <w:p>
      <w:pPr>
        <w:pStyle w:val="Compact"/>
        <w:numPr>
          <w:ilvl w:val="0"/>
          <w:numId w:val="1"/>
        </w:numPr>
        <w:rPr>
          <w:rFonts w:ascii="Calibri" w:hAnsi="Calibri"/>
        </w:rPr>
      </w:pPr>
      <w:r>
        <w:rPr>
          <w:rFonts w:ascii="Calibri" w:hAnsi="Calibri"/>
          <w:b/>
          <w:bCs/>
        </w:rPr>
        <w:t>Название</w:t>
      </w:r>
      <w:r>
        <w:rPr>
          <w:rFonts w:ascii="Calibri" w:hAnsi="Calibri"/>
        </w:rPr>
        <w:t>: Ещё не придумали.</w:t>
      </w:r>
      <w:bookmarkEnd w:id="2"/>
    </w:p>
    <w:p>
      <w:pPr>
        <w:pStyle w:val="Heading3"/>
        <w:rPr/>
      </w:pPr>
      <w:bookmarkStart w:id="3" w:name="масштаб-и-объемы"/>
      <w:r>
        <w:rPr>
          <w:rFonts w:ascii="Calibri" w:hAnsi="Calibri"/>
        </w:rPr>
        <w:tab/>
        <w:t>1.2 Масштаб и объемы</w:t>
      </w:r>
    </w:p>
    <w:p>
      <w:pPr>
        <w:pStyle w:val="Compact"/>
        <w:numPr>
          <w:ilvl w:val="0"/>
          <w:numId w:val="33"/>
        </w:numPr>
        <w:rPr>
          <w:rFonts w:ascii="Calibri" w:hAnsi="Calibri"/>
        </w:rPr>
      </w:pPr>
      <w:r>
        <w:rPr>
          <w:rFonts w:ascii="Calibri" w:hAnsi="Calibri"/>
          <w:b/>
          <w:bCs/>
        </w:rPr>
        <w:t>Текущие объемы</w:t>
      </w:r>
      <w:r>
        <w:rPr>
          <w:rFonts w:ascii="Calibri" w:hAnsi="Calibri"/>
        </w:rPr>
        <w:t>: Стартап, планируемый запуск Q4 2025</w:t>
      </w:r>
    </w:p>
    <w:p>
      <w:pPr>
        <w:pStyle w:val="Compact"/>
        <w:numPr>
          <w:ilvl w:val="0"/>
          <w:numId w:val="34"/>
        </w:numPr>
        <w:rPr>
          <w:rFonts w:ascii="Calibri" w:hAnsi="Calibri"/>
        </w:rPr>
      </w:pPr>
      <w:r>
        <w:rPr>
          <w:rFonts w:ascii="Calibri" w:hAnsi="Calibri"/>
          <w:b/>
          <w:bCs/>
        </w:rPr>
        <w:t>Прогноз на год 1</w:t>
      </w:r>
      <w:r>
        <w:rPr>
          <w:rFonts w:ascii="Calibri" w:hAnsi="Calibri"/>
        </w:rPr>
        <w:t>:</w:t>
      </w:r>
    </w:p>
    <w:p>
      <w:pPr>
        <w:pStyle w:val="Compact"/>
        <w:numPr>
          <w:ilvl w:val="1"/>
          <w:numId w:val="35"/>
        </w:numPr>
        <w:rPr>
          <w:rFonts w:ascii="Calibri" w:hAnsi="Calibri"/>
        </w:rPr>
      </w:pPr>
      <w:r>
        <w:rPr>
          <w:rFonts w:ascii="Calibri" w:hAnsi="Calibri"/>
        </w:rPr>
        <w:t>5,000 активных пользователей</w:t>
      </w:r>
    </w:p>
    <w:p>
      <w:pPr>
        <w:pStyle w:val="Compact"/>
        <w:numPr>
          <w:ilvl w:val="1"/>
          <w:numId w:val="36"/>
        </w:numPr>
        <w:rPr>
          <w:rFonts w:ascii="Calibri" w:hAnsi="Calibri"/>
        </w:rPr>
      </w:pPr>
      <w:r>
        <w:rPr>
          <w:rFonts w:ascii="Calibri" w:hAnsi="Calibri"/>
        </w:rPr>
        <w:t>500 транзакций/месяц</w:t>
      </w:r>
    </w:p>
    <w:p>
      <w:pPr>
        <w:pStyle w:val="Compact"/>
        <w:numPr>
          <w:ilvl w:val="1"/>
          <w:numId w:val="37"/>
        </w:numPr>
        <w:rPr>
          <w:rFonts w:ascii="Calibri" w:hAnsi="Calibri"/>
        </w:rPr>
      </w:pPr>
      <w:r>
        <w:rPr>
          <w:rFonts w:ascii="Calibri" w:hAnsi="Calibri"/>
        </w:rPr>
        <w:t>Средний чек: 5,000-15,000 RSD</w:t>
      </w:r>
    </w:p>
    <w:p>
      <w:pPr>
        <w:pStyle w:val="Compact"/>
        <w:numPr>
          <w:ilvl w:val="0"/>
          <w:numId w:val="38"/>
        </w:numPr>
        <w:rPr>
          <w:rFonts w:ascii="Calibri" w:hAnsi="Calibri"/>
        </w:rPr>
      </w:pPr>
      <w:r>
        <w:rPr>
          <w:rFonts w:ascii="Calibri" w:hAnsi="Calibri"/>
          <w:b/>
          <w:bCs/>
        </w:rPr>
        <w:t>Прогноз на год 3</w:t>
      </w:r>
      <w:r>
        <w:rPr>
          <w:rFonts w:ascii="Calibri" w:hAnsi="Calibri"/>
        </w:rPr>
        <w:t>:</w:t>
      </w:r>
    </w:p>
    <w:p>
      <w:pPr>
        <w:pStyle w:val="Compact"/>
        <w:numPr>
          <w:ilvl w:val="1"/>
          <w:numId w:val="39"/>
        </w:numPr>
        <w:rPr>
          <w:rFonts w:ascii="Calibri" w:hAnsi="Calibri"/>
        </w:rPr>
      </w:pPr>
      <w:r>
        <w:rPr>
          <w:rFonts w:ascii="Calibri" w:hAnsi="Calibri"/>
        </w:rPr>
        <w:t>50,000 активных пользователей</w:t>
      </w:r>
    </w:p>
    <w:p>
      <w:pPr>
        <w:pStyle w:val="Compact"/>
        <w:numPr>
          <w:ilvl w:val="1"/>
          <w:numId w:val="40"/>
        </w:numPr>
        <w:rPr>
          <w:rFonts w:ascii="Calibri" w:hAnsi="Calibri"/>
        </w:rPr>
      </w:pPr>
      <w:r>
        <w:rPr>
          <w:rFonts w:ascii="Calibri" w:hAnsi="Calibri"/>
        </w:rPr>
        <w:t>10,000 транзакций/месяц</w:t>
      </w:r>
    </w:p>
    <w:p>
      <w:pPr>
        <w:pStyle w:val="Compact"/>
        <w:numPr>
          <w:ilvl w:val="1"/>
          <w:numId w:val="41"/>
        </w:numPr>
        <w:rPr>
          <w:rFonts w:ascii="Calibri" w:hAnsi="Calibri"/>
        </w:rPr>
      </w:pPr>
      <w:bookmarkStart w:id="4" w:name="общая-информация-о-проекте"/>
      <w:bookmarkStart w:id="5" w:name="масштаб-и-объемы"/>
      <w:r>
        <w:rPr>
          <w:rFonts w:ascii="Calibri" w:hAnsi="Calibri"/>
        </w:rPr>
        <w:t>Средний чек: 10,000-25,000 RSD</w:t>
      </w:r>
      <w:bookmarkEnd w:id="4"/>
      <w:bookmarkEnd w:id="5"/>
    </w:p>
    <w:p>
      <w:pPr>
        <w:pStyle w:val="Heading2"/>
        <w:rPr/>
      </w:pPr>
      <w:bookmarkStart w:id="6" w:name="бизнес-модель-и-финансовые-потоки"/>
      <w:r>
        <w:rPr>
          <w:rFonts w:ascii="Calibri" w:hAnsi="Calibri"/>
        </w:rPr>
        <w:tab/>
        <w:t>2. Бизнес-модель и финансовые потоки</w:t>
      </w:r>
    </w:p>
    <w:p>
      <w:pPr>
        <w:pStyle w:val="Heading3"/>
        <w:rPr/>
      </w:pPr>
      <w:bookmarkStart w:id="7" w:name="источники-дохода-платформы"/>
      <w:r>
        <w:rPr>
          <w:rFonts w:ascii="Calibri" w:hAnsi="Calibri"/>
        </w:rPr>
        <w:tab/>
        <w:t>2.1 Источники дохода платформы</w:t>
      </w:r>
    </w:p>
    <w:p>
      <w:pPr>
        <w:pStyle w:val="Heading4"/>
        <w:rPr/>
      </w:pPr>
      <w:bookmarkStart w:id="8" w:name="a.-комиссии-с-продаж-основной-доход"/>
      <w:r>
        <w:rPr>
          <w:rStyle w:val="SectionNumber"/>
          <w:rFonts w:ascii="Calibri" w:hAnsi="Calibri"/>
        </w:rPr>
        <w:t>2.1.1</w:t>
      </w:r>
      <w:r>
        <w:rPr>
          <w:rFonts w:ascii="Calibri" w:hAnsi="Calibri"/>
        </w:rPr>
        <w:tab/>
        <w:t>A. Комиссии с продаж (основной доход)</w:t>
      </w:r>
    </w:p>
    <w:p>
      <w:pPr>
        <w:pStyle w:val="Compact"/>
        <w:numPr>
          <w:ilvl w:val="0"/>
          <w:numId w:val="42"/>
        </w:numPr>
        <w:rPr>
          <w:rFonts w:ascii="Calibri" w:hAnsi="Calibri"/>
        </w:rPr>
      </w:pPr>
      <w:r>
        <w:rPr>
          <w:rFonts w:ascii="Calibri" w:hAnsi="Calibri"/>
          <w:b/>
          <w:bCs/>
        </w:rPr>
        <w:t>C2C сделки</w:t>
      </w:r>
      <w:r>
        <w:rPr>
          <w:rFonts w:ascii="Calibri" w:hAnsi="Calibri"/>
        </w:rPr>
        <w:t>: 2-5% от суммы сделки</w:t>
      </w:r>
    </w:p>
    <w:p>
      <w:pPr>
        <w:pStyle w:val="Compact"/>
        <w:numPr>
          <w:ilvl w:val="0"/>
          <w:numId w:val="43"/>
        </w:numPr>
        <w:rPr>
          <w:rFonts w:ascii="Calibri" w:hAnsi="Calibri"/>
        </w:rPr>
      </w:pPr>
      <w:r>
        <w:rPr>
          <w:rFonts w:ascii="Calibri" w:hAnsi="Calibri"/>
          <w:b/>
          <w:bCs/>
        </w:rPr>
        <w:t>B2C витрины</w:t>
      </w:r>
      <w:r>
        <w:rPr>
          <w:rFonts w:ascii="Calibri" w:hAnsi="Calibri"/>
        </w:rPr>
        <w:t>: 5-7% от суммы продажи</w:t>
      </w:r>
      <w:bookmarkEnd w:id="8"/>
    </w:p>
    <w:p>
      <w:pPr>
        <w:pStyle w:val="Heading4"/>
        <w:rPr/>
      </w:pPr>
      <w:bookmarkStart w:id="9" w:name="b.-платные-услуги-для-пользователей"/>
      <w:r>
        <w:rPr>
          <w:rStyle w:val="SectionNumber"/>
          <w:rFonts w:ascii="Calibri" w:hAnsi="Calibri"/>
        </w:rPr>
        <w:t>2.1.2</w:t>
      </w:r>
      <w:r>
        <w:rPr>
          <w:rFonts w:ascii="Calibri" w:hAnsi="Calibri"/>
        </w:rPr>
        <w:tab/>
        <w:t>B. Платные услуги для пользователей</w:t>
      </w:r>
    </w:p>
    <w:p>
      <w:pPr>
        <w:pStyle w:val="Compact"/>
        <w:numPr>
          <w:ilvl w:val="0"/>
          <w:numId w:val="44"/>
        </w:numPr>
        <w:rPr>
          <w:rFonts w:ascii="Calibri" w:hAnsi="Calibri"/>
        </w:rPr>
      </w:pPr>
      <w:r>
        <w:rPr>
          <w:rFonts w:ascii="Calibri" w:hAnsi="Calibri"/>
          <w:b/>
          <w:bCs/>
        </w:rPr>
        <w:t>Продвижение объявлений</w:t>
      </w:r>
      <w:r>
        <w:rPr>
          <w:rFonts w:ascii="Calibri" w:hAnsi="Calibri"/>
        </w:rPr>
        <w:t>:</w:t>
      </w:r>
    </w:p>
    <w:p>
      <w:pPr>
        <w:pStyle w:val="Compact"/>
        <w:numPr>
          <w:ilvl w:val="1"/>
          <w:numId w:val="45"/>
        </w:numPr>
        <w:rPr>
          <w:rFonts w:ascii="Calibri" w:hAnsi="Calibri"/>
        </w:rPr>
      </w:pPr>
      <w:r>
        <w:rPr>
          <w:rFonts w:ascii="Calibri" w:hAnsi="Calibri"/>
        </w:rPr>
        <w:t>Поднятие в топ: 200-500 RSD</w:t>
      </w:r>
    </w:p>
    <w:p>
      <w:pPr>
        <w:pStyle w:val="Compact"/>
        <w:numPr>
          <w:ilvl w:val="1"/>
          <w:numId w:val="46"/>
        </w:numPr>
        <w:rPr>
          <w:rFonts w:ascii="Calibri" w:hAnsi="Calibri"/>
        </w:rPr>
      </w:pPr>
      <w:r>
        <w:rPr>
          <w:rFonts w:ascii="Calibri" w:hAnsi="Calibri"/>
        </w:rPr>
        <w:t>VIP статус: 1,000-3,000 RSD/месяц</w:t>
      </w:r>
    </w:p>
    <w:p>
      <w:pPr>
        <w:pStyle w:val="Compact"/>
        <w:numPr>
          <w:ilvl w:val="1"/>
          <w:numId w:val="47"/>
        </w:numPr>
        <w:rPr>
          <w:rFonts w:ascii="Calibri" w:hAnsi="Calibri"/>
        </w:rPr>
      </w:pPr>
      <w:r>
        <w:rPr>
          <w:rFonts w:ascii="Calibri" w:hAnsi="Calibri"/>
        </w:rPr>
        <w:t>Выделение цветом: 300-700 RSD</w:t>
      </w:r>
    </w:p>
    <w:p>
      <w:pPr>
        <w:pStyle w:val="Compact"/>
        <w:numPr>
          <w:ilvl w:val="0"/>
          <w:numId w:val="48"/>
        </w:numPr>
        <w:rPr>
          <w:rFonts w:ascii="Calibri" w:hAnsi="Calibri"/>
        </w:rPr>
      </w:pPr>
      <w:r>
        <w:rPr>
          <w:rFonts w:ascii="Calibri" w:hAnsi="Calibri"/>
          <w:b/>
          <w:bCs/>
        </w:rPr>
        <w:t>Подписки для продавцов (витрины)</w:t>
      </w:r>
      <w:r>
        <w:rPr>
          <w:rFonts w:ascii="Calibri" w:hAnsi="Calibri"/>
        </w:rPr>
        <w:t>:</w:t>
      </w:r>
    </w:p>
    <w:p>
      <w:pPr>
        <w:pStyle w:val="Compact"/>
        <w:numPr>
          <w:ilvl w:val="1"/>
          <w:numId w:val="49"/>
        </w:numPr>
        <w:rPr>
          <w:rFonts w:ascii="Calibri" w:hAnsi="Calibri"/>
        </w:rPr>
      </w:pPr>
      <w:r>
        <w:rPr>
          <w:rFonts w:ascii="Calibri" w:hAnsi="Calibri"/>
        </w:rPr>
        <w:t>Starter: 1,500 RSD/месяц</w:t>
      </w:r>
    </w:p>
    <w:p>
      <w:pPr>
        <w:pStyle w:val="Compact"/>
        <w:numPr>
          <w:ilvl w:val="1"/>
          <w:numId w:val="50"/>
        </w:numPr>
        <w:rPr>
          <w:rFonts w:ascii="Calibri" w:hAnsi="Calibri"/>
        </w:rPr>
      </w:pPr>
      <w:r>
        <w:rPr>
          <w:rFonts w:ascii="Calibri" w:hAnsi="Calibri"/>
        </w:rPr>
        <w:t>Professional: 5,000 RSD/месяц</w:t>
      </w:r>
    </w:p>
    <w:p>
      <w:pPr>
        <w:pStyle w:val="Compact"/>
        <w:numPr>
          <w:ilvl w:val="1"/>
          <w:numId w:val="51"/>
        </w:numPr>
        <w:rPr>
          <w:rFonts w:ascii="Calibri" w:hAnsi="Calibri"/>
        </w:rPr>
      </w:pPr>
      <w:r>
        <w:rPr>
          <w:rFonts w:ascii="Calibri" w:hAnsi="Calibri"/>
        </w:rPr>
        <w:t>Enterprise: 15,000 RSD/месяц</w:t>
      </w:r>
    </w:p>
    <w:p>
      <w:pPr>
        <w:pStyle w:val="Compact"/>
        <w:numPr>
          <w:ilvl w:val="0"/>
          <w:numId w:val="52"/>
        </w:numPr>
        <w:rPr>
          <w:rFonts w:ascii="Calibri" w:hAnsi="Calibri"/>
        </w:rPr>
      </w:pPr>
      <w:r>
        <w:rPr>
          <w:rFonts w:ascii="Calibri" w:hAnsi="Calibri"/>
          <w:b/>
          <w:bCs/>
        </w:rPr>
        <w:t>Дополнительные услуги</w:t>
      </w:r>
      <w:r>
        <w:rPr>
          <w:rFonts w:ascii="Calibri" w:hAnsi="Calibri"/>
        </w:rPr>
        <w:t>:</w:t>
      </w:r>
    </w:p>
    <w:p>
      <w:pPr>
        <w:pStyle w:val="Compact"/>
        <w:numPr>
          <w:ilvl w:val="1"/>
          <w:numId w:val="53"/>
        </w:numPr>
        <w:rPr>
          <w:rFonts w:ascii="Calibri" w:hAnsi="Calibri"/>
        </w:rPr>
      </w:pPr>
      <w:r>
        <w:rPr>
          <w:rFonts w:ascii="Calibri" w:hAnsi="Calibri"/>
        </w:rPr>
        <w:t>Premium поддержка</w:t>
      </w:r>
    </w:p>
    <w:p>
      <w:pPr>
        <w:pStyle w:val="Compact"/>
        <w:numPr>
          <w:ilvl w:val="1"/>
          <w:numId w:val="54"/>
        </w:numPr>
        <w:rPr>
          <w:rFonts w:ascii="Calibri" w:hAnsi="Calibri"/>
        </w:rPr>
      </w:pPr>
      <w:bookmarkStart w:id="10" w:name="источники-дохода-платформы"/>
      <w:bookmarkStart w:id="11" w:name="b.-платные-услуги-для-пользователей"/>
      <w:r>
        <w:rPr>
          <w:rFonts w:ascii="Calibri" w:hAnsi="Calibri"/>
        </w:rPr>
        <w:t>Аналитика и статистика</w:t>
      </w:r>
      <w:bookmarkEnd w:id="10"/>
      <w:bookmarkEnd w:id="11"/>
    </w:p>
    <w:p>
      <w:pPr>
        <w:pStyle w:val="Heading3"/>
        <w:rPr/>
      </w:pPr>
      <w:bookmarkStart w:id="12" w:name="типы-финансовых-операций"/>
      <w:r>
        <w:rPr>
          <w:rFonts w:ascii="Calibri" w:hAnsi="Calibri"/>
        </w:rPr>
        <w:tab/>
        <w:t>2.2 Типы финансовых операций</w:t>
      </w:r>
    </w:p>
    <w:p>
      <w:pPr>
        <w:pStyle w:val="Heading4"/>
        <w:rPr/>
      </w:pPr>
      <w:bookmarkStart w:id="13" w:name="X42397717f08ab4482e486fca38cffb91a397118"/>
      <w:r>
        <w:rPr>
          <w:rStyle w:val="SectionNumber"/>
          <w:rFonts w:ascii="Calibri" w:hAnsi="Calibri"/>
        </w:rPr>
        <w:t>2.2.1</w:t>
      </w:r>
      <w:r>
        <w:rPr>
          <w:rFonts w:ascii="Calibri" w:hAnsi="Calibri"/>
        </w:rPr>
        <w:tab/>
        <w:t>Сценарий 1: Оплата внутренних услуг маркетплейса</w:t>
      </w:r>
    </w:p>
    <w:p>
      <w:pPr>
        <w:pStyle w:val="FirstParagraph"/>
        <w:rPr>
          <w:rFonts w:ascii="Calibri" w:hAnsi="Calibri"/>
        </w:rPr>
      </w:pPr>
      <w:r>
        <w:rPr>
          <w:rFonts w:ascii="Calibri" w:hAnsi="Calibri"/>
          <w:b/>
          <w:bCs/>
        </w:rPr>
        <w:t>Поток</w:t>
      </w:r>
      <w:r>
        <w:rPr>
          <w:rFonts w:ascii="Calibri" w:hAnsi="Calibri"/>
        </w:rPr>
        <w:t>: Покупатель → Платежный шлюз → Маркетплейс</w:t>
      </w:r>
    </w:p>
    <w:p>
      <w:pPr>
        <w:pStyle w:val="BodyText"/>
        <w:rPr>
          <w:rFonts w:ascii="Calibri" w:hAnsi="Calibri"/>
        </w:rPr>
      </w:pPr>
      <w:r>
        <w:rPr>
          <w:rFonts w:ascii="Calibri" w:hAnsi="Calibri"/>
          <w:b/>
          <w:bCs/>
        </w:rPr>
        <w:t>Примеры операций</w:t>
      </w:r>
      <w:r>
        <w:rPr>
          <w:rFonts w:ascii="Calibri" w:hAnsi="Calibri"/>
        </w:rPr>
        <w:t>: - Оплата подписки на витрину - Покупка услуг продвижения - Оплата VIP статуса - Пополнение внутреннего баланса для оплаты им в будущем платных услуг маркетплейса</w:t>
      </w:r>
    </w:p>
    <w:p>
      <w:pPr>
        <w:pStyle w:val="BodyText"/>
        <w:rPr>
          <w:rFonts w:ascii="Calibri" w:hAnsi="Calibri"/>
        </w:rPr>
      </w:pPr>
      <w:r>
        <w:rPr>
          <w:rFonts w:ascii="Calibri" w:hAnsi="Calibri"/>
          <w:b/>
          <w:bCs/>
        </w:rPr>
        <w:t>Требования</w:t>
      </w:r>
      <w:r>
        <w:rPr>
          <w:rFonts w:ascii="Calibri" w:hAnsi="Calibri"/>
        </w:rPr>
        <w:t>: - Мгновенное зачисление средств - Без холдирования - Автоматическая фискализация - Поддержка рекуррентных платежей для подписок (возможность автоматически списывать деньги с карты клиента на регулярной основе)</w:t>
      </w:r>
      <w:bookmarkEnd w:id="13"/>
    </w:p>
    <w:p>
      <w:pPr>
        <w:pStyle w:val="Heading4"/>
        <w:rPr/>
      </w:pPr>
      <w:bookmarkStart w:id="14" w:name="сценарий-2-b2c-продажи-витрины"/>
      <w:r>
        <w:rPr>
          <w:rStyle w:val="SectionNumber"/>
          <w:rFonts w:ascii="Calibri" w:hAnsi="Calibri"/>
        </w:rPr>
        <w:t>2.2.2</w:t>
      </w:r>
      <w:r>
        <w:rPr>
          <w:rFonts w:ascii="Calibri" w:hAnsi="Calibri"/>
        </w:rPr>
        <w:tab/>
        <w:t>Сценарий 2: B2C продажи (витрины)</w:t>
      </w:r>
    </w:p>
    <w:p>
      <w:pPr>
        <w:pStyle w:val="FirstParagraph"/>
        <w:rPr>
          <w:rFonts w:ascii="Calibri" w:hAnsi="Calibri"/>
        </w:rPr>
      </w:pPr>
      <w:r>
        <w:rPr>
          <w:rFonts w:ascii="Calibri" w:hAnsi="Calibri"/>
          <w:b/>
          <w:bCs/>
        </w:rPr>
        <w:t>Поток</w:t>
      </w:r>
      <w:r>
        <w:rPr>
          <w:rFonts w:ascii="Calibri" w:hAnsi="Calibri"/>
        </w:rPr>
        <w:t>: Покупатель → Эквайринг → Эскроу → Split-платежи</w:t>
      </w:r>
    </w:p>
    <w:p>
      <w:pPr>
        <w:pStyle w:val="BodyText"/>
        <w:rPr>
          <w:rFonts w:ascii="Calibri" w:hAnsi="Calibri"/>
        </w:rPr>
      </w:pPr>
      <w:r>
        <w:rPr>
          <w:rFonts w:ascii="Calibri" w:hAnsi="Calibri"/>
          <w:b/>
          <w:bCs/>
        </w:rPr>
        <w:t>Распределение средств</w:t>
      </w:r>
      <w:r>
        <w:rPr>
          <w:rFonts w:ascii="Calibri" w:hAnsi="Calibri"/>
        </w:rPr>
        <w:t>: - Продавец: 85-90% (минус комиссия маркетплейса) - Маркетплейс: 3-5% - Логистика: 0.01-10% (если применимо) - ПВЗ: 0.1-2% (если применимо) - Платежная система: 0.01-2%</w:t>
      </w:r>
    </w:p>
    <w:p>
      <w:pPr>
        <w:pStyle w:val="BodyText"/>
        <w:rPr>
          <w:rFonts w:ascii="Calibri" w:hAnsi="Calibri"/>
        </w:rPr>
      </w:pPr>
      <w:r>
        <w:rPr>
          <w:rFonts w:ascii="Calibri" w:hAnsi="Calibri"/>
          <w:b/>
          <w:bCs/>
        </w:rPr>
        <w:t>Требования</w:t>
      </w:r>
      <w:r>
        <w:rPr>
          <w:rFonts w:ascii="Calibri" w:hAnsi="Calibri"/>
        </w:rPr>
        <w:t>: - Холдирование средств на 7-14 дней (защита покупателя) - Автоматический split после подтверждения доставки - Возможность частичного возврата - Интеграция с логистическими партнерами</w:t>
      </w:r>
      <w:bookmarkEnd w:id="14"/>
    </w:p>
    <w:p>
      <w:pPr>
        <w:pStyle w:val="Heading4"/>
        <w:rPr/>
      </w:pPr>
      <w:bookmarkStart w:id="15" w:name="сценарий-3-c2c-продажи-физические-лица"/>
      <w:r>
        <w:rPr>
          <w:rStyle w:val="SectionNumber"/>
          <w:rFonts w:ascii="Calibri" w:hAnsi="Calibri"/>
        </w:rPr>
        <w:t>2.2.3</w:t>
      </w:r>
      <w:r>
        <w:rPr>
          <w:rFonts w:ascii="Calibri" w:hAnsi="Calibri"/>
        </w:rPr>
        <w:tab/>
        <w:t>Сценарий 3: C2C продажи (физические лица)</w:t>
      </w:r>
    </w:p>
    <w:p>
      <w:pPr>
        <w:pStyle w:val="FirstParagraph"/>
        <w:rPr>
          <w:rFonts w:ascii="Calibri" w:hAnsi="Calibri"/>
        </w:rPr>
      </w:pPr>
      <w:r>
        <w:rPr>
          <w:rFonts w:ascii="Calibri" w:hAnsi="Calibri"/>
          <w:b/>
          <w:bCs/>
        </w:rPr>
        <w:t>Поток</w:t>
      </w:r>
      <w:r>
        <w:rPr>
          <w:rFonts w:ascii="Calibri" w:hAnsi="Calibri"/>
        </w:rPr>
        <w:t>: Покупатель → Эквайринг → Эскроу → Split-платежи</w:t>
      </w:r>
    </w:p>
    <w:p>
      <w:pPr>
        <w:pStyle w:val="BodyText"/>
        <w:rPr>
          <w:rFonts w:ascii="Calibri" w:hAnsi="Calibri"/>
        </w:rPr>
      </w:pPr>
      <w:r>
        <w:rPr>
          <w:rFonts w:ascii="Calibri" w:hAnsi="Calibri"/>
          <w:b/>
          <w:bCs/>
        </w:rPr>
        <w:t>Распределение средств</w:t>
      </w:r>
      <w:r>
        <w:rPr>
          <w:rFonts w:ascii="Calibri" w:hAnsi="Calibri"/>
        </w:rPr>
        <w:t>: - Продавец: 85-95% (минус комиссия маркетплейса) - Маркетплейс: 2-5% - Логистика: 0.01-10% (если продавец выбрал доставку) - ПВЗ: 0.1-2% (если продавец сдал товар в ПВЗ) - Платежная система: 0.01-2%</w:t>
      </w:r>
    </w:p>
    <w:p>
      <w:pPr>
        <w:pStyle w:val="BodyText"/>
        <w:rPr>
          <w:rFonts w:ascii="Calibri" w:hAnsi="Calibri"/>
        </w:rPr>
      </w:pPr>
      <w:r>
        <w:rPr>
          <w:rFonts w:ascii="Calibri" w:hAnsi="Calibri"/>
          <w:b/>
          <w:bCs/>
        </w:rPr>
        <w:t>Особенности</w:t>
      </w:r>
      <w:r>
        <w:rPr>
          <w:rFonts w:ascii="Calibri" w:hAnsi="Calibri"/>
        </w:rPr>
        <w:t>: - Продавец - физическое лицо без ПИБ - Холдирование средств до подтверждения получения - Выплата на банковский счет или карту продавца - Возможность использования ПВЗ и доставки</w:t>
      </w:r>
    </w:p>
    <w:p>
      <w:pPr>
        <w:pStyle w:val="BodyText"/>
        <w:rPr>
          <w:rFonts w:ascii="Calibri" w:hAnsi="Calibri"/>
        </w:rPr>
      </w:pPr>
      <w:r>
        <w:rPr>
          <w:rFonts w:ascii="Calibri" w:hAnsi="Calibri"/>
          <w:b/>
          <w:bCs/>
        </w:rPr>
        <w:t>Требования</w:t>
      </w:r>
      <w:r>
        <w:rPr>
          <w:rFonts w:ascii="Calibri" w:hAnsi="Calibri"/>
        </w:rPr>
        <w:t>: - KYC верификация для продавцов (суммы &gt; 10,000 RSD) - Поддержка выплат на карты физлиц</w:t>
      </w:r>
      <w:bookmarkEnd w:id="6"/>
      <w:bookmarkEnd w:id="12"/>
      <w:bookmarkEnd w:id="15"/>
    </w:p>
    <w:p>
      <w:pPr>
        <w:pStyle w:val="Heading2"/>
        <w:rPr/>
      </w:pPr>
      <w:bookmarkStart w:id="16" w:name="технические-требования"/>
      <w:r>
        <w:rPr>
          <w:rFonts w:ascii="Calibri" w:hAnsi="Calibri"/>
        </w:rPr>
        <w:tab/>
        <w:t>3. Технические требования</w:t>
      </w:r>
    </w:p>
    <w:p>
      <w:pPr>
        <w:pStyle w:val="Heading3"/>
        <w:rPr/>
      </w:pPr>
      <w:bookmarkStart w:id="17" w:name="методы-оплаты-приём-средств"/>
      <w:r>
        <w:rPr>
          <w:rFonts w:ascii="Calibri" w:hAnsi="Calibri"/>
        </w:rPr>
        <w:tab/>
        <w:t>3.1 Методы оплаты (приём средств)</w:t>
      </w:r>
    </w:p>
    <w:p>
      <w:pPr>
        <w:pStyle w:val="FirstParagraph"/>
        <w:rPr>
          <w:rFonts w:ascii="Calibri" w:hAnsi="Calibri"/>
        </w:rPr>
      </w:pPr>
      <w:r>
        <w:rPr>
          <w:rFonts w:ascii="Calibri" w:hAnsi="Calibri"/>
          <w:b/>
          <w:bCs/>
        </w:rPr>
        <w:t>Необходимые на старте</w:t>
      </w:r>
      <w:r>
        <w:rPr>
          <w:rFonts w:ascii="Calibri" w:hAnsi="Calibri"/>
        </w:rPr>
        <w:t>: - Банковские карты (Visa, Mastercard, Dina) - IPS QR (моментальные платежи через QR-код - стандарт НБС Сербии) - Банковский перевод</w:t>
      </w:r>
      <w:bookmarkEnd w:id="17"/>
    </w:p>
    <w:p>
      <w:pPr>
        <w:pStyle w:val="Heading3"/>
        <w:rPr/>
      </w:pPr>
      <w:bookmarkStart w:id="18" w:name="методы-выплат-вывод-средств"/>
      <w:r>
        <w:rPr>
          <w:rFonts w:ascii="Calibri" w:hAnsi="Calibri"/>
        </w:rPr>
        <w:tab/>
        <w:t>3.2 Методы выплат (вывод средств)</w:t>
      </w:r>
    </w:p>
    <w:p>
      <w:pPr>
        <w:pStyle w:val="FirstParagraph"/>
        <w:rPr>
          <w:rFonts w:ascii="Calibri" w:hAnsi="Calibri"/>
        </w:rPr>
      </w:pPr>
      <w:r>
        <w:rPr>
          <w:rFonts w:ascii="Calibri" w:hAnsi="Calibri"/>
          <w:b/>
          <w:bCs/>
        </w:rPr>
        <w:t>Необходимые на старте</w:t>
      </w:r>
      <w:r>
        <w:rPr>
          <w:rFonts w:ascii="Calibri" w:hAnsi="Calibri"/>
        </w:rPr>
        <w:t>: - Банковский перевод на счет юрлица (для B2C продавцов) - Перевод на карту физлица (для C2C продавцов) - IPS переводы (моментальные переводы между банками Сербии)</w:t>
      </w:r>
      <w:bookmarkEnd w:id="18"/>
    </w:p>
    <w:p>
      <w:pPr>
        <w:pStyle w:val="Heading3"/>
        <w:rPr/>
      </w:pPr>
      <w:bookmarkStart w:id="19" w:name="функциональные-возможности"/>
      <w:r>
        <w:rPr>
          <w:rFonts w:ascii="Calibri" w:hAnsi="Calibri"/>
        </w:rPr>
        <w:tab/>
        <w:t>3.3 Функциональные возможности</w:t>
      </w:r>
    </w:p>
    <w:p>
      <w:pPr>
        <w:pStyle w:val="Heading4"/>
        <w:rPr/>
      </w:pPr>
      <w:bookmarkStart w:id="20" w:name="обязательные-функции"/>
      <w:r>
        <w:rPr>
          <w:rStyle w:val="SectionNumber"/>
          <w:rFonts w:ascii="Calibri" w:hAnsi="Calibri"/>
        </w:rPr>
        <w:t>3.3.1</w:t>
      </w:r>
      <w:r>
        <w:rPr>
          <w:rFonts w:ascii="Calibri" w:hAnsi="Calibri"/>
        </w:rPr>
        <w:tab/>
        <w:t>Обязательные функции:</w:t>
      </w:r>
    </w:p>
    <w:p>
      <w:pPr>
        <w:pStyle w:val="Compact"/>
        <w:numPr>
          <w:ilvl w:val="0"/>
          <w:numId w:val="55"/>
        </w:numPr>
        <w:rPr>
          <w:rFonts w:ascii="Calibri" w:hAnsi="Calibri"/>
        </w:rPr>
      </w:pPr>
      <w:r>
        <w:rPr>
          <w:rFonts w:ascii="Calibri" w:hAnsi="Calibri"/>
          <w:b/>
          <w:bCs/>
        </w:rPr>
        <w:t>Эскроу (холдирование средств)</w:t>
      </w:r>
    </w:p>
    <w:p>
      <w:pPr>
        <w:pStyle w:val="Compact"/>
        <w:numPr>
          <w:ilvl w:val="1"/>
          <w:numId w:val="56"/>
        </w:numPr>
        <w:rPr>
          <w:rFonts w:ascii="Calibri" w:hAnsi="Calibri"/>
        </w:rPr>
      </w:pPr>
      <w:r>
        <w:rPr>
          <w:rFonts w:ascii="Calibri" w:hAnsi="Calibri"/>
        </w:rPr>
        <w:t>Настраиваемый период холдирования (1-30 дней)</w:t>
      </w:r>
    </w:p>
    <w:p>
      <w:pPr>
        <w:pStyle w:val="Compact"/>
        <w:numPr>
          <w:ilvl w:val="1"/>
          <w:numId w:val="57"/>
        </w:numPr>
        <w:rPr>
          <w:rFonts w:ascii="Calibri" w:hAnsi="Calibri"/>
        </w:rPr>
      </w:pPr>
      <w:r>
        <w:rPr>
          <w:rFonts w:ascii="Calibri" w:hAnsi="Calibri"/>
        </w:rPr>
        <w:t>Автоматический релиз по выполненным условиям</w:t>
      </w:r>
    </w:p>
    <w:p>
      <w:pPr>
        <w:pStyle w:val="Compact"/>
        <w:numPr>
          <w:ilvl w:val="1"/>
          <w:numId w:val="58"/>
        </w:numPr>
        <w:rPr>
          <w:rFonts w:ascii="Calibri" w:hAnsi="Calibri"/>
        </w:rPr>
      </w:pPr>
      <w:r>
        <w:rPr>
          <w:rFonts w:ascii="Calibri" w:hAnsi="Calibri"/>
        </w:rPr>
        <w:t>Возможность продления холда при спорах</w:t>
      </w:r>
    </w:p>
    <w:p>
      <w:pPr>
        <w:pStyle w:val="Compact"/>
        <w:numPr>
          <w:ilvl w:val="0"/>
          <w:numId w:val="10"/>
        </w:numPr>
        <w:rPr>
          <w:rFonts w:ascii="Calibri" w:hAnsi="Calibri"/>
        </w:rPr>
      </w:pPr>
      <w:r>
        <w:rPr>
          <w:rFonts w:ascii="Calibri" w:hAnsi="Calibri"/>
          <w:b/>
          <w:bCs/>
        </w:rPr>
        <w:t>Split-платежи (мультисплит)</w:t>
      </w:r>
    </w:p>
    <w:p>
      <w:pPr>
        <w:pStyle w:val="Compact"/>
        <w:numPr>
          <w:ilvl w:val="1"/>
          <w:numId w:val="59"/>
        </w:numPr>
        <w:rPr>
          <w:rFonts w:ascii="Calibri" w:hAnsi="Calibri"/>
        </w:rPr>
      </w:pPr>
      <w:r>
        <w:rPr>
          <w:rFonts w:ascii="Calibri" w:hAnsi="Calibri"/>
        </w:rPr>
        <w:t>Распределение на 3+ получателей</w:t>
      </w:r>
    </w:p>
    <w:p>
      <w:pPr>
        <w:pStyle w:val="Compact"/>
        <w:numPr>
          <w:ilvl w:val="1"/>
          <w:numId w:val="60"/>
        </w:numPr>
        <w:rPr>
          <w:rFonts w:ascii="Calibri" w:hAnsi="Calibri"/>
        </w:rPr>
      </w:pPr>
      <w:r>
        <w:rPr>
          <w:rFonts w:ascii="Calibri" w:hAnsi="Calibri"/>
        </w:rPr>
        <w:t>Настраиваемые правила распределения</w:t>
      </w:r>
    </w:p>
    <w:p>
      <w:pPr>
        <w:pStyle w:val="Compact"/>
        <w:numPr>
          <w:ilvl w:val="1"/>
          <w:numId w:val="61"/>
        </w:numPr>
        <w:rPr>
          <w:rFonts w:ascii="Calibri" w:hAnsi="Calibri"/>
        </w:rPr>
      </w:pPr>
      <w:r>
        <w:rPr>
          <w:rFonts w:ascii="Calibri" w:hAnsi="Calibri"/>
        </w:rPr>
        <w:t>Автоматический расчет комиссий</w:t>
      </w:r>
    </w:p>
    <w:p>
      <w:pPr>
        <w:pStyle w:val="Compact"/>
        <w:numPr>
          <w:ilvl w:val="0"/>
          <w:numId w:val="10"/>
        </w:numPr>
        <w:rPr>
          <w:rFonts w:ascii="Calibri" w:hAnsi="Calibri"/>
        </w:rPr>
      </w:pPr>
      <w:r>
        <w:rPr>
          <w:rFonts w:ascii="Calibri" w:hAnsi="Calibri"/>
          <w:b/>
          <w:bCs/>
        </w:rPr>
        <w:t>Возвраты и отмены</w:t>
      </w:r>
    </w:p>
    <w:p>
      <w:pPr>
        <w:pStyle w:val="Compact"/>
        <w:numPr>
          <w:ilvl w:val="1"/>
          <w:numId w:val="62"/>
        </w:numPr>
        <w:rPr>
          <w:rFonts w:ascii="Calibri" w:hAnsi="Calibri"/>
        </w:rPr>
      </w:pPr>
      <w:r>
        <w:rPr>
          <w:rFonts w:ascii="Calibri" w:hAnsi="Calibri"/>
        </w:rPr>
        <w:t>Полный возврат</w:t>
      </w:r>
    </w:p>
    <w:p>
      <w:pPr>
        <w:pStyle w:val="Compact"/>
        <w:numPr>
          <w:ilvl w:val="1"/>
          <w:numId w:val="63"/>
        </w:numPr>
        <w:rPr>
          <w:rFonts w:ascii="Calibri" w:hAnsi="Calibri"/>
        </w:rPr>
      </w:pPr>
      <w:r>
        <w:rPr>
          <w:rFonts w:ascii="Calibri" w:hAnsi="Calibri"/>
        </w:rPr>
        <w:t>Частичный возврат</w:t>
      </w:r>
    </w:p>
    <w:p>
      <w:pPr>
        <w:pStyle w:val="Compact"/>
        <w:numPr>
          <w:ilvl w:val="1"/>
          <w:numId w:val="64"/>
        </w:numPr>
        <w:rPr>
          <w:rFonts w:ascii="Calibri" w:hAnsi="Calibri"/>
        </w:rPr>
      </w:pPr>
      <w:r>
        <w:rPr>
          <w:rFonts w:ascii="Calibri" w:hAnsi="Calibri"/>
        </w:rPr>
        <w:t>Отмена до захвата средств</w:t>
      </w:r>
    </w:p>
    <w:p>
      <w:pPr>
        <w:pStyle w:val="Compact"/>
        <w:numPr>
          <w:ilvl w:val="0"/>
          <w:numId w:val="10"/>
        </w:numPr>
        <w:rPr>
          <w:rFonts w:ascii="Calibri" w:hAnsi="Calibri"/>
        </w:rPr>
      </w:pPr>
      <w:r>
        <w:rPr>
          <w:rFonts w:ascii="Calibri" w:hAnsi="Calibri"/>
          <w:b/>
          <w:bCs/>
        </w:rPr>
        <w:t>Рекуррентные платежи</w:t>
      </w:r>
    </w:p>
    <w:p>
      <w:pPr>
        <w:pStyle w:val="Compact"/>
        <w:numPr>
          <w:ilvl w:val="1"/>
          <w:numId w:val="65"/>
        </w:numPr>
        <w:rPr>
          <w:rFonts w:ascii="Calibri" w:hAnsi="Calibri"/>
        </w:rPr>
      </w:pPr>
      <w:r>
        <w:rPr>
          <w:rFonts w:ascii="Calibri" w:hAnsi="Calibri"/>
        </w:rPr>
        <w:t>Для подписок</w:t>
      </w:r>
    </w:p>
    <w:p>
      <w:pPr>
        <w:pStyle w:val="Compact"/>
        <w:numPr>
          <w:ilvl w:val="1"/>
          <w:numId w:val="66"/>
        </w:numPr>
        <w:rPr>
          <w:rFonts w:ascii="Calibri" w:hAnsi="Calibri"/>
        </w:rPr>
      </w:pPr>
      <w:r>
        <w:rPr>
          <w:rFonts w:ascii="Calibri" w:hAnsi="Calibri"/>
        </w:rPr>
        <w:t>Автоматическое продление</w:t>
      </w:r>
    </w:p>
    <w:p>
      <w:pPr>
        <w:pStyle w:val="Compact"/>
        <w:numPr>
          <w:ilvl w:val="1"/>
          <w:numId w:val="67"/>
        </w:numPr>
        <w:rPr>
          <w:rFonts w:ascii="Calibri" w:hAnsi="Calibri"/>
        </w:rPr>
      </w:pPr>
      <w:r>
        <w:rPr>
          <w:rFonts w:ascii="Calibri" w:hAnsi="Calibri"/>
        </w:rPr>
        <w:t>Управление подписками</w:t>
      </w:r>
    </w:p>
    <w:p>
      <w:pPr>
        <w:pStyle w:val="Compact"/>
        <w:numPr>
          <w:ilvl w:val="0"/>
          <w:numId w:val="10"/>
        </w:numPr>
        <w:rPr>
          <w:rFonts w:ascii="Calibri" w:hAnsi="Calibri"/>
        </w:rPr>
      </w:pPr>
      <w:r>
        <w:rPr>
          <w:rFonts w:ascii="Calibri" w:hAnsi="Calibri"/>
          <w:b/>
          <w:bCs/>
        </w:rPr>
        <w:t>Маркетплейс-функции</w:t>
      </w:r>
    </w:p>
    <w:p>
      <w:pPr>
        <w:pStyle w:val="Compact"/>
        <w:numPr>
          <w:ilvl w:val="1"/>
          <w:numId w:val="68"/>
        </w:numPr>
        <w:rPr>
          <w:rFonts w:ascii="Calibri" w:hAnsi="Calibri"/>
        </w:rPr>
      </w:pPr>
      <w:r>
        <w:rPr>
          <w:rFonts w:ascii="Calibri" w:hAnsi="Calibri"/>
        </w:rPr>
        <w:t>Онбординг продавцов (KYC/KYB)</w:t>
      </w:r>
    </w:p>
    <w:p>
      <w:pPr>
        <w:pStyle w:val="Compact"/>
        <w:numPr>
          <w:ilvl w:val="1"/>
          <w:numId w:val="69"/>
        </w:numPr>
        <w:rPr>
          <w:rFonts w:ascii="Calibri" w:hAnsi="Calibri"/>
        </w:rPr>
      </w:pPr>
      <w:r>
        <w:rPr>
          <w:rFonts w:ascii="Calibri" w:hAnsi="Calibri"/>
        </w:rPr>
        <w:t>Управление балансами</w:t>
      </w:r>
    </w:p>
    <w:p>
      <w:pPr>
        <w:pStyle w:val="Compact"/>
        <w:numPr>
          <w:ilvl w:val="1"/>
          <w:numId w:val="70"/>
        </w:numPr>
        <w:rPr>
          <w:rFonts w:ascii="Calibri" w:hAnsi="Calibri"/>
        </w:rPr>
      </w:pPr>
      <w:r>
        <w:rPr>
          <w:rFonts w:ascii="Calibri" w:hAnsi="Calibri"/>
        </w:rPr>
        <w:t>Массовые выплаты</w:t>
      </w:r>
    </w:p>
    <w:p>
      <w:pPr>
        <w:pStyle w:val="Compact"/>
        <w:numPr>
          <w:ilvl w:val="1"/>
          <w:numId w:val="71"/>
        </w:numPr>
        <w:rPr>
          <w:rFonts w:ascii="Calibri" w:hAnsi="Calibri"/>
        </w:rPr>
      </w:pPr>
      <w:bookmarkStart w:id="21" w:name="обязательные-функции"/>
      <w:r>
        <w:rPr>
          <w:rFonts w:ascii="Calibri" w:hAnsi="Calibri"/>
        </w:rPr>
        <w:t>Реестры транзакций</w:t>
      </w:r>
      <w:bookmarkEnd w:id="21"/>
    </w:p>
    <w:p>
      <w:pPr>
        <w:pStyle w:val="Heading4"/>
        <w:rPr/>
      </w:pPr>
      <w:r>
        <w:rPr>
          <w:rStyle w:val="SectionNumber"/>
          <w:rFonts w:ascii="Calibri" w:hAnsi="Calibri"/>
        </w:rPr>
        <w:t>3.</w:t>
      </w:r>
      <w:bookmarkStart w:id="22" w:name="желательные-функции"/>
      <w:r>
        <w:rPr>
          <w:rStyle w:val="SectionNumber"/>
          <w:rFonts w:ascii="Calibri" w:hAnsi="Calibri"/>
        </w:rPr>
        <w:t>3.2</w:t>
      </w:r>
      <w:r>
        <w:rPr>
          <w:rFonts w:ascii="Calibri" w:hAnsi="Calibri"/>
        </w:rPr>
        <w:tab/>
        <w:t>Желательные функции:</w:t>
      </w:r>
    </w:p>
    <w:p>
      <w:pPr>
        <w:pStyle w:val="FirstParagraph"/>
        <w:rPr>
          <w:rFonts w:ascii="Calibri" w:hAnsi="Calibri"/>
        </w:rPr>
      </w:pPr>
      <w:r>
        <w:rPr>
          <w:rFonts w:ascii="Calibri" w:hAnsi="Calibri"/>
          <w:b/>
          <w:bCs/>
        </w:rPr>
        <w:t>Токенизация карт</w:t>
      </w:r>
      <w:r>
        <w:rPr>
          <w:rFonts w:ascii="Calibri" w:hAnsi="Calibri"/>
        </w:rPr>
        <w:t xml:space="preserve"> - сохранение карт покупателей в зашифрованном виде (токенах) для быстрых повторных платежей без повторного ввода данных карты</w:t>
      </w:r>
    </w:p>
    <w:p>
      <w:pPr>
        <w:pStyle w:val="BodyText"/>
        <w:rPr>
          <w:rFonts w:ascii="Calibri" w:hAnsi="Calibri"/>
        </w:rPr>
      </w:pPr>
      <w:r>
        <w:rPr>
          <w:rFonts w:ascii="Calibri" w:hAnsi="Calibri"/>
          <w:b/>
          <w:bCs/>
        </w:rPr>
        <w:t>3D Secure 2.0</w:t>
      </w:r>
      <w:r>
        <w:rPr>
          <w:rFonts w:ascii="Calibri" w:hAnsi="Calibri"/>
        </w:rPr>
        <w:t xml:space="preserve"> - дополнительная проверка подлинности платежа через SMS-код или приложение банка, снижает риски мошенничества и перекладывает ответственность на банк-эмитент</w:t>
      </w:r>
    </w:p>
    <w:p>
      <w:pPr>
        <w:pStyle w:val="BodyText"/>
        <w:rPr>
          <w:rFonts w:ascii="Calibri" w:hAnsi="Calibri"/>
        </w:rPr>
      </w:pPr>
      <w:r>
        <w:rPr>
          <w:rFonts w:ascii="Calibri" w:hAnsi="Calibri"/>
          <w:b/>
          <w:bCs/>
        </w:rPr>
        <w:t>Антифрод система</w:t>
      </w:r>
      <w:r>
        <w:rPr>
          <w:rFonts w:ascii="Calibri" w:hAnsi="Calibri"/>
        </w:rPr>
        <w:t xml:space="preserve"> - автоматическая проверка платежей на признаки мошенничества (необычная геолокация, множественные попытки, подозрительные паттерны)</w:t>
      </w:r>
    </w:p>
    <w:p>
      <w:pPr>
        <w:pStyle w:val="BodyText"/>
        <w:rPr>
          <w:rFonts w:ascii="Calibri" w:hAnsi="Calibri"/>
        </w:rPr>
      </w:pPr>
      <w:r>
        <w:rPr>
          <w:rFonts w:ascii="Calibri" w:hAnsi="Calibri"/>
          <w:b/>
          <w:bCs/>
        </w:rPr>
        <w:t>Динамическая конвертация валют</w:t>
      </w:r>
      <w:r>
        <w:rPr>
          <w:rFonts w:ascii="Calibri" w:hAnsi="Calibri"/>
        </w:rPr>
        <w:t xml:space="preserve"> - возможность показывать цены и принимать платежи в валюте карты покупателя с автоматической конвертацией</w:t>
      </w:r>
    </w:p>
    <w:p>
      <w:pPr>
        <w:pStyle w:val="BodyText"/>
        <w:rPr>
          <w:rFonts w:ascii="Calibri" w:hAnsi="Calibri"/>
        </w:rPr>
      </w:pPr>
      <w:r>
        <w:rPr>
          <w:rFonts w:ascii="Calibri" w:hAnsi="Calibri"/>
          <w:b/>
          <w:bCs/>
        </w:rPr>
        <w:t>Мобильный SDK</w:t>
      </w:r>
      <w:r>
        <w:rPr>
          <w:rFonts w:ascii="Calibri" w:hAnsi="Calibri"/>
        </w:rPr>
        <w:t xml:space="preserve"> - готовые библиотеки для интеграции платежей в мобильные приложения (iOS/Android)</w:t>
      </w:r>
    </w:p>
    <w:p>
      <w:pPr>
        <w:pStyle w:val="BodyText"/>
        <w:rPr>
          <w:rFonts w:ascii="Calibri" w:hAnsi="Calibri"/>
        </w:rPr>
      </w:pPr>
      <w:r>
        <w:rPr>
          <w:rFonts w:ascii="Calibri" w:hAnsi="Calibri"/>
          <w:b/>
          <w:bCs/>
        </w:rPr>
        <w:t>Webhook уведомления</w:t>
      </w:r>
      <w:r>
        <w:rPr>
          <w:rFonts w:ascii="Calibri" w:hAnsi="Calibri"/>
        </w:rPr>
        <w:t xml:space="preserve"> - автоматические HTTP-запросы от платежной системы к нашему серверу при изменении статуса платежа</w:t>
      </w:r>
      <w:bookmarkEnd w:id="19"/>
      <w:bookmarkEnd w:id="22"/>
    </w:p>
    <w:p>
      <w:pPr>
        <w:pStyle w:val="Heading3"/>
        <w:rPr/>
      </w:pPr>
      <w:bookmarkStart w:id="23" w:name="интеграция"/>
      <w:r>
        <w:rPr>
          <w:rFonts w:ascii="Calibri" w:hAnsi="Calibri"/>
        </w:rPr>
        <w:tab/>
        <w:t>3.4 Интеграция</w:t>
      </w:r>
    </w:p>
    <w:p>
      <w:pPr>
        <w:pStyle w:val="Heading4"/>
        <w:rPr/>
      </w:pPr>
      <w:bookmarkStart w:id="24" w:name="api-требования"/>
      <w:r>
        <w:rPr>
          <w:rStyle w:val="SectionNumber"/>
          <w:rFonts w:ascii="Calibri" w:hAnsi="Calibri"/>
        </w:rPr>
        <w:t>3.4.1</w:t>
      </w:r>
      <w:r>
        <w:rPr>
          <w:rFonts w:ascii="Calibri" w:hAnsi="Calibri"/>
        </w:rPr>
        <w:tab/>
        <w:t>API требования:</w:t>
      </w:r>
    </w:p>
    <w:p>
      <w:pPr>
        <w:pStyle w:val="Compact"/>
        <w:numPr>
          <w:ilvl w:val="0"/>
          <w:numId w:val="72"/>
        </w:numPr>
        <w:rPr>
          <w:rFonts w:ascii="Calibri" w:hAnsi="Calibri"/>
        </w:rPr>
      </w:pPr>
      <w:r>
        <w:rPr>
          <w:rFonts w:ascii="Calibri" w:hAnsi="Calibri"/>
        </w:rPr>
        <w:t>REST API (предпочтительно) или другой современный протокол</w:t>
      </w:r>
    </w:p>
    <w:p>
      <w:pPr>
        <w:pStyle w:val="Compact"/>
        <w:numPr>
          <w:ilvl w:val="0"/>
          <w:numId w:val="73"/>
        </w:numPr>
        <w:rPr>
          <w:rFonts w:ascii="Calibri" w:hAnsi="Calibri"/>
        </w:rPr>
      </w:pPr>
      <w:r>
        <w:rPr>
          <w:rFonts w:ascii="Calibri" w:hAnsi="Calibri"/>
        </w:rPr>
        <w:t>Webhook для статусов платежей</w:t>
      </w:r>
    </w:p>
    <w:p>
      <w:pPr>
        <w:pStyle w:val="Compact"/>
        <w:numPr>
          <w:ilvl w:val="0"/>
          <w:numId w:val="74"/>
        </w:numPr>
        <w:rPr>
          <w:rFonts w:ascii="Calibri" w:hAnsi="Calibri"/>
        </w:rPr>
      </w:pPr>
      <w:r>
        <w:rPr>
          <w:rFonts w:ascii="Calibri" w:hAnsi="Calibri"/>
        </w:rPr>
        <w:t>Sandbox (тестовая среда) для разработки</w:t>
      </w:r>
    </w:p>
    <w:p>
      <w:pPr>
        <w:pStyle w:val="Compact"/>
        <w:numPr>
          <w:ilvl w:val="0"/>
          <w:numId w:val="75"/>
        </w:numPr>
        <w:rPr>
          <w:rFonts w:ascii="Calibri" w:hAnsi="Calibri"/>
        </w:rPr>
      </w:pPr>
      <w:r>
        <w:rPr>
          <w:rFonts w:ascii="Calibri" w:hAnsi="Calibri"/>
        </w:rPr>
        <w:t>Документация API (английский или сербский)</w:t>
      </w:r>
    </w:p>
    <w:p>
      <w:pPr>
        <w:pStyle w:val="Compact"/>
        <w:numPr>
          <w:ilvl w:val="0"/>
          <w:numId w:val="76"/>
        </w:numPr>
        <w:rPr>
          <w:rFonts w:ascii="Calibri" w:hAnsi="Calibri"/>
        </w:rPr>
      </w:pPr>
      <w:r>
        <w:rPr>
          <w:rFonts w:ascii="Calibri" w:hAnsi="Calibri"/>
        </w:rPr>
        <w:t>Примеры интеграции</w:t>
      </w:r>
    </w:p>
    <w:p>
      <w:pPr>
        <w:pStyle w:val="FirstParagraph"/>
        <w:rPr>
          <w:rFonts w:ascii="Calibri" w:hAnsi="Calibri"/>
        </w:rPr>
      </w:pPr>
      <w:r>
        <w:rPr>
          <w:rFonts w:ascii="Calibri" w:hAnsi="Calibri"/>
          <w:b/>
          <w:bCs/>
        </w:rPr>
        <w:t>Примечание</w:t>
      </w:r>
      <w:r>
        <w:rPr>
          <w:rFonts w:ascii="Calibri" w:hAnsi="Calibri"/>
        </w:rPr>
        <w:t>: Мы готовы адаптироваться под API платежной системы. Наш стек: Go (backend), JavaScript/TypeScript (frontend)</w:t>
      </w:r>
      <w:bookmarkEnd w:id="24"/>
    </w:p>
    <w:p>
      <w:pPr>
        <w:pStyle w:val="Heading4"/>
        <w:rPr/>
      </w:pPr>
      <w:bookmarkStart w:id="25" w:name="безопасность"/>
      <w:r>
        <w:rPr>
          <w:rStyle w:val="SectionNumber"/>
          <w:rFonts w:ascii="Calibri" w:hAnsi="Calibri"/>
        </w:rPr>
        <w:t>3.4.2</w:t>
      </w:r>
      <w:r>
        <w:rPr>
          <w:rFonts w:ascii="Calibri" w:hAnsi="Calibri"/>
        </w:rPr>
        <w:tab/>
        <w:t>Безопасность:</w:t>
      </w:r>
    </w:p>
    <w:p>
      <w:pPr>
        <w:pStyle w:val="FirstParagraph"/>
        <w:rPr>
          <w:rFonts w:ascii="Calibri" w:hAnsi="Calibri"/>
        </w:rPr>
      </w:pPr>
      <w:r>
        <w:rPr>
          <w:rFonts w:ascii="Calibri" w:hAnsi="Calibri"/>
          <w:b/>
          <w:bCs/>
        </w:rPr>
        <w:t>PCI DSS compliance</w:t>
      </w:r>
      <w:r>
        <w:rPr>
          <w:rFonts w:ascii="Calibri" w:hAnsi="Calibri"/>
        </w:rPr>
        <w:t xml:space="preserve"> - сертификация соответствия стандартам безопасности платежных карт. Означает, что платежная система защищает данные карт по международным стандартам</w:t>
      </w:r>
    </w:p>
    <w:p>
      <w:pPr>
        <w:pStyle w:val="BodyText"/>
        <w:rPr>
          <w:rFonts w:ascii="Calibri" w:hAnsi="Calibri"/>
        </w:rPr>
      </w:pPr>
      <w:r>
        <w:rPr>
          <w:rFonts w:ascii="Calibri" w:hAnsi="Calibri"/>
          <w:b/>
          <w:bCs/>
        </w:rPr>
        <w:t>TLS 1.2+ для всех соединений</w:t>
      </w:r>
      <w:r>
        <w:rPr>
          <w:rFonts w:ascii="Calibri" w:hAnsi="Calibri"/>
        </w:rPr>
        <w:t xml:space="preserve"> - использование современных протоколов шифрования для всех соединений между нашим сервером и платежной системой</w:t>
      </w:r>
    </w:p>
    <w:p>
      <w:pPr>
        <w:pStyle w:val="BodyText"/>
        <w:rPr>
          <w:rFonts w:ascii="Calibri" w:hAnsi="Calibri"/>
        </w:rPr>
      </w:pPr>
      <w:r>
        <w:rPr>
          <w:rFonts w:ascii="Calibri" w:hAnsi="Calibri"/>
          <w:b/>
          <w:bCs/>
        </w:rPr>
        <w:t>Токенизация чувствительных данных</w:t>
      </w:r>
      <w:r>
        <w:rPr>
          <w:rFonts w:ascii="Calibri" w:hAnsi="Calibri"/>
        </w:rPr>
        <w:t xml:space="preserve"> - замена реальных данных карт на уникальные токены, которые бесполезны для злоумышленников</w:t>
      </w:r>
    </w:p>
    <w:p>
      <w:pPr>
        <w:pStyle w:val="BodyText"/>
        <w:rPr>
          <w:rFonts w:ascii="Calibri" w:hAnsi="Calibri"/>
        </w:rPr>
      </w:pPr>
      <w:r>
        <w:rPr>
          <w:rFonts w:ascii="Calibri" w:hAnsi="Calibri"/>
          <w:b/>
          <w:bCs/>
        </w:rPr>
        <w:t>Двухфакторная аутентификация для админов</w:t>
      </w:r>
      <w:r>
        <w:rPr>
          <w:rFonts w:ascii="Calibri" w:hAnsi="Calibri"/>
        </w:rPr>
        <w:t xml:space="preserve"> - дополнительная защита административных панелей через SMS или приложение-аутентификатор</w:t>
      </w:r>
    </w:p>
    <w:p>
      <w:pPr>
        <w:pStyle w:val="BodyText"/>
        <w:rPr>
          <w:rFonts w:ascii="Calibri" w:hAnsi="Calibri"/>
        </w:rPr>
      </w:pPr>
      <w:r>
        <w:rPr>
          <w:rFonts w:ascii="Calibri" w:hAnsi="Calibri"/>
          <w:b/>
          <w:bCs/>
        </w:rPr>
        <w:t>IP whitelist</w:t>
      </w:r>
      <w:r>
        <w:rPr>
          <w:rFonts w:ascii="Calibri" w:hAnsi="Calibri"/>
        </w:rPr>
        <w:t xml:space="preserve"> - ограничение доступа к API только с разрешенных IP-адресов наших серверов</w:t>
      </w:r>
      <w:bookmarkEnd w:id="16"/>
      <w:bookmarkEnd w:id="23"/>
      <w:bookmarkEnd w:id="25"/>
    </w:p>
    <w:p>
      <w:pPr>
        <w:pStyle w:val="Heading2"/>
        <w:rPr/>
      </w:pPr>
      <w:bookmarkStart w:id="26" w:name="юридические-и-compliance-требования"/>
      <w:r>
        <w:rPr>
          <w:rFonts w:ascii="Calibri" w:hAnsi="Calibri"/>
        </w:rPr>
        <w:tab/>
        <w:t>4. Юридические и compliance требования</w:t>
      </w:r>
    </w:p>
    <w:p>
      <w:pPr>
        <w:pStyle w:val="Heading3"/>
        <w:rPr/>
      </w:pPr>
      <w:bookmarkStart w:id="27" w:name="X3713bd4ab4b965ffe94a9e3c4991aa8f6e40839"/>
      <w:r>
        <w:rPr>
          <w:rFonts w:ascii="Calibri" w:hAnsi="Calibri"/>
        </w:rPr>
        <w:tab/>
        <w:t>4.1 Лицензирование (требования к платежному оператору)</w:t>
      </w:r>
    </w:p>
    <w:p>
      <w:pPr>
        <w:pStyle w:val="FirstParagraph"/>
        <w:rPr>
          <w:rFonts w:ascii="Calibri" w:hAnsi="Calibri"/>
        </w:rPr>
      </w:pPr>
      <w:r>
        <w:rPr>
          <w:rFonts w:ascii="Calibri" w:hAnsi="Calibri"/>
          <w:b/>
          <w:bCs/>
        </w:rPr>
        <w:t>Лицензия НБС на платежные услуги</w:t>
      </w:r>
      <w:r>
        <w:rPr>
          <w:rFonts w:ascii="Calibri" w:hAnsi="Calibri"/>
        </w:rPr>
        <w:t xml:space="preserve"> - официальное разрешение от Народного банка Сербии на осуществление платежных операций. Подтверждает легальность и надежность оператора</w:t>
      </w:r>
    </w:p>
    <w:p>
      <w:pPr>
        <w:pStyle w:val="BodyText"/>
        <w:rPr>
          <w:rFonts w:ascii="Calibri" w:hAnsi="Calibri"/>
        </w:rPr>
      </w:pPr>
      <w:r>
        <w:rPr>
          <w:rFonts w:ascii="Calibri" w:hAnsi="Calibri"/>
          <w:b/>
          <w:bCs/>
        </w:rPr>
        <w:t>Право на осуществление эквайринга</w:t>
      </w:r>
      <w:r>
        <w:rPr>
          <w:rFonts w:ascii="Calibri" w:hAnsi="Calibri"/>
        </w:rPr>
        <w:t xml:space="preserve"> - лицензия на прием платежей с банковских карт от имени торговцев (в нашем случае - маркетплейса)</w:t>
      </w:r>
    </w:p>
    <w:p>
      <w:pPr>
        <w:pStyle w:val="BodyText"/>
        <w:rPr>
          <w:rFonts w:ascii="Calibri" w:hAnsi="Calibri"/>
        </w:rPr>
      </w:pPr>
      <w:r>
        <w:rPr>
          <w:rFonts w:ascii="Calibri" w:hAnsi="Calibri"/>
          <w:b/>
          <w:bCs/>
        </w:rPr>
        <w:t>Право на эскроу-услуги</w:t>
      </w:r>
      <w:r>
        <w:rPr>
          <w:rFonts w:ascii="Calibri" w:hAnsi="Calibri"/>
        </w:rPr>
        <w:t xml:space="preserve"> - разрешение на временное хранение средств покупателя до выполнения условий сделки (критично для защиты покупателей)</w:t>
      </w:r>
    </w:p>
    <w:p>
      <w:pPr>
        <w:pStyle w:val="BodyText"/>
        <w:rPr>
          <w:rFonts w:ascii="Calibri" w:hAnsi="Calibri"/>
        </w:rPr>
      </w:pPr>
      <w:r>
        <w:rPr>
          <w:rFonts w:ascii="Calibri" w:hAnsi="Calibri"/>
          <w:b/>
          <w:bCs/>
        </w:rPr>
        <w:t>Право на выплаты физическим лицам</w:t>
      </w:r>
      <w:r>
        <w:rPr>
          <w:rFonts w:ascii="Calibri" w:hAnsi="Calibri"/>
        </w:rPr>
        <w:t xml:space="preserve"> - лицензия на осуществление выплат на карты и счета физических лиц, которые не являются предпринимателями (необходимо для C2C)</w:t>
      </w:r>
      <w:bookmarkEnd w:id="27"/>
    </w:p>
    <w:p>
      <w:pPr>
        <w:pStyle w:val="Heading3"/>
        <w:rPr/>
      </w:pPr>
      <w:bookmarkStart w:id="28" w:name="соответствие-регуляторным-требованиям"/>
      <w:r>
        <w:rPr>
          <w:rFonts w:ascii="Calibri" w:hAnsi="Calibri"/>
        </w:rPr>
        <w:tab/>
        <w:t>4.2 Соответствие регуляторным требованиям</w:t>
      </w:r>
    </w:p>
    <w:p>
      <w:pPr>
        <w:pStyle w:val="FirstParagraph"/>
        <w:rPr>
          <w:rFonts w:ascii="Calibri" w:hAnsi="Calibri"/>
        </w:rPr>
      </w:pPr>
      <w:r>
        <w:rPr>
          <w:rFonts w:ascii="Calibri" w:hAnsi="Calibri"/>
          <w:b/>
          <w:bCs/>
        </w:rPr>
        <w:t>Соответствие закону Сербии о платежных услугах</w:t>
      </w:r>
      <w:r>
        <w:rPr>
          <w:rFonts w:ascii="Calibri" w:hAnsi="Calibri"/>
        </w:rPr>
        <w:t xml:space="preserve"> - работа в рамках закона “Zakon o platnim uslugama”, регулирующего платежные операции в Сербии</w:t>
      </w:r>
    </w:p>
    <w:p>
      <w:pPr>
        <w:pStyle w:val="BodyText"/>
        <w:rPr>
          <w:rFonts w:ascii="Calibri" w:hAnsi="Calibri"/>
        </w:rPr>
      </w:pPr>
      <w:r>
        <w:rPr>
          <w:rFonts w:ascii="Calibri" w:hAnsi="Calibri"/>
          <w:b/>
          <w:bCs/>
        </w:rPr>
        <w:t>AML/CFT процедуры</w:t>
      </w:r>
      <w:r>
        <w:rPr>
          <w:rFonts w:ascii="Calibri" w:hAnsi="Calibri"/>
        </w:rPr>
        <w:t xml:space="preserve"> - Anti-Money Laundering (противодействие отмыванию денег) и Counter Financing of Terrorism (противодействие финансированию терроризма). Система мер для предотвращения использования платформы в незаконных целях</w:t>
      </w:r>
    </w:p>
    <w:p>
      <w:pPr>
        <w:pStyle w:val="BodyText"/>
        <w:rPr>
          <w:rFonts w:ascii="Calibri" w:hAnsi="Calibri"/>
        </w:rPr>
      </w:pPr>
      <w:r>
        <w:rPr>
          <w:rFonts w:ascii="Calibri" w:hAnsi="Calibri"/>
          <w:b/>
          <w:bCs/>
        </w:rPr>
        <w:t>KYC/KYB верификация</w:t>
      </w:r>
      <w:r>
        <w:rPr>
          <w:rFonts w:ascii="Calibri" w:hAnsi="Calibri"/>
        </w:rPr>
        <w:t xml:space="preserve"> - Know Your Customer (знай своего клиента) для физлиц и Know Your Business для юрлиц. Проверка личности пользователей для предотвращения мошенничества</w:t>
      </w:r>
    </w:p>
    <w:p>
      <w:pPr>
        <w:pStyle w:val="BodyText"/>
        <w:rPr>
          <w:rFonts w:ascii="Calibri" w:hAnsi="Calibri"/>
        </w:rPr>
      </w:pPr>
      <w:r>
        <w:rPr>
          <w:rFonts w:ascii="Calibri" w:hAnsi="Calibri"/>
          <w:b/>
          <w:bCs/>
        </w:rPr>
        <w:t>Фискализация транзакций</w:t>
      </w:r>
      <w:r>
        <w:rPr>
          <w:rFonts w:ascii="Calibri" w:hAnsi="Calibri"/>
        </w:rPr>
        <w:t xml:space="preserve"> - автоматическая передача данных о транзакциях в налоговую службу Сербии в соответствии с требованиями закона о фискализации</w:t>
      </w:r>
    </w:p>
    <w:p>
      <w:pPr>
        <w:pStyle w:val="BodyText"/>
        <w:rPr>
          <w:rFonts w:ascii="Calibri" w:hAnsi="Calibri"/>
        </w:rPr>
      </w:pPr>
      <w:r>
        <w:rPr>
          <w:rFonts w:ascii="Calibri" w:hAnsi="Calibri"/>
          <w:b/>
          <w:bCs/>
        </w:rPr>
        <w:t>GDPR compliance</w:t>
      </w:r>
      <w:r>
        <w:rPr>
          <w:rFonts w:ascii="Calibri" w:hAnsi="Calibri"/>
        </w:rPr>
        <w:t xml:space="preserve"> - соответствие европейскому регламенту о защите персональных данных (General Data Protection Regulation), обязательному в Сербии</w:t>
      </w:r>
      <w:bookmarkEnd w:id="28"/>
    </w:p>
    <w:p>
      <w:pPr>
        <w:pStyle w:val="Heading3"/>
        <w:rPr/>
      </w:pPr>
      <w:bookmarkStart w:id="29" w:name="отчетность"/>
      <w:r>
        <w:rPr>
          <w:rFonts w:ascii="Calibri" w:hAnsi="Calibri"/>
        </w:rPr>
        <w:tab/>
        <w:t>4.3 Отчетность</w:t>
      </w:r>
    </w:p>
    <w:p>
      <w:pPr>
        <w:pStyle w:val="Compact"/>
        <w:numPr>
          <w:ilvl w:val="0"/>
          <w:numId w:val="77"/>
        </w:numPr>
        <w:rPr>
          <w:rFonts w:ascii="Calibri" w:hAnsi="Calibri"/>
        </w:rPr>
      </w:pPr>
      <w:r>
        <w:rPr>
          <w:rFonts w:ascii="Calibri" w:hAnsi="Calibri"/>
        </w:rPr>
        <w:t>Ежемесячные финансовые отчеты</w:t>
      </w:r>
    </w:p>
    <w:p>
      <w:pPr>
        <w:pStyle w:val="Compact"/>
        <w:numPr>
          <w:ilvl w:val="0"/>
          <w:numId w:val="78"/>
        </w:numPr>
        <w:rPr>
          <w:rFonts w:ascii="Calibri" w:hAnsi="Calibri"/>
        </w:rPr>
      </w:pPr>
      <w:r>
        <w:rPr>
          <w:rFonts w:ascii="Calibri" w:hAnsi="Calibri"/>
        </w:rPr>
        <w:t>Реестры транзакций для налоговой</w:t>
      </w:r>
    </w:p>
    <w:p>
      <w:pPr>
        <w:pStyle w:val="Compact"/>
        <w:numPr>
          <w:ilvl w:val="0"/>
          <w:numId w:val="79"/>
        </w:numPr>
        <w:rPr>
          <w:rFonts w:ascii="Calibri" w:hAnsi="Calibri"/>
        </w:rPr>
      </w:pPr>
      <w:r>
        <w:rPr>
          <w:rFonts w:ascii="Calibri" w:hAnsi="Calibri"/>
        </w:rPr>
        <w:t>API для выгрузки данных</w:t>
      </w:r>
    </w:p>
    <w:p>
      <w:pPr>
        <w:pStyle w:val="Compact"/>
        <w:numPr>
          <w:ilvl w:val="0"/>
          <w:numId w:val="80"/>
        </w:numPr>
        <w:rPr>
          <w:rFonts w:ascii="Calibri" w:hAnsi="Calibri"/>
        </w:rPr>
      </w:pPr>
      <w:bookmarkStart w:id="30" w:name="юридические-и-compliance-требования"/>
      <w:bookmarkStart w:id="31" w:name="отчетность"/>
      <w:r>
        <w:rPr>
          <w:rFonts w:ascii="Calibri" w:hAnsi="Calibri"/>
        </w:rPr>
        <w:t>Поддержка аудита</w:t>
      </w:r>
      <w:bookmarkEnd w:id="30"/>
      <w:bookmarkEnd w:id="31"/>
    </w:p>
    <w:p>
      <w:pPr>
        <w:pStyle w:val="Heading2"/>
        <w:rPr/>
      </w:pPr>
      <w:bookmarkStart w:id="32" w:name="коммерческие-условия"/>
      <w:r>
        <w:rPr>
          <w:rFonts w:ascii="Calibri" w:hAnsi="Calibri"/>
        </w:rPr>
        <w:tab/>
        <w:t>5. Коммерческие условия</w:t>
      </w:r>
    </w:p>
    <w:p>
      <w:pPr>
        <w:pStyle w:val="Heading3"/>
        <w:rPr/>
      </w:pPr>
      <w:bookmarkStart w:id="33" w:name="условия-сотрудничества"/>
      <w:r>
        <w:rPr>
          <w:rFonts w:ascii="Calibri" w:hAnsi="Calibri"/>
        </w:rPr>
        <w:t>5.1 Условия сотрудничества</w:t>
      </w:r>
    </w:p>
    <w:p>
      <w:pPr>
        <w:pStyle w:val="Compact"/>
        <w:numPr>
          <w:ilvl w:val="0"/>
          <w:numId w:val="81"/>
        </w:numPr>
        <w:rPr>
          <w:rFonts w:ascii="Calibri" w:hAnsi="Calibri"/>
        </w:rPr>
      </w:pPr>
      <w:r>
        <w:rPr>
          <w:rFonts w:ascii="Calibri" w:hAnsi="Calibri"/>
        </w:rPr>
        <w:t>Отсутствие требований по минимальному обороту на старте</w:t>
      </w:r>
    </w:p>
    <w:p>
      <w:pPr>
        <w:pStyle w:val="Compact"/>
        <w:numPr>
          <w:ilvl w:val="0"/>
          <w:numId w:val="82"/>
        </w:numPr>
        <w:rPr>
          <w:rFonts w:ascii="Calibri" w:hAnsi="Calibri"/>
        </w:rPr>
      </w:pPr>
      <w:r>
        <w:rPr>
          <w:rFonts w:ascii="Calibri" w:hAnsi="Calibri"/>
        </w:rPr>
        <w:t>Прозрачная тарифная сетка</w:t>
      </w:r>
    </w:p>
    <w:p>
      <w:pPr>
        <w:pStyle w:val="Compact"/>
        <w:numPr>
          <w:ilvl w:val="0"/>
          <w:numId w:val="83"/>
        </w:numPr>
        <w:rPr>
          <w:rFonts w:ascii="Calibri" w:hAnsi="Calibri"/>
        </w:rPr>
      </w:pPr>
      <w:r>
        <w:rPr>
          <w:rFonts w:ascii="Calibri" w:hAnsi="Calibri"/>
        </w:rPr>
        <w:t>Техподдержка 24/7 для критических инцидентов</w:t>
      </w:r>
    </w:p>
    <w:p>
      <w:pPr>
        <w:pStyle w:val="Compact"/>
        <w:numPr>
          <w:ilvl w:val="0"/>
          <w:numId w:val="84"/>
        </w:numPr>
        <w:rPr>
          <w:rFonts w:ascii="Calibri" w:hAnsi="Calibri"/>
        </w:rPr>
      </w:pPr>
      <w:r>
        <w:rPr>
          <w:rFonts w:ascii="Calibri" w:hAnsi="Calibri"/>
        </w:rPr>
        <w:t>Выделенный менеджер</w:t>
      </w:r>
    </w:p>
    <w:p>
      <w:pPr>
        <w:pStyle w:val="Compact"/>
        <w:numPr>
          <w:ilvl w:val="0"/>
          <w:numId w:val="85"/>
        </w:numPr>
        <w:rPr>
          <w:rFonts w:ascii="Calibri" w:hAnsi="Calibri"/>
        </w:rPr>
      </w:pPr>
      <w:bookmarkStart w:id="34" w:name="коммерческие-условия"/>
      <w:bookmarkStart w:id="35" w:name="условия-сотрудничества"/>
      <w:r>
        <w:rPr>
          <w:rFonts w:ascii="Calibri" w:hAnsi="Calibri"/>
        </w:rPr>
        <w:t>Помощь в прохождении сертификации при её необходимости</w:t>
      </w:r>
      <w:bookmarkEnd w:id="34"/>
      <w:bookmarkEnd w:id="35"/>
    </w:p>
    <w:p>
      <w:pPr>
        <w:pStyle w:val="Heading2"/>
        <w:rPr/>
      </w:pPr>
      <w:bookmarkStart w:id="36" w:name="технологический-стек-платформы"/>
      <w:r>
        <w:rPr>
          <w:rFonts w:ascii="Calibri" w:hAnsi="Calibri"/>
        </w:rPr>
        <w:tab/>
        <w:t>6. Технологический стек платформы</w:t>
      </w:r>
    </w:p>
    <w:p>
      <w:pPr>
        <w:pStyle w:val="Heading3"/>
        <w:rPr/>
      </w:pPr>
      <w:bookmarkStart w:id="37" w:name="backend"/>
      <w:r>
        <w:rPr>
          <w:rStyle w:val="SectionNumber"/>
          <w:rFonts w:ascii="Calibri" w:hAnsi="Calibri"/>
        </w:rPr>
        <w:t>6.1</w:t>
      </w:r>
      <w:r>
        <w:rPr>
          <w:rFonts w:ascii="Calibri" w:hAnsi="Calibri"/>
        </w:rPr>
        <w:tab/>
        <w:t>Backend</w:t>
      </w:r>
    </w:p>
    <w:p>
      <w:pPr>
        <w:pStyle w:val="Compact"/>
        <w:numPr>
          <w:ilvl w:val="0"/>
          <w:numId w:val="86"/>
        </w:numPr>
        <w:rPr>
          <w:rFonts w:ascii="Calibri" w:hAnsi="Calibri"/>
        </w:rPr>
      </w:pPr>
      <w:r>
        <w:rPr>
          <w:rFonts w:ascii="Calibri" w:hAnsi="Calibri"/>
          <w:b/>
          <w:bCs/>
        </w:rPr>
        <w:t>Язык</w:t>
      </w:r>
      <w:r>
        <w:rPr>
          <w:rFonts w:ascii="Calibri" w:hAnsi="Calibri"/>
        </w:rPr>
        <w:t>: Go 1.21+</w:t>
      </w:r>
    </w:p>
    <w:p>
      <w:pPr>
        <w:pStyle w:val="Compact"/>
        <w:numPr>
          <w:ilvl w:val="0"/>
          <w:numId w:val="87"/>
        </w:numPr>
        <w:rPr>
          <w:rFonts w:ascii="Calibri" w:hAnsi="Calibri"/>
        </w:rPr>
      </w:pPr>
      <w:r>
        <w:rPr>
          <w:rFonts w:ascii="Calibri" w:hAnsi="Calibri"/>
          <w:b/>
          <w:bCs/>
        </w:rPr>
        <w:t>База данных</w:t>
      </w:r>
      <w:r>
        <w:rPr>
          <w:rFonts w:ascii="Calibri" w:hAnsi="Calibri"/>
        </w:rPr>
        <w:t>: PostgreSQL 15</w:t>
      </w:r>
    </w:p>
    <w:p>
      <w:pPr>
        <w:pStyle w:val="Compact"/>
        <w:numPr>
          <w:ilvl w:val="0"/>
          <w:numId w:val="88"/>
        </w:numPr>
        <w:rPr>
          <w:rFonts w:ascii="Calibri" w:hAnsi="Calibri"/>
        </w:rPr>
      </w:pPr>
      <w:r>
        <w:rPr>
          <w:rFonts w:ascii="Calibri" w:hAnsi="Calibri"/>
          <w:b/>
          <w:bCs/>
        </w:rPr>
        <w:t>Кеш</w:t>
      </w:r>
      <w:r>
        <w:rPr>
          <w:rFonts w:ascii="Calibri" w:hAnsi="Calibri"/>
        </w:rPr>
        <w:t>: Redis</w:t>
      </w:r>
    </w:p>
    <w:p>
      <w:pPr>
        <w:pStyle w:val="Compact"/>
        <w:numPr>
          <w:ilvl w:val="0"/>
          <w:numId w:val="89"/>
        </w:numPr>
        <w:rPr>
          <w:rFonts w:ascii="Calibri" w:hAnsi="Calibri"/>
        </w:rPr>
      </w:pPr>
      <w:r>
        <w:rPr>
          <w:rFonts w:ascii="Calibri" w:hAnsi="Calibri"/>
          <w:b/>
          <w:bCs/>
        </w:rPr>
        <w:t>Поиск</w:t>
      </w:r>
      <w:r>
        <w:rPr>
          <w:rFonts w:ascii="Calibri" w:hAnsi="Calibri"/>
        </w:rPr>
        <w:t>: OpenSearch</w:t>
      </w:r>
    </w:p>
    <w:p>
      <w:pPr>
        <w:pStyle w:val="Compact"/>
        <w:numPr>
          <w:ilvl w:val="0"/>
          <w:numId w:val="90"/>
        </w:numPr>
        <w:rPr>
          <w:rFonts w:ascii="Calibri" w:hAnsi="Calibri"/>
        </w:rPr>
      </w:pPr>
      <w:r>
        <w:rPr>
          <w:rFonts w:ascii="Calibri" w:hAnsi="Calibri"/>
          <w:b/>
          <w:bCs/>
        </w:rPr>
        <w:t>Очереди</w:t>
      </w:r>
      <w:r>
        <w:rPr>
          <w:rFonts w:ascii="Calibri" w:hAnsi="Calibri"/>
        </w:rPr>
        <w:t>: RabbitMQ (планируется)</w:t>
      </w:r>
      <w:bookmarkEnd w:id="37"/>
    </w:p>
    <w:p>
      <w:pPr>
        <w:pStyle w:val="Heading3"/>
        <w:rPr/>
      </w:pPr>
      <w:bookmarkStart w:id="38" w:name="frontend"/>
      <w:r>
        <w:rPr>
          <w:rStyle w:val="SectionNumber"/>
          <w:rFonts w:ascii="Calibri" w:hAnsi="Calibri"/>
        </w:rPr>
        <w:t>6.2</w:t>
      </w:r>
      <w:r>
        <w:rPr>
          <w:rFonts w:ascii="Calibri" w:hAnsi="Calibri"/>
        </w:rPr>
        <w:tab/>
        <w:t>Frontend</w:t>
      </w:r>
    </w:p>
    <w:p>
      <w:pPr>
        <w:pStyle w:val="Compact"/>
        <w:numPr>
          <w:ilvl w:val="0"/>
          <w:numId w:val="91"/>
        </w:numPr>
        <w:rPr>
          <w:rFonts w:ascii="Calibri" w:hAnsi="Calibri"/>
        </w:rPr>
      </w:pPr>
      <w:r>
        <w:rPr>
          <w:rFonts w:ascii="Calibri" w:hAnsi="Calibri"/>
          <w:b/>
          <w:bCs/>
        </w:rPr>
        <w:t>Framework</w:t>
      </w:r>
      <w:r>
        <w:rPr>
          <w:rFonts w:ascii="Calibri" w:hAnsi="Calibri"/>
        </w:rPr>
        <w:t>: Next.js 15 (React 19)</w:t>
      </w:r>
    </w:p>
    <w:p>
      <w:pPr>
        <w:pStyle w:val="Compact"/>
        <w:numPr>
          <w:ilvl w:val="0"/>
          <w:numId w:val="92"/>
        </w:numPr>
        <w:rPr>
          <w:rFonts w:ascii="Calibri" w:hAnsi="Calibri"/>
        </w:rPr>
      </w:pPr>
      <w:r>
        <w:rPr>
          <w:rFonts w:ascii="Calibri" w:hAnsi="Calibri"/>
          <w:b/>
          <w:bCs/>
        </w:rPr>
        <w:t>Язык</w:t>
      </w:r>
      <w:r>
        <w:rPr>
          <w:rFonts w:ascii="Calibri" w:hAnsi="Calibri"/>
        </w:rPr>
        <w:t>: TypeScript</w:t>
      </w:r>
    </w:p>
    <w:p>
      <w:pPr>
        <w:pStyle w:val="Compact"/>
        <w:numPr>
          <w:ilvl w:val="0"/>
          <w:numId w:val="93"/>
        </w:numPr>
        <w:rPr>
          <w:rFonts w:ascii="Calibri" w:hAnsi="Calibri"/>
        </w:rPr>
      </w:pPr>
      <w:r>
        <w:rPr>
          <w:rFonts w:ascii="Calibri" w:hAnsi="Calibri"/>
          <w:b/>
          <w:bCs/>
        </w:rPr>
        <w:t>Стейт</w:t>
      </w:r>
      <w:r>
        <w:rPr>
          <w:rFonts w:ascii="Calibri" w:hAnsi="Calibri"/>
        </w:rPr>
        <w:t>: Redux Toolkit</w:t>
      </w:r>
      <w:bookmarkEnd w:id="38"/>
    </w:p>
    <w:p>
      <w:pPr>
        <w:pStyle w:val="Heading3"/>
        <w:rPr/>
      </w:pPr>
      <w:bookmarkStart w:id="39" w:name="инфраструктура"/>
      <w:r>
        <w:rPr>
          <w:rStyle w:val="SectionNumber"/>
          <w:rFonts w:ascii="Calibri" w:hAnsi="Calibri"/>
        </w:rPr>
        <w:t>6.3</w:t>
      </w:r>
      <w:r>
        <w:rPr>
          <w:rFonts w:ascii="Calibri" w:hAnsi="Calibri"/>
        </w:rPr>
        <w:tab/>
        <w:t>Инфраструктура</w:t>
      </w:r>
    </w:p>
    <w:p>
      <w:pPr>
        <w:pStyle w:val="Compact"/>
        <w:numPr>
          <w:ilvl w:val="0"/>
          <w:numId w:val="94"/>
        </w:numPr>
        <w:rPr>
          <w:rFonts w:ascii="Calibri" w:hAnsi="Calibri"/>
        </w:rPr>
      </w:pPr>
      <w:r>
        <w:rPr>
          <w:rFonts w:ascii="Calibri" w:hAnsi="Calibri"/>
          <w:b/>
          <w:bCs/>
        </w:rPr>
        <w:t>Хостинг</w:t>
      </w:r>
      <w:r>
        <w:rPr>
          <w:rFonts w:ascii="Calibri" w:hAnsi="Calibri"/>
        </w:rPr>
        <w:t>: VPS</w:t>
      </w:r>
    </w:p>
    <w:p>
      <w:pPr>
        <w:pStyle w:val="Compact"/>
        <w:numPr>
          <w:ilvl w:val="0"/>
          <w:numId w:val="95"/>
        </w:numPr>
        <w:rPr>
          <w:rFonts w:ascii="Calibri" w:hAnsi="Calibri"/>
        </w:rPr>
      </w:pPr>
      <w:r>
        <w:rPr>
          <w:rFonts w:ascii="Calibri" w:hAnsi="Calibri"/>
          <w:b/>
          <w:bCs/>
        </w:rPr>
        <w:t>CDN</w:t>
      </w:r>
      <w:r>
        <w:rPr>
          <w:rFonts w:ascii="Calibri" w:hAnsi="Calibri"/>
        </w:rPr>
        <w:t>: Cloudflare</w:t>
      </w:r>
    </w:p>
    <w:p>
      <w:pPr>
        <w:pStyle w:val="Compact"/>
        <w:numPr>
          <w:ilvl w:val="0"/>
          <w:numId w:val="96"/>
        </w:numPr>
        <w:rPr>
          <w:rFonts w:ascii="Calibri" w:hAnsi="Calibri"/>
        </w:rPr>
      </w:pPr>
      <w:r>
        <w:rPr>
          <w:rFonts w:ascii="Calibri" w:hAnsi="Calibri"/>
          <w:b/>
          <w:bCs/>
        </w:rPr>
        <w:t>Мониторинг</w:t>
      </w:r>
      <w:r>
        <w:rPr>
          <w:rFonts w:ascii="Calibri" w:hAnsi="Calibri"/>
        </w:rPr>
        <w:t>: Prometheus + Grafana</w:t>
      </w:r>
    </w:p>
    <w:p>
      <w:pPr>
        <w:pStyle w:val="Compact"/>
        <w:numPr>
          <w:ilvl w:val="0"/>
          <w:numId w:val="97"/>
        </w:numPr>
        <w:rPr>
          <w:rFonts w:ascii="Calibri" w:hAnsi="Calibri"/>
        </w:rPr>
      </w:pPr>
      <w:r>
        <w:rPr>
          <w:rFonts w:ascii="Calibri" w:hAnsi="Calibri"/>
          <w:b/>
          <w:bCs/>
        </w:rPr>
        <w:t>CI/CD</w:t>
      </w:r>
      <w:r>
        <w:rPr>
          <w:rFonts w:ascii="Calibri" w:hAnsi="Calibri"/>
        </w:rPr>
        <w:t>: GitHub Actions</w:t>
      </w:r>
      <w:bookmarkEnd w:id="36"/>
      <w:bookmarkEnd w:id="39"/>
    </w:p>
    <w:p>
      <w:pPr>
        <w:pStyle w:val="Heading2"/>
        <w:rPr/>
      </w:pPr>
      <w:bookmarkStart w:id="40" w:name="дорожная-карта-интеграции"/>
      <w:r>
        <w:rPr>
          <w:rFonts w:ascii="Calibri" w:hAnsi="Calibri"/>
        </w:rPr>
        <w:t>7. Дорожная карта интеграции</w:t>
      </w:r>
    </w:p>
    <w:p>
      <w:pPr>
        <w:pStyle w:val="Heading3"/>
        <w:rPr/>
      </w:pPr>
      <w:bookmarkStart w:id="41" w:name="фаза-1-mvp"/>
      <w:r>
        <w:rPr>
          <w:rFonts w:ascii="Calibri" w:hAnsi="Calibri"/>
        </w:rPr>
        <w:t>Фаза 1: MVP</w:t>
      </w:r>
    </w:p>
    <w:p>
      <w:pPr>
        <w:pStyle w:val="Compact"/>
        <w:numPr>
          <w:ilvl w:val="0"/>
          <w:numId w:val="98"/>
        </w:numPr>
        <w:rPr>
          <w:rFonts w:ascii="Calibri" w:hAnsi="Calibri"/>
        </w:rPr>
      </w:pPr>
      <w:r>
        <w:rPr>
          <w:rFonts w:ascii="Calibri" w:hAnsi="Calibri"/>
        </w:rPr>
        <w:t>Базовый эквайринг (карты)</w:t>
      </w:r>
    </w:p>
    <w:p>
      <w:pPr>
        <w:pStyle w:val="Compact"/>
        <w:numPr>
          <w:ilvl w:val="0"/>
          <w:numId w:val="99"/>
        </w:numPr>
        <w:rPr>
          <w:rFonts w:ascii="Calibri" w:hAnsi="Calibri"/>
        </w:rPr>
      </w:pPr>
      <w:r>
        <w:rPr>
          <w:rFonts w:ascii="Calibri" w:hAnsi="Calibri"/>
        </w:rPr>
        <w:t>Простые прямые платежи</w:t>
      </w:r>
    </w:p>
    <w:p>
      <w:pPr>
        <w:pStyle w:val="Compact"/>
        <w:numPr>
          <w:ilvl w:val="0"/>
          <w:numId w:val="100"/>
        </w:numPr>
        <w:rPr>
          <w:rFonts w:ascii="Calibri" w:hAnsi="Calibri"/>
        </w:rPr>
      </w:pPr>
      <w:r>
        <w:rPr>
          <w:rFonts w:ascii="Calibri" w:hAnsi="Calibri"/>
        </w:rPr>
        <w:t>Пополнение баланса</w:t>
      </w:r>
    </w:p>
    <w:p>
      <w:pPr>
        <w:pStyle w:val="Compact"/>
        <w:numPr>
          <w:ilvl w:val="0"/>
          <w:numId w:val="101"/>
        </w:numPr>
        <w:rPr>
          <w:rFonts w:ascii="Calibri" w:hAnsi="Calibri"/>
        </w:rPr>
      </w:pPr>
      <w:bookmarkStart w:id="42" w:name="фаза-1-mvp"/>
      <w:r>
        <w:rPr>
          <w:rFonts w:ascii="Calibri" w:hAnsi="Calibri"/>
        </w:rPr>
        <w:t>Базовые выплаты продавцам</w:t>
      </w:r>
      <w:bookmarkEnd w:id="42"/>
    </w:p>
    <w:p>
      <w:pPr>
        <w:pStyle w:val="Heading3"/>
        <w:rPr/>
      </w:pPr>
      <w:bookmarkStart w:id="43" w:name="фаза-2-эскроу"/>
      <w:r>
        <w:rPr>
          <w:rFonts w:ascii="Calibri" w:hAnsi="Calibri"/>
        </w:rPr>
        <w:t>Фаза 2: Эскроу</w:t>
      </w:r>
    </w:p>
    <w:p>
      <w:pPr>
        <w:pStyle w:val="Compact"/>
        <w:numPr>
          <w:ilvl w:val="0"/>
          <w:numId w:val="102"/>
        </w:numPr>
        <w:rPr>
          <w:rFonts w:ascii="Calibri" w:hAnsi="Calibri"/>
        </w:rPr>
      </w:pPr>
      <w:r>
        <w:rPr>
          <w:rFonts w:ascii="Calibri" w:hAnsi="Calibri"/>
        </w:rPr>
        <w:t>Холдирование средств</w:t>
      </w:r>
    </w:p>
    <w:p>
      <w:pPr>
        <w:pStyle w:val="Compact"/>
        <w:numPr>
          <w:ilvl w:val="0"/>
          <w:numId w:val="103"/>
        </w:numPr>
        <w:rPr>
          <w:rFonts w:ascii="Calibri" w:hAnsi="Calibri"/>
        </w:rPr>
      </w:pPr>
      <w:r>
        <w:rPr>
          <w:rFonts w:ascii="Calibri" w:hAnsi="Calibri"/>
        </w:rPr>
        <w:t>Управление спорами</w:t>
      </w:r>
    </w:p>
    <w:p>
      <w:pPr>
        <w:pStyle w:val="Compact"/>
        <w:numPr>
          <w:ilvl w:val="0"/>
          <w:numId w:val="104"/>
        </w:numPr>
        <w:rPr>
          <w:rFonts w:ascii="Calibri" w:hAnsi="Calibri"/>
        </w:rPr>
      </w:pPr>
      <w:r>
        <w:rPr>
          <w:rFonts w:ascii="Calibri" w:hAnsi="Calibri"/>
        </w:rPr>
        <w:t>Автоматический релиз</w:t>
      </w:r>
    </w:p>
    <w:p>
      <w:pPr>
        <w:pStyle w:val="Compact"/>
        <w:numPr>
          <w:ilvl w:val="0"/>
          <w:numId w:val="105"/>
        </w:numPr>
        <w:rPr>
          <w:rFonts w:ascii="Calibri" w:hAnsi="Calibri"/>
        </w:rPr>
      </w:pPr>
      <w:bookmarkStart w:id="44" w:name="фаза-2-эскроу"/>
      <w:r>
        <w:rPr>
          <w:rFonts w:ascii="Calibri" w:hAnsi="Calibri"/>
        </w:rPr>
        <w:t>Частичные возвраты</w:t>
      </w:r>
      <w:bookmarkEnd w:id="44"/>
    </w:p>
    <w:p>
      <w:pPr>
        <w:pStyle w:val="Heading3"/>
        <w:rPr/>
      </w:pPr>
      <w:bookmarkStart w:id="45" w:name="фаза-3-маркетплейс"/>
      <w:r>
        <w:rPr>
          <w:rFonts w:ascii="Calibri" w:hAnsi="Calibri"/>
        </w:rPr>
        <w:t>Фаза 3: Маркетплейс</w:t>
      </w:r>
    </w:p>
    <w:p>
      <w:pPr>
        <w:pStyle w:val="Compact"/>
        <w:numPr>
          <w:ilvl w:val="0"/>
          <w:numId w:val="106"/>
        </w:numPr>
        <w:rPr>
          <w:rFonts w:ascii="Calibri" w:hAnsi="Calibri"/>
        </w:rPr>
      </w:pPr>
      <w:r>
        <w:rPr>
          <w:rFonts w:ascii="Calibri" w:hAnsi="Calibri"/>
        </w:rPr>
        <w:t>Split-платежи</w:t>
      </w:r>
    </w:p>
    <w:p>
      <w:pPr>
        <w:pStyle w:val="Compact"/>
        <w:numPr>
          <w:ilvl w:val="0"/>
          <w:numId w:val="107"/>
        </w:numPr>
        <w:rPr>
          <w:rFonts w:ascii="Calibri" w:hAnsi="Calibri"/>
        </w:rPr>
      </w:pPr>
      <w:r>
        <w:rPr>
          <w:rFonts w:ascii="Calibri" w:hAnsi="Calibri"/>
        </w:rPr>
        <w:t>Массовые выплаты</w:t>
      </w:r>
    </w:p>
    <w:p>
      <w:pPr>
        <w:pStyle w:val="Compact"/>
        <w:numPr>
          <w:ilvl w:val="0"/>
          <w:numId w:val="108"/>
        </w:numPr>
        <w:rPr>
          <w:rFonts w:ascii="Calibri" w:hAnsi="Calibri"/>
        </w:rPr>
      </w:pPr>
      <w:r>
        <w:rPr>
          <w:rFonts w:ascii="Calibri" w:hAnsi="Calibri"/>
        </w:rPr>
        <w:t>KYC/KYB онбординг</w:t>
      </w:r>
    </w:p>
    <w:p>
      <w:pPr>
        <w:pStyle w:val="Compact"/>
        <w:numPr>
          <w:ilvl w:val="0"/>
          <w:numId w:val="109"/>
        </w:numPr>
        <w:rPr>
          <w:rFonts w:ascii="Calibri" w:hAnsi="Calibri"/>
        </w:rPr>
      </w:pPr>
      <w:bookmarkStart w:id="46" w:name="дорожная-карта-интеграции"/>
      <w:bookmarkStart w:id="47" w:name="фаза-3-маркетплейс"/>
      <w:r>
        <w:rPr>
          <w:rFonts w:ascii="Calibri" w:hAnsi="Calibri"/>
        </w:rPr>
        <w:t>Рекуррентные платежи</w:t>
      </w:r>
      <w:bookmarkEnd w:id="46"/>
      <w:bookmarkEnd w:id="47"/>
    </w:p>
    <w:p>
      <w:pPr>
        <w:pStyle w:val="Heading2"/>
        <w:rPr/>
      </w:pPr>
      <w:bookmarkStart w:id="48" w:name="критерии-выбора-партнера"/>
      <w:r>
        <w:rPr>
          <w:rFonts w:ascii="Calibri" w:hAnsi="Calibri"/>
        </w:rPr>
        <w:t>8. Критерии выбора партнера</w:t>
      </w:r>
    </w:p>
    <w:p>
      <w:pPr>
        <w:pStyle w:val="Heading3"/>
        <w:rPr/>
      </w:pPr>
      <w:bookmarkStart w:id="49" w:name="обязательные-требования"/>
      <w:r>
        <w:rPr>
          <w:rFonts w:ascii="Calibri" w:hAnsi="Calibri"/>
        </w:rPr>
        <w:t>Обязательные требования</w:t>
      </w:r>
    </w:p>
    <w:p>
      <w:pPr>
        <w:pStyle w:val="Compact"/>
        <w:numPr>
          <w:ilvl w:val="0"/>
          <w:numId w:val="110"/>
        </w:numPr>
        <w:rPr>
          <w:rFonts w:ascii="Calibri" w:hAnsi="Calibri"/>
        </w:rPr>
      </w:pPr>
      <w:r>
        <w:rPr>
          <w:rFonts w:ascii="Calibri" w:hAnsi="Calibri"/>
        </w:rPr>
        <w:t>Лицензия НБС на территории Сербии</w:t>
      </w:r>
    </w:p>
    <w:p>
      <w:pPr>
        <w:pStyle w:val="Compact"/>
        <w:numPr>
          <w:ilvl w:val="0"/>
          <w:numId w:val="111"/>
        </w:numPr>
        <w:rPr>
          <w:rFonts w:ascii="Calibri" w:hAnsi="Calibri"/>
        </w:rPr>
      </w:pPr>
      <w:r>
        <w:rPr>
          <w:rFonts w:ascii="Calibri" w:hAnsi="Calibri"/>
        </w:rPr>
        <w:t>Опыт работы с маркетплейсами</w:t>
      </w:r>
    </w:p>
    <w:p>
      <w:pPr>
        <w:pStyle w:val="Compact"/>
        <w:numPr>
          <w:ilvl w:val="0"/>
          <w:numId w:val="112"/>
        </w:numPr>
        <w:rPr>
          <w:rFonts w:ascii="Calibri" w:hAnsi="Calibri"/>
        </w:rPr>
      </w:pPr>
      <w:r>
        <w:rPr>
          <w:rFonts w:ascii="Calibri" w:hAnsi="Calibri"/>
        </w:rPr>
        <w:t>Поддержка эскроу и split-платежей (эскроу допустим средствами VISA и Mastercard)</w:t>
      </w:r>
    </w:p>
    <w:p>
      <w:pPr>
        <w:pStyle w:val="Compact"/>
        <w:numPr>
          <w:ilvl w:val="0"/>
          <w:numId w:val="113"/>
        </w:numPr>
        <w:rPr>
          <w:rFonts w:ascii="Calibri" w:hAnsi="Calibri"/>
        </w:rPr>
      </w:pPr>
      <w:bookmarkStart w:id="50" w:name="обязательные-требования"/>
      <w:r>
        <w:rPr>
          <w:rFonts w:ascii="Calibri" w:hAnsi="Calibri"/>
        </w:rPr>
        <w:t>API документация и sandbox</w:t>
      </w:r>
      <w:bookmarkEnd w:id="50"/>
    </w:p>
    <w:p>
      <w:pPr>
        <w:pStyle w:val="Heading3"/>
        <w:rPr/>
      </w:pPr>
      <w:bookmarkStart w:id="51" w:name="преимущества"/>
      <w:r>
        <w:rPr>
          <w:rFonts w:ascii="Calibri" w:hAnsi="Calibri"/>
        </w:rPr>
        <w:t>Преимущества</w:t>
      </w:r>
    </w:p>
    <w:p>
      <w:pPr>
        <w:pStyle w:val="Compact"/>
        <w:numPr>
          <w:ilvl w:val="0"/>
          <w:numId w:val="114"/>
        </w:numPr>
        <w:rPr>
          <w:rFonts w:ascii="Calibri" w:hAnsi="Calibri"/>
        </w:rPr>
      </w:pPr>
      <w:r>
        <w:rPr>
          <w:rFonts w:ascii="Calibri" w:hAnsi="Calibri"/>
        </w:rPr>
        <w:t>Готовые решения для маркетплейсов</w:t>
      </w:r>
    </w:p>
    <w:p>
      <w:pPr>
        <w:pStyle w:val="Compact"/>
        <w:numPr>
          <w:ilvl w:val="0"/>
          <w:numId w:val="115"/>
        </w:numPr>
        <w:rPr>
          <w:rFonts w:ascii="Calibri" w:hAnsi="Calibri"/>
        </w:rPr>
      </w:pPr>
      <w:bookmarkStart w:id="52" w:name="критерии-выбора-партнера"/>
      <w:bookmarkStart w:id="53" w:name="преимущества"/>
      <w:r>
        <w:rPr>
          <w:rFonts w:ascii="Calibri" w:hAnsi="Calibri"/>
        </w:rPr>
        <w:t>Конкурентные тарифы</w:t>
      </w:r>
      <w:bookmarkEnd w:id="52"/>
      <w:bookmarkEnd w:id="53"/>
    </w:p>
    <w:p>
      <w:pPr>
        <w:pStyle w:val="Heading2"/>
        <w:rPr/>
      </w:pPr>
      <w:bookmarkStart w:id="54" w:name="контактная-информация"/>
      <w:r>
        <w:rPr>
          <w:rFonts w:ascii="Calibri" w:hAnsi="Calibri"/>
        </w:rPr>
        <w:t>9. Контактная информация</w:t>
      </w:r>
    </w:p>
    <w:p>
      <w:pPr>
        <w:pStyle w:val="FirstParagraph"/>
        <w:rPr>
          <w:rFonts w:ascii="Calibri" w:hAnsi="Calibri"/>
        </w:rPr>
      </w:pPr>
      <w:r>
        <w:rPr>
          <w:rFonts w:ascii="Calibri" w:hAnsi="Calibri"/>
          <w:b/>
          <w:bCs/>
        </w:rPr>
        <w:t>Сайт</w:t>
      </w:r>
      <w:r>
        <w:rPr>
          <w:rFonts w:ascii="Calibri" w:hAnsi="Calibri"/>
        </w:rPr>
        <w:t>: https://dev.svetu.rs</w:t>
      </w:r>
      <w:bookmarkEnd w:id="54"/>
    </w:p>
    <w:p>
      <w:pPr>
        <w:pStyle w:val="Heading2"/>
        <w:rPr/>
      </w:pPr>
      <w:bookmarkStart w:id="55" w:name="приложения"/>
      <w:r>
        <w:rPr>
          <w:rFonts w:ascii="Calibri" w:hAnsi="Calibri"/>
        </w:rPr>
        <w:t>10. Приложения</w:t>
      </w:r>
    </w:p>
    <w:p>
      <w:pPr>
        <w:pStyle w:val="Heading3"/>
        <w:rPr/>
      </w:pPr>
      <w:bookmarkStart w:id="56" w:name="X7b6b4c8db6e68357e00f41d47b490de58e2a8c6"/>
      <w:r>
        <w:rPr>
          <w:rFonts w:ascii="Calibri" w:hAnsi="Calibri"/>
        </w:rPr>
        <w:t>Приложение А: Примеры сценариев использования</w:t>
      </w:r>
    </w:p>
    <w:p>
      <w:pPr>
        <w:pStyle w:val="Heading4"/>
        <w:rPr/>
      </w:pPr>
      <w:bookmarkStart w:id="57" w:name="сценарий-1-покупка-товара-в-витрине"/>
      <w:r>
        <w:rPr>
          <w:rFonts w:ascii="Calibri" w:hAnsi="Calibri"/>
        </w:rPr>
        <w:t>Сценарий 1: Покупка товара в витрине</w:t>
      </w:r>
    </w:p>
    <w:p>
      <w:pPr>
        <w:pStyle w:val="Compact"/>
        <w:numPr>
          <w:ilvl w:val="0"/>
          <w:numId w:val="116"/>
        </w:numPr>
        <w:rPr>
          <w:rFonts w:ascii="Calibri" w:hAnsi="Calibri"/>
        </w:rPr>
      </w:pPr>
      <w:r>
        <w:rPr>
          <w:rFonts w:ascii="Calibri" w:hAnsi="Calibri"/>
        </w:rPr>
        <w:t>Покупатель выбирает товар за 10,000 RSD</w:t>
      </w:r>
    </w:p>
    <w:p>
      <w:pPr>
        <w:pStyle w:val="Compact"/>
        <w:numPr>
          <w:ilvl w:val="0"/>
          <w:numId w:val="117"/>
        </w:numPr>
        <w:rPr>
          <w:rFonts w:ascii="Calibri" w:hAnsi="Calibri"/>
        </w:rPr>
      </w:pPr>
      <w:r>
        <w:rPr>
          <w:rFonts w:ascii="Calibri" w:hAnsi="Calibri"/>
        </w:rPr>
        <w:t>Оплачивает картой через платежный шлюз</w:t>
      </w:r>
    </w:p>
    <w:p>
      <w:pPr>
        <w:pStyle w:val="Compact"/>
        <w:numPr>
          <w:ilvl w:val="0"/>
          <w:numId w:val="118"/>
        </w:numPr>
        <w:rPr>
          <w:rFonts w:ascii="Calibri" w:hAnsi="Calibri"/>
        </w:rPr>
      </w:pPr>
      <w:r>
        <w:rPr>
          <w:rFonts w:ascii="Calibri" w:hAnsi="Calibri"/>
        </w:rPr>
        <w:t>Средства холдируются на 7 дней</w:t>
      </w:r>
    </w:p>
    <w:p>
      <w:pPr>
        <w:pStyle w:val="Compact"/>
        <w:numPr>
          <w:ilvl w:val="0"/>
          <w:numId w:val="119"/>
        </w:numPr>
        <w:rPr>
          <w:rFonts w:ascii="Calibri" w:hAnsi="Calibri"/>
        </w:rPr>
      </w:pPr>
      <w:r>
        <w:rPr>
          <w:rFonts w:ascii="Calibri" w:hAnsi="Calibri"/>
        </w:rPr>
        <w:t>После подтверждения доставки:</w:t>
      </w:r>
    </w:p>
    <w:p>
      <w:pPr>
        <w:pStyle w:val="Compact"/>
        <w:numPr>
          <w:ilvl w:val="1"/>
          <w:numId w:val="120"/>
        </w:numPr>
        <w:rPr>
          <w:rFonts w:ascii="Calibri" w:hAnsi="Calibri"/>
        </w:rPr>
      </w:pPr>
      <w:r>
        <w:rPr>
          <w:rFonts w:ascii="Calibri" w:hAnsi="Calibri"/>
        </w:rPr>
        <w:t>Продавец получает: 9,500 RSD</w:t>
      </w:r>
    </w:p>
    <w:p>
      <w:pPr>
        <w:pStyle w:val="Compact"/>
        <w:numPr>
          <w:ilvl w:val="1"/>
          <w:numId w:val="121"/>
        </w:numPr>
        <w:rPr>
          <w:rFonts w:ascii="Calibri" w:hAnsi="Calibri"/>
        </w:rPr>
      </w:pPr>
      <w:r>
        <w:rPr>
          <w:rFonts w:ascii="Calibri" w:hAnsi="Calibri"/>
        </w:rPr>
        <w:t>Маркетплейс: 300 RSD (3%)</w:t>
      </w:r>
    </w:p>
    <w:p>
      <w:pPr>
        <w:pStyle w:val="Compact"/>
        <w:numPr>
          <w:ilvl w:val="1"/>
          <w:numId w:val="122"/>
        </w:numPr>
        <w:rPr>
          <w:rFonts w:ascii="Calibri" w:hAnsi="Calibri"/>
        </w:rPr>
      </w:pPr>
      <w:bookmarkStart w:id="58" w:name="сценарий-1-покупка-товара-в-витрине"/>
      <w:r>
        <w:rPr>
          <w:rFonts w:ascii="Calibri" w:hAnsi="Calibri"/>
        </w:rPr>
        <w:t>Платежная система: 200 RSD (2%)</w:t>
      </w:r>
      <w:bookmarkEnd w:id="58"/>
    </w:p>
    <w:p>
      <w:pPr>
        <w:pStyle w:val="Heading4"/>
        <w:rPr/>
      </w:pPr>
      <w:bookmarkStart w:id="59" w:name="сценарий-2-c2c-сделка-с-доставкой"/>
      <w:r>
        <w:rPr>
          <w:rFonts w:ascii="Calibri" w:hAnsi="Calibri"/>
        </w:rPr>
        <w:t>Сценарий 2: C2C сделка с доставкой</w:t>
      </w:r>
    </w:p>
    <w:p>
      <w:pPr>
        <w:pStyle w:val="Compact"/>
        <w:numPr>
          <w:ilvl w:val="0"/>
          <w:numId w:val="123"/>
        </w:numPr>
        <w:rPr>
          <w:rFonts w:ascii="Calibri" w:hAnsi="Calibri"/>
        </w:rPr>
      </w:pPr>
      <w:r>
        <w:rPr>
          <w:rFonts w:ascii="Calibri" w:hAnsi="Calibri"/>
        </w:rPr>
        <w:t>Покупатель покупает б/у телефон за 30,000 RSD</w:t>
      </w:r>
    </w:p>
    <w:p>
      <w:pPr>
        <w:pStyle w:val="Compact"/>
        <w:numPr>
          <w:ilvl w:val="0"/>
          <w:numId w:val="124"/>
        </w:numPr>
        <w:rPr>
          <w:rFonts w:ascii="Calibri" w:hAnsi="Calibri"/>
        </w:rPr>
      </w:pPr>
      <w:r>
        <w:rPr>
          <w:rFonts w:ascii="Calibri" w:hAnsi="Calibri"/>
        </w:rPr>
        <w:t>Оплата через эквайринг</w:t>
      </w:r>
    </w:p>
    <w:p>
      <w:pPr>
        <w:pStyle w:val="Compact"/>
        <w:numPr>
          <w:ilvl w:val="0"/>
          <w:numId w:val="125"/>
        </w:numPr>
        <w:rPr>
          <w:rFonts w:ascii="Calibri" w:hAnsi="Calibri"/>
        </w:rPr>
      </w:pPr>
      <w:r>
        <w:rPr>
          <w:rFonts w:ascii="Calibri" w:hAnsi="Calibri"/>
        </w:rPr>
        <w:t>Холдирование на 14 дней</w:t>
      </w:r>
    </w:p>
    <w:p>
      <w:pPr>
        <w:pStyle w:val="Compact"/>
        <w:numPr>
          <w:ilvl w:val="0"/>
          <w:numId w:val="126"/>
        </w:numPr>
        <w:rPr>
          <w:rFonts w:ascii="Calibri" w:hAnsi="Calibri"/>
        </w:rPr>
      </w:pPr>
      <w:r>
        <w:rPr>
          <w:rFonts w:ascii="Calibri" w:hAnsi="Calibri"/>
        </w:rPr>
        <w:t>Распределение после получения:</w:t>
      </w:r>
    </w:p>
    <w:p>
      <w:pPr>
        <w:pStyle w:val="Compact"/>
        <w:numPr>
          <w:ilvl w:val="1"/>
          <w:numId w:val="127"/>
        </w:numPr>
        <w:rPr>
          <w:rFonts w:ascii="Calibri" w:hAnsi="Calibri"/>
        </w:rPr>
      </w:pPr>
      <w:r>
        <w:rPr>
          <w:rFonts w:ascii="Calibri" w:hAnsi="Calibri"/>
        </w:rPr>
        <w:t>Продавец: 27,900 RSD</w:t>
      </w:r>
    </w:p>
    <w:p>
      <w:pPr>
        <w:pStyle w:val="Compact"/>
        <w:numPr>
          <w:ilvl w:val="1"/>
          <w:numId w:val="128"/>
        </w:numPr>
        <w:rPr>
          <w:rFonts w:ascii="Calibri" w:hAnsi="Calibri"/>
        </w:rPr>
      </w:pPr>
      <w:r>
        <w:rPr>
          <w:rFonts w:ascii="Calibri" w:hAnsi="Calibri"/>
        </w:rPr>
        <w:t>Маркетплейс: 1,500 RSD (5%)</w:t>
      </w:r>
    </w:p>
    <w:p>
      <w:pPr>
        <w:pStyle w:val="Compact"/>
        <w:numPr>
          <w:ilvl w:val="1"/>
          <w:numId w:val="129"/>
        </w:numPr>
        <w:rPr>
          <w:rFonts w:ascii="Calibri" w:hAnsi="Calibri"/>
        </w:rPr>
      </w:pPr>
      <w:bookmarkStart w:id="60" w:name="сценарий-2-c2c-сделка-с-доставкой"/>
      <w:r>
        <w:rPr>
          <w:rFonts w:ascii="Calibri" w:hAnsi="Calibri"/>
        </w:rPr>
        <w:t>Доставка: 600 RSD (2%)</w:t>
      </w:r>
      <w:bookmarkEnd w:id="60"/>
    </w:p>
    <w:p>
      <w:pPr>
        <w:pStyle w:val="Heading4"/>
        <w:rPr/>
      </w:pPr>
      <w:bookmarkStart w:id="61" w:name="сценарий-3-подписка-на-витрину"/>
      <w:r>
        <w:rPr>
          <w:rFonts w:ascii="Calibri" w:hAnsi="Calibri"/>
        </w:rPr>
        <w:t>Сценарий 3: Подписка на витрину</w:t>
      </w:r>
    </w:p>
    <w:p>
      <w:pPr>
        <w:pStyle w:val="Compact"/>
        <w:numPr>
          <w:ilvl w:val="0"/>
          <w:numId w:val="130"/>
        </w:numPr>
        <w:rPr>
          <w:rFonts w:ascii="Calibri" w:hAnsi="Calibri"/>
        </w:rPr>
      </w:pPr>
      <w:r>
        <w:rPr>
          <w:rFonts w:ascii="Calibri" w:hAnsi="Calibri"/>
        </w:rPr>
        <w:t>Продавец оформляет подписку Professional</w:t>
      </w:r>
    </w:p>
    <w:p>
      <w:pPr>
        <w:pStyle w:val="Compact"/>
        <w:numPr>
          <w:ilvl w:val="0"/>
          <w:numId w:val="131"/>
        </w:numPr>
        <w:rPr>
          <w:rFonts w:ascii="Calibri" w:hAnsi="Calibri"/>
        </w:rPr>
      </w:pPr>
      <w:r>
        <w:rPr>
          <w:rFonts w:ascii="Calibri" w:hAnsi="Calibri"/>
        </w:rPr>
        <w:t>Ежемесячный платеж 5,000 RSD</w:t>
      </w:r>
    </w:p>
    <w:p>
      <w:pPr>
        <w:pStyle w:val="Compact"/>
        <w:numPr>
          <w:ilvl w:val="0"/>
          <w:numId w:val="132"/>
        </w:numPr>
        <w:rPr>
          <w:rFonts w:ascii="Calibri" w:hAnsi="Calibri"/>
        </w:rPr>
      </w:pPr>
      <w:r>
        <w:rPr>
          <w:rFonts w:ascii="Calibri" w:hAnsi="Calibri"/>
        </w:rPr>
        <w:t>Автоматическое продление</w:t>
      </w:r>
    </w:p>
    <w:p>
      <w:pPr>
        <w:pStyle w:val="Compact"/>
        <w:numPr>
          <w:ilvl w:val="0"/>
          <w:numId w:val="133"/>
        </w:numPr>
        <w:spacing w:before="36" w:after="36"/>
        <w:rPr>
          <w:rFonts w:ascii="Calibri" w:hAnsi="Calibri"/>
        </w:rPr>
      </w:pPr>
      <w:bookmarkStart w:id="62" w:name="X4b65b0f74d6aee33a388f84e0772c3fb77e821e"/>
      <w:bookmarkStart w:id="63" w:name="приложения"/>
      <w:bookmarkStart w:id="64" w:name="X7b6b4c8db6e68357e00f41d47b490de58e2a8c6"/>
      <w:bookmarkStart w:id="65" w:name="сценарий-3-подписка-на-витрину"/>
      <w:r>
        <w:rPr>
          <w:rFonts w:ascii="Calibri" w:hAnsi="Calibri"/>
        </w:rPr>
        <w:t>Весь платеж идет маркетплейсу</w:t>
      </w:r>
      <w:bookmarkEnd w:id="62"/>
      <w:bookmarkEnd w:id="63"/>
      <w:bookmarkEnd w:id="64"/>
      <w:bookmarkEnd w:id="65"/>
    </w:p>
    <w:sectPr>
      <w:type w:val="nextPage"/>
      <w:pgSz w:w="12240" w:h="15840"/>
      <w:pgMar w:left="1440" w:right="1440" w:gutter="0" w:header="0" w:top="126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"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5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7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9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1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1"/>
  </w:num>
  <w:num w:numId="34">
    <w:abstractNumId w:val="1"/>
  </w:num>
  <w:num w:numId="35">
    <w:abstractNumId w:val="1"/>
  </w:num>
  <w:num w:numId="36">
    <w:abstractNumId w:val="1"/>
  </w:num>
  <w:num w:numId="37">
    <w:abstractNumId w:val="1"/>
  </w:num>
  <w:num w:numId="38">
    <w:abstractNumId w:val="1"/>
  </w:num>
  <w:num w:numId="39">
    <w:abstractNumId w:val="1"/>
  </w:num>
  <w:num w:numId="40">
    <w:abstractNumId w:val="1"/>
  </w:num>
  <w:num w:numId="41">
    <w:abstractNumId w:val="1"/>
  </w:num>
  <w:num w:numId="42">
    <w:abstractNumId w:val="1"/>
  </w:num>
  <w:num w:numId="43">
    <w:abstractNumId w:val="1"/>
  </w:num>
  <w:num w:numId="44">
    <w:abstractNumId w:val="1"/>
  </w:num>
  <w:num w:numId="45">
    <w:abstractNumId w:val="1"/>
  </w:num>
  <w:num w:numId="46">
    <w:abstractNumId w:val="1"/>
  </w:num>
  <w:num w:numId="47">
    <w:abstractNumId w:val="1"/>
  </w:num>
  <w:num w:numId="48">
    <w:abstractNumId w:val="1"/>
  </w:num>
  <w:num w:numId="49">
    <w:abstractNumId w:val="1"/>
  </w:num>
  <w:num w:numId="50">
    <w:abstractNumId w:val="1"/>
  </w:num>
  <w:num w:numId="51">
    <w:abstractNumId w:val="1"/>
  </w:num>
  <w:num w:numId="52">
    <w:abstractNumId w:val="1"/>
  </w:num>
  <w:num w:numId="53">
    <w:abstractNumId w:val="1"/>
  </w:num>
  <w:num w:numId="54">
    <w:abstractNumId w:val="1"/>
  </w:num>
  <w:num w:numId="55">
    <w:abstractNumId w:val="10"/>
    <w:lvlOverride w:ilvl="0">
      <w:startOverride w:val="1"/>
    </w:lvlOverride>
  </w:num>
  <w:num w:numId="56">
    <w:abstractNumId w:val="1"/>
  </w:num>
  <w:num w:numId="57">
    <w:abstractNumId w:val="1"/>
  </w:num>
  <w:num w:numId="58">
    <w:abstractNumId w:val="1"/>
  </w:num>
  <w:num w:numId="59">
    <w:abstractNumId w:val="1"/>
  </w:num>
  <w:num w:numId="60">
    <w:abstractNumId w:val="1"/>
  </w:num>
  <w:num w:numId="61">
    <w:abstractNumId w:val="1"/>
  </w:num>
  <w:num w:numId="62">
    <w:abstractNumId w:val="1"/>
  </w:num>
  <w:num w:numId="63">
    <w:abstractNumId w:val="1"/>
  </w:num>
  <w:num w:numId="64">
    <w:abstractNumId w:val="1"/>
  </w:num>
  <w:num w:numId="65">
    <w:abstractNumId w:val="1"/>
  </w:num>
  <w:num w:numId="66">
    <w:abstractNumId w:val="1"/>
  </w:num>
  <w:num w:numId="67">
    <w:abstractNumId w:val="1"/>
  </w:num>
  <w:num w:numId="68">
    <w:abstractNumId w:val="1"/>
  </w:num>
  <w:num w:numId="69">
    <w:abstractNumId w:val="1"/>
  </w:num>
  <w:num w:numId="70">
    <w:abstractNumId w:val="1"/>
  </w:num>
  <w:num w:numId="71">
    <w:abstractNumId w:val="1"/>
  </w:num>
  <w:num w:numId="72">
    <w:abstractNumId w:val="1"/>
  </w:num>
  <w:num w:numId="73">
    <w:abstractNumId w:val="1"/>
  </w:num>
  <w:num w:numId="74">
    <w:abstractNumId w:val="1"/>
  </w:num>
  <w:num w:numId="75">
    <w:abstractNumId w:val="1"/>
  </w:num>
  <w:num w:numId="76">
    <w:abstractNumId w:val="1"/>
  </w:num>
  <w:num w:numId="77">
    <w:abstractNumId w:val="1"/>
  </w:num>
  <w:num w:numId="78">
    <w:abstractNumId w:val="1"/>
  </w:num>
  <w:num w:numId="79">
    <w:abstractNumId w:val="1"/>
  </w:num>
  <w:num w:numId="80">
    <w:abstractNumId w:val="1"/>
  </w:num>
  <w:num w:numId="81">
    <w:abstractNumId w:val="1"/>
  </w:num>
  <w:num w:numId="82">
    <w:abstractNumId w:val="1"/>
  </w:num>
  <w:num w:numId="83">
    <w:abstractNumId w:val="1"/>
  </w:num>
  <w:num w:numId="84">
    <w:abstractNumId w:val="1"/>
  </w:num>
  <w:num w:numId="85">
    <w:abstractNumId w:val="1"/>
  </w:num>
  <w:num w:numId="86">
    <w:abstractNumId w:val="1"/>
  </w:num>
  <w:num w:numId="87">
    <w:abstractNumId w:val="1"/>
  </w:num>
  <w:num w:numId="88">
    <w:abstractNumId w:val="1"/>
  </w:num>
  <w:num w:numId="89">
    <w:abstractNumId w:val="1"/>
  </w:num>
  <w:num w:numId="90">
    <w:abstractNumId w:val="1"/>
  </w:num>
  <w:num w:numId="91">
    <w:abstractNumId w:val="1"/>
  </w:num>
  <w:num w:numId="92">
    <w:abstractNumId w:val="1"/>
  </w:num>
  <w:num w:numId="93">
    <w:abstractNumId w:val="1"/>
  </w:num>
  <w:num w:numId="94">
    <w:abstractNumId w:val="1"/>
  </w:num>
  <w:num w:numId="95">
    <w:abstractNumId w:val="1"/>
  </w:num>
  <w:num w:numId="96">
    <w:abstractNumId w:val="1"/>
  </w:num>
  <w:num w:numId="97">
    <w:abstractNumId w:val="1"/>
  </w:num>
  <w:num w:numId="98">
    <w:abstractNumId w:val="1"/>
  </w:num>
  <w:num w:numId="99">
    <w:abstractNumId w:val="1"/>
  </w:num>
  <w:num w:numId="100">
    <w:abstractNumId w:val="1"/>
  </w:num>
  <w:num w:numId="101">
    <w:abstractNumId w:val="1"/>
  </w:num>
  <w:num w:numId="102">
    <w:abstractNumId w:val="1"/>
  </w:num>
  <w:num w:numId="103">
    <w:abstractNumId w:val="1"/>
  </w:num>
  <w:num w:numId="104">
    <w:abstractNumId w:val="1"/>
  </w:num>
  <w:num w:numId="105">
    <w:abstractNumId w:val="1"/>
  </w:num>
  <w:num w:numId="106">
    <w:abstractNumId w:val="1"/>
  </w:num>
  <w:num w:numId="107">
    <w:abstractNumId w:val="1"/>
  </w:num>
  <w:num w:numId="108">
    <w:abstractNumId w:val="1"/>
  </w:num>
  <w:num w:numId="109">
    <w:abstractNumId w:val="1"/>
  </w:num>
  <w:num w:numId="110">
    <w:abstractNumId w:val="10"/>
    <w:lvlOverride w:ilvl="0">
      <w:startOverride w:val="1"/>
    </w:lvlOverride>
  </w:num>
  <w:num w:numId="111">
    <w:abstractNumId w:val="10"/>
  </w:num>
  <w:num w:numId="112">
    <w:abstractNumId w:val="10"/>
  </w:num>
  <w:num w:numId="113">
    <w:abstractNumId w:val="10"/>
  </w:num>
  <w:num w:numId="114">
    <w:abstractNumId w:val="1"/>
  </w:num>
  <w:num w:numId="115">
    <w:abstractNumId w:val="1"/>
  </w:num>
  <w:num w:numId="116">
    <w:abstractNumId w:val="10"/>
    <w:lvlOverride w:ilvl="0">
      <w:startOverride w:val="1"/>
    </w:lvlOverride>
  </w:num>
  <w:num w:numId="117">
    <w:abstractNumId w:val="10"/>
  </w:num>
  <w:num w:numId="118">
    <w:abstractNumId w:val="10"/>
  </w:num>
  <w:num w:numId="119">
    <w:abstractNumId w:val="10"/>
  </w:num>
  <w:num w:numId="120">
    <w:abstractNumId w:val="1"/>
  </w:num>
  <w:num w:numId="121">
    <w:abstractNumId w:val="1"/>
  </w:num>
  <w:num w:numId="122">
    <w:abstractNumId w:val="1"/>
  </w:num>
  <w:num w:numId="123">
    <w:abstractNumId w:val="10"/>
    <w:lvlOverride w:ilvl="0">
      <w:startOverride w:val="1"/>
    </w:lvlOverride>
  </w:num>
  <w:num w:numId="124">
    <w:abstractNumId w:val="10"/>
  </w:num>
  <w:num w:numId="125">
    <w:abstractNumId w:val="10"/>
  </w:num>
  <w:num w:numId="126">
    <w:abstractNumId w:val="10"/>
  </w:num>
  <w:num w:numId="127">
    <w:abstractNumId w:val="1"/>
  </w:num>
  <w:num w:numId="128">
    <w:abstractNumId w:val="1"/>
  </w:num>
  <w:num w:numId="129">
    <w:abstractNumId w:val="1"/>
  </w:num>
  <w:num w:numId="130">
    <w:abstractNumId w:val="10"/>
    <w:lvlOverride w:ilvl="0">
      <w:startOverride w:val="1"/>
    </w:lvlOverride>
  </w:num>
  <w:num w:numId="131">
    <w:abstractNumId w:val="10"/>
  </w:num>
  <w:num w:numId="132">
    <w:abstractNumId w:val="10"/>
  </w:num>
  <w:num w:numId="133">
    <w:abstractNumId w:val="10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ru-RU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204A87"/>
      <w:shd w:fill="F8F8F8" w:val="clear"/>
    </w:rPr>
  </w:style>
  <w:style w:type="character" w:styleId="DataTypeTok" w:customStyle="1">
    <w:name w:val="DataTypeTok"/>
    <w:basedOn w:val="VerbatimChar"/>
    <w:qFormat/>
    <w:rPr>
      <w:color w:val="204A87"/>
      <w:shd w:fill="F8F8F8" w:val="clear"/>
    </w:rPr>
  </w:style>
  <w:style w:type="character" w:styleId="DecValTok" w:customStyle="1">
    <w:name w:val="DecValTok"/>
    <w:basedOn w:val="VerbatimChar"/>
    <w:qFormat/>
    <w:rPr>
      <w:color w:val="0000CF"/>
      <w:shd w:fill="F8F8F8" w:val="clear"/>
    </w:rPr>
  </w:style>
  <w:style w:type="character" w:styleId="BaseNTok" w:customStyle="1">
    <w:name w:val="BaseNTok"/>
    <w:basedOn w:val="VerbatimChar"/>
    <w:qFormat/>
    <w:rPr>
      <w:color w:val="0000CF"/>
      <w:shd w:fill="F8F8F8" w:val="clear"/>
    </w:rPr>
  </w:style>
  <w:style w:type="character" w:styleId="FloatTok" w:customStyle="1">
    <w:name w:val="FloatTok"/>
    <w:basedOn w:val="VerbatimChar"/>
    <w:qFormat/>
    <w:rPr>
      <w:color w:val="0000CF"/>
      <w:shd w:fill="F8F8F8" w:val="clear"/>
    </w:rPr>
  </w:style>
  <w:style w:type="character" w:styleId="ConstantTok" w:customStyle="1">
    <w:name w:val="ConstantTok"/>
    <w:basedOn w:val="VerbatimChar"/>
    <w:qFormat/>
    <w:rPr>
      <w:color w:val="8F5902"/>
      <w:shd w:fill="F8F8F8" w:val="clear"/>
    </w:rPr>
  </w:style>
  <w:style w:type="character" w:styleId="CharTok" w:customStyle="1">
    <w:name w:val="CharTok"/>
    <w:basedOn w:val="VerbatimChar"/>
    <w:qFormat/>
    <w:rPr>
      <w:color w:val="4E9A06"/>
      <w:shd w:fill="F8F8F8" w:val="clear"/>
    </w:rPr>
  </w:style>
  <w:style w:type="character" w:styleId="SpecialCharTok" w:customStyle="1">
    <w:name w:val="SpecialCharTok"/>
    <w:basedOn w:val="VerbatimChar"/>
    <w:qFormat/>
    <w:rPr>
      <w:b/>
      <w:color w:val="CE5C00"/>
      <w:shd w:fill="F8F8F8" w:val="clear"/>
    </w:rPr>
  </w:style>
  <w:style w:type="character" w:styleId="StringTok" w:customStyle="1">
    <w:name w:val="StringTok"/>
    <w:basedOn w:val="VerbatimChar"/>
    <w:qFormat/>
    <w:rPr>
      <w:color w:val="4E9A06"/>
      <w:shd w:fill="F8F8F8" w:val="clear"/>
    </w:rPr>
  </w:style>
  <w:style w:type="character" w:styleId="VerbatimStringTok" w:customStyle="1">
    <w:name w:val="VerbatimStringTok"/>
    <w:basedOn w:val="VerbatimChar"/>
    <w:qFormat/>
    <w:rPr>
      <w:color w:val="4E9A06"/>
      <w:shd w:fill="F8F8F8" w:val="clear"/>
    </w:rPr>
  </w:style>
  <w:style w:type="character" w:styleId="SpecialStringTok" w:customStyle="1">
    <w:name w:val="SpecialStringTok"/>
    <w:basedOn w:val="VerbatimChar"/>
    <w:qFormat/>
    <w:rPr>
      <w:color w:val="4E9A06"/>
      <w:shd w:fill="F8F8F8" w:val="clear"/>
    </w:rPr>
  </w:style>
  <w:style w:type="character" w:styleId="ImportTok" w:customStyle="1">
    <w:name w:val="ImportTok"/>
    <w:basedOn w:val="VerbatimChar"/>
    <w:qFormat/>
    <w:rPr>
      <w:shd w:fill="F8F8F8" w:val="clear"/>
    </w:rPr>
  </w:style>
  <w:style w:type="character" w:styleId="CommentTok" w:customStyle="1">
    <w:name w:val="CommentTok"/>
    <w:basedOn w:val="VerbatimChar"/>
    <w:qFormat/>
    <w:rPr>
      <w:i/>
      <w:color w:val="8F5902"/>
      <w:shd w:fill="F8F8F8" w:val="clear"/>
    </w:rPr>
  </w:style>
  <w:style w:type="character" w:styleId="DocumentationTok" w:customStyle="1">
    <w:name w:val="DocumentationTok"/>
    <w:basedOn w:val="VerbatimChar"/>
    <w:qFormat/>
    <w:rPr>
      <w:b/>
      <w:i/>
      <w:color w:val="8F5902"/>
      <w:shd w:fill="F8F8F8" w:val="clear"/>
    </w:rPr>
  </w:style>
  <w:style w:type="character" w:styleId="AnnotationTok" w:customStyle="1">
    <w:name w:val="AnnotationTok"/>
    <w:basedOn w:val="VerbatimChar"/>
    <w:qFormat/>
    <w:rPr>
      <w:b/>
      <w:i/>
      <w:color w:val="8F5902"/>
      <w:shd w:fill="F8F8F8" w:val="clear"/>
    </w:rPr>
  </w:style>
  <w:style w:type="character" w:styleId="CommentVarTok" w:customStyle="1">
    <w:name w:val="CommentVarTok"/>
    <w:basedOn w:val="VerbatimChar"/>
    <w:qFormat/>
    <w:rPr>
      <w:b/>
      <w:i/>
      <w:color w:val="8F5902"/>
      <w:shd w:fill="F8F8F8" w:val="clear"/>
    </w:rPr>
  </w:style>
  <w:style w:type="character" w:styleId="OtherTok" w:customStyle="1">
    <w:name w:val="OtherTok"/>
    <w:basedOn w:val="VerbatimChar"/>
    <w:qFormat/>
    <w:rPr>
      <w:color w:val="8F5902"/>
      <w:shd w:fill="F8F8F8" w:val="clear"/>
    </w:rPr>
  </w:style>
  <w:style w:type="character" w:styleId="FunctionTok" w:customStyle="1">
    <w:name w:val="FunctionTok"/>
    <w:basedOn w:val="VerbatimChar"/>
    <w:qFormat/>
    <w:rPr>
      <w:b/>
      <w:color w:val="204A87"/>
      <w:shd w:fill="F8F8F8" w:val="clear"/>
    </w:rPr>
  </w:style>
  <w:style w:type="character" w:styleId="VariableTok" w:customStyle="1">
    <w:name w:val="VariableTok"/>
    <w:basedOn w:val="VerbatimChar"/>
    <w:qFormat/>
    <w:rPr>
      <w:color w:val="000000"/>
      <w:shd w:fill="F8F8F8" w:val="clear"/>
    </w:rPr>
  </w:style>
  <w:style w:type="character" w:styleId="ControlFlowTok" w:customStyle="1">
    <w:name w:val="ControlFlowTok"/>
    <w:basedOn w:val="VerbatimChar"/>
    <w:qFormat/>
    <w:rPr>
      <w:b/>
      <w:color w:val="204A87"/>
      <w:shd w:fill="F8F8F8" w:val="clear"/>
    </w:rPr>
  </w:style>
  <w:style w:type="character" w:styleId="OperatorTok" w:customStyle="1">
    <w:name w:val="OperatorTok"/>
    <w:basedOn w:val="VerbatimChar"/>
    <w:qFormat/>
    <w:rPr>
      <w:b/>
      <w:color w:val="CE5C00"/>
      <w:shd w:fill="F8F8F8" w:val="clear"/>
    </w:rPr>
  </w:style>
  <w:style w:type="character" w:styleId="BuiltInTok" w:customStyle="1">
    <w:name w:val="BuiltInTok"/>
    <w:basedOn w:val="VerbatimChar"/>
    <w:qFormat/>
    <w:rPr>
      <w:shd w:fill="F8F8F8" w:val="clear"/>
    </w:rPr>
  </w:style>
  <w:style w:type="character" w:styleId="ExtensionTok" w:customStyle="1">
    <w:name w:val="ExtensionTok"/>
    <w:basedOn w:val="VerbatimChar"/>
    <w:qFormat/>
    <w:rPr>
      <w:shd w:fill="F8F8F8" w:val="clear"/>
    </w:rPr>
  </w:style>
  <w:style w:type="character" w:styleId="PreprocessorTok" w:customStyle="1">
    <w:name w:val="PreprocessorTok"/>
    <w:basedOn w:val="VerbatimChar"/>
    <w:qFormat/>
    <w:rPr>
      <w:i/>
      <w:color w:val="8F5902"/>
      <w:shd w:fill="F8F8F8" w:val="clear"/>
    </w:rPr>
  </w:style>
  <w:style w:type="character" w:styleId="AttributeTok" w:customStyle="1">
    <w:name w:val="AttributeTok"/>
    <w:basedOn w:val="VerbatimChar"/>
    <w:qFormat/>
    <w:rPr>
      <w:color w:val="204A87"/>
      <w:shd w:fill="F8F8F8" w:val="clear"/>
    </w:rPr>
  </w:style>
  <w:style w:type="character" w:styleId="RegionMarkerTok" w:customStyle="1">
    <w:name w:val="RegionMarkerTok"/>
    <w:basedOn w:val="VerbatimChar"/>
    <w:qFormat/>
    <w:rPr>
      <w:shd w:fill="F8F8F8" w:val="clear"/>
    </w:rPr>
  </w:style>
  <w:style w:type="character" w:styleId="InformationTok" w:customStyle="1">
    <w:name w:val="InformationTok"/>
    <w:basedOn w:val="VerbatimChar"/>
    <w:qFormat/>
    <w:rPr>
      <w:b/>
      <w:i/>
      <w:color w:val="8F5902"/>
      <w:shd w:fill="F8F8F8" w:val="clear"/>
    </w:rPr>
  </w:style>
  <w:style w:type="character" w:styleId="WarningTok" w:customStyle="1">
    <w:name w:val="WarningTok"/>
    <w:basedOn w:val="VerbatimChar"/>
    <w:qFormat/>
    <w:rPr>
      <w:b/>
      <w:i/>
      <w:color w:val="8F5902"/>
      <w:shd w:fill="F8F8F8" w:val="clear"/>
    </w:rPr>
  </w:style>
  <w:style w:type="character" w:styleId="AlertTok" w:customStyle="1">
    <w:name w:val="AlertTok"/>
    <w:basedOn w:val="VerbatimChar"/>
    <w:qFormat/>
    <w:rPr>
      <w:color w:val="EF2929"/>
      <w:shd w:fill="F8F8F8" w:val="clear"/>
    </w:rPr>
  </w:style>
  <w:style w:type="character" w:styleId="ErrorTok" w:customStyle="1">
    <w:name w:val="ErrorTok"/>
    <w:basedOn w:val="VerbatimChar"/>
    <w:qFormat/>
    <w:rPr>
      <w:b/>
      <w:color w:val="A40000"/>
      <w:shd w:fill="F8F8F8" w:val="clear"/>
    </w:rPr>
  </w:style>
  <w:style w:type="character" w:styleId="NormalTok" w:customStyle="1">
    <w:name w:val="NormalTok"/>
    <w:basedOn w:val="VerbatimChar"/>
    <w:qFormat/>
    <w:rPr>
      <w:shd w:fill="F8F8F8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ru-RU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ru-RU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>
      <w:shd w:val="clear" w:fill="F8F8F8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Application>LibreOffice/24.2.7.2$Linux_X86_64 LibreOffice_project/420$Build-2</Application>
  <AppVersion>15.0000</AppVersion>
  <Pages>7</Pages>
  <Words>1279</Words>
  <Characters>8077</Characters>
  <CharactersWithSpaces>9083</CharactersWithSpaces>
  <Paragraphs>184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2025-09-29T13:57:31Z</dcterms:created>
  <dc:creator>Sve Tu Development Team</dc:creator>
  <dc:description/>
  <dc:language>ru-RU</dc:language>
  <cp:lastModifiedBy/>
  <dcterms:modified xsi:type="dcterms:W3CDTF">2025-09-29T16:22:23Z</dcterms:modified>
  <cp:revision>3</cp:revision>
  <dc:subject>Техническое задание для финансовых операторов маркетплейса</dc:subject>
  <dc:title>Техническое задание для финансовых операторов маркетплейса Sve Tu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lorlinks">
    <vt:lpwstr>True</vt:lpwstr>
  </property>
  <property fmtid="{D5CDD505-2E9C-101B-9397-08002B2CF9AE}" pid="3" name="date">
    <vt:lpwstr>29 сентября 2025</vt:lpwstr>
  </property>
  <property fmtid="{D5CDD505-2E9C-101B-9397-08002B2CF9AE}" pid="4" name="fontsize">
    <vt:lpwstr>11pt</vt:lpwstr>
  </property>
  <property fmtid="{D5CDD505-2E9C-101B-9397-08002B2CF9AE}" pid="5" name="geometry">
    <vt:lpwstr>margin=2.5cm</vt:lpwstr>
  </property>
  <property fmtid="{D5CDD505-2E9C-101B-9397-08002B2CF9AE}" pid="6" name="header-includes">
    <vt:lpwstr/>
  </property>
  <property fmtid="{D5CDD505-2E9C-101B-9397-08002B2CF9AE}" pid="7" name="linkcolor">
    <vt:lpwstr>blue</vt:lpwstr>
  </property>
  <property fmtid="{D5CDD505-2E9C-101B-9397-08002B2CF9AE}" pid="8" name="mainfont">
    <vt:lpwstr>Arial</vt:lpwstr>
  </property>
  <property fmtid="{D5CDD505-2E9C-101B-9397-08002B2CF9AE}" pid="9" name="monofont">
    <vt:lpwstr>Courier New</vt:lpwstr>
  </property>
  <property fmtid="{D5CDD505-2E9C-101B-9397-08002B2CF9AE}" pid="10" name="number-sections">
    <vt:lpwstr>True</vt:lpwstr>
  </property>
  <property fmtid="{D5CDD505-2E9C-101B-9397-08002B2CF9AE}" pid="11" name="sansfont">
    <vt:lpwstr>Arial</vt:lpwstr>
  </property>
  <property fmtid="{D5CDD505-2E9C-101B-9397-08002B2CF9AE}" pid="12" name="subtitle">
    <vt:lpwstr>Полная спецификация требований к платежному партнеру</vt:lpwstr>
  </property>
  <property fmtid="{D5CDD505-2E9C-101B-9397-08002B2CF9AE}" pid="13" name="toc">
    <vt:lpwstr>True</vt:lpwstr>
  </property>
  <property fmtid="{D5CDD505-2E9C-101B-9397-08002B2CF9AE}" pid="14" name="toc-depth">
    <vt:lpwstr>3</vt:lpwstr>
  </property>
  <property fmtid="{D5CDD505-2E9C-101B-9397-08002B2CF9AE}" pid="15" name="toccolor">
    <vt:lpwstr>black</vt:lpwstr>
  </property>
  <property fmtid="{D5CDD505-2E9C-101B-9397-08002B2CF9AE}" pid="16" name="urlcolor">
    <vt:lpwstr>blue</vt:lpwstr>
  </property>
</Properties>
</file>