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Анализ рынка e-commerce Сербии и региона Балкан</w:t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Маркетплейс Sve Tu - Рыночные возможности Q4 2025 - 2028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Обзор рынка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Текущее состояние рынка e-commerce Сербии (август 2025)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Размер рынка: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- 2024: €852 млн (фактические данные)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- 2025: €980 млн (прогноз на конец года)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- 2026: €1,196 млн (прогноз)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- 2027: €1,459 млн (прогноз)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- 2028: €1,780 млн (прогноз)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Темпы роста: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CAGR 2025-2030: 22.3% (оптимистичная оценка)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Реалистичный годовой рост: 18-20%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Рост в Q3 2025: +7.2% квартал к кварталу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Проникновение e-commerce: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Август 2025: 65% населения (16-74 года) совершают покупки онлайн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- 2019: 34% (рост почти в 2 раза за 6 лет)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Онлайн доля в розничной торговле: 6.8% (огромный потенциал роста)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Целевой показатель к 2030: 15-20% (уровень ЕС)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TAM, SAM, SOM Анализ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TAM (Total Addressable Market) - Общий адресуемый рынок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Весь рынок e-commerce Западных Балкан</w:t>
        <w:br/>
      </w:r>
    </w:p>
    <w:tbl>
      <w:tblPr>
        <w:tblW w:w="850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7"/>
        <w:gridCol w:w="1478"/>
        <w:gridCol w:w="1619"/>
        <w:gridCol w:w="1710"/>
        <w:gridCol w:w="1531"/>
      </w:tblGrid>
      <w:tr>
        <w:trPr>
          <w:trHeight w:val="256" w:hRule="atLeast"/>
        </w:trPr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Страна</w:t>
            </w:r>
          </w:p>
        </w:tc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Население (млн)</w:t>
            </w:r>
          </w:p>
        </w:tc>
        <w:tc>
          <w:tcPr>
            <w:tcW w:w="1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E-commerce 2025 (€ млн)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E-commerce 2028 (€ млн)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CAGR</w:t>
            </w:r>
          </w:p>
        </w:tc>
      </w:tr>
      <w:tr>
        <w:trPr>
          <w:trHeight w:val="256" w:hRule="atLeast"/>
        </w:trPr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Сербия</w:t>
            </w:r>
          </w:p>
        </w:tc>
        <w:tc>
          <w:tcPr>
            <w:tcW w:w="147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6.8</w:t>
            </w:r>
          </w:p>
        </w:tc>
        <w:tc>
          <w:tcPr>
            <w:tcW w:w="161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980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1780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22.00%</w:t>
            </w:r>
          </w:p>
        </w:tc>
      </w:tr>
      <w:tr>
        <w:trPr>
          <w:trHeight w:val="256" w:hRule="atLeast"/>
        </w:trPr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Хорватия</w:t>
            </w:r>
          </w:p>
        </w:tc>
        <w:tc>
          <w:tcPr>
            <w:tcW w:w="147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3.9</w:t>
            </w:r>
          </w:p>
        </w:tc>
        <w:tc>
          <w:tcPr>
            <w:tcW w:w="161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650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1050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17.00%</w:t>
            </w:r>
          </w:p>
        </w:tc>
      </w:tr>
      <w:tr>
        <w:trPr>
          <w:trHeight w:val="256" w:hRule="atLeast"/>
        </w:trPr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Босния и Герцеговина</w:t>
            </w:r>
          </w:p>
        </w:tc>
        <w:tc>
          <w:tcPr>
            <w:tcW w:w="147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3.2</w:t>
            </w:r>
          </w:p>
        </w:tc>
        <w:tc>
          <w:tcPr>
            <w:tcW w:w="161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280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450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17.00%</w:t>
            </w:r>
          </w:p>
        </w:tc>
      </w:tr>
      <w:tr>
        <w:trPr>
          <w:trHeight w:val="256" w:hRule="atLeast"/>
        </w:trPr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Северная Македония</w:t>
            </w:r>
          </w:p>
        </w:tc>
        <w:tc>
          <w:tcPr>
            <w:tcW w:w="147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2.1</w:t>
            </w:r>
          </w:p>
        </w:tc>
        <w:tc>
          <w:tcPr>
            <w:tcW w:w="161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195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320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18.00%</w:t>
            </w:r>
          </w:p>
        </w:tc>
      </w:tr>
      <w:tr>
        <w:trPr>
          <w:trHeight w:val="256" w:hRule="atLeast"/>
        </w:trPr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Черногория</w:t>
            </w:r>
          </w:p>
        </w:tc>
        <w:tc>
          <w:tcPr>
            <w:tcW w:w="147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0.6</w:t>
            </w:r>
          </w:p>
        </w:tc>
        <w:tc>
          <w:tcPr>
            <w:tcW w:w="161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55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90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18.00%</w:t>
            </w:r>
          </w:p>
        </w:tc>
      </w:tr>
      <w:tr>
        <w:trPr>
          <w:trHeight w:val="256" w:hRule="atLeast"/>
        </w:trPr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Словения</w:t>
            </w:r>
          </w:p>
        </w:tc>
        <w:tc>
          <w:tcPr>
            <w:tcW w:w="147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2.1</w:t>
            </w:r>
          </w:p>
        </w:tc>
        <w:tc>
          <w:tcPr>
            <w:tcW w:w="161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540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810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14.00%</w:t>
            </w:r>
          </w:p>
        </w:tc>
      </w:tr>
      <w:tr>
        <w:trPr>
          <w:trHeight w:val="256" w:hRule="atLeast"/>
        </w:trPr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ИТОГО</w:t>
            </w:r>
          </w:p>
        </w:tc>
        <w:tc>
          <w:tcPr>
            <w:tcW w:w="147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18.7</w:t>
            </w:r>
          </w:p>
        </w:tc>
        <w:tc>
          <w:tcPr>
            <w:tcW w:w="161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2,700 млн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4,500 млн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18.50%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SAM (Serviceable Addressable Market) - Обслуживаемый рынок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Целевые сегменты для платформы Sve Tu:</w:t>
        <w:br/>
      </w:r>
    </w:p>
    <w:tbl>
      <w:tblPr>
        <w:tblW w:w="9390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60"/>
        <w:gridCol w:w="2640"/>
        <w:gridCol w:w="1170"/>
        <w:gridCol w:w="1500"/>
        <w:gridCol w:w="1620"/>
      </w:tblGrid>
      <w:tr>
        <w:trPr>
          <w:trHeight w:val="256" w:hRule="atLeast"/>
        </w:trPr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Сегмент</w:t>
            </w:r>
          </w:p>
        </w:tc>
        <w:tc>
          <w:tcPr>
            <w:tcW w:w="2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% от TAM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2025 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(€ млн)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2028 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(€ млн)</w:t>
            </w:r>
          </w:p>
        </w:tc>
      </w:tr>
      <w:tr>
        <w:trPr>
          <w:trHeight w:val="256" w:hRule="atLeast"/>
        </w:trPr>
        <w:tc>
          <w:tcPr>
            <w:tcW w:w="24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C2C классифайды</w:t>
            </w:r>
          </w:p>
        </w:tc>
        <w:tc>
          <w:tcPr>
            <w:tcW w:w="26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Частные объявления, секонд-хенд</w:t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35.00%</w:t>
            </w:r>
          </w:p>
        </w:tc>
        <w:tc>
          <w:tcPr>
            <w:tcW w:w="15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945</w:t>
            </w:r>
          </w:p>
        </w:tc>
        <w:tc>
          <w:tcPr>
            <w:tcW w:w="1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1575</w:t>
            </w:r>
          </w:p>
        </w:tc>
      </w:tr>
      <w:tr>
        <w:trPr>
          <w:trHeight w:val="256" w:hRule="atLeast"/>
        </w:trPr>
        <w:tc>
          <w:tcPr>
            <w:tcW w:w="24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B2C витрины МСБ</w:t>
            </w:r>
          </w:p>
        </w:tc>
        <w:tc>
          <w:tcPr>
            <w:tcW w:w="26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Малый и средний бизнес</w:t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30.00%</w:t>
            </w:r>
          </w:p>
        </w:tc>
        <w:tc>
          <w:tcPr>
            <w:tcW w:w="15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810</w:t>
            </w:r>
          </w:p>
        </w:tc>
        <w:tc>
          <w:tcPr>
            <w:tcW w:w="1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1350</w:t>
            </w:r>
          </w:p>
        </w:tc>
      </w:tr>
      <w:tr>
        <w:trPr>
          <w:trHeight w:val="256" w:hRule="atLeast"/>
        </w:trPr>
        <w:tc>
          <w:tcPr>
            <w:tcW w:w="24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B2B marketplace</w:t>
            </w:r>
          </w:p>
        </w:tc>
        <w:tc>
          <w:tcPr>
            <w:tcW w:w="26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Оптовая торговля</w:t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15.00%</w:t>
            </w:r>
          </w:p>
        </w:tc>
        <w:tc>
          <w:tcPr>
            <w:tcW w:w="15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405</w:t>
            </w:r>
          </w:p>
        </w:tc>
        <w:tc>
          <w:tcPr>
            <w:tcW w:w="1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675</w:t>
            </w:r>
          </w:p>
        </w:tc>
      </w:tr>
      <w:tr>
        <w:trPr>
          <w:trHeight w:val="256" w:hRule="atLeast"/>
        </w:trPr>
        <w:tc>
          <w:tcPr>
            <w:tcW w:w="24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AI как сервис</w:t>
            </w:r>
          </w:p>
        </w:tc>
        <w:tc>
          <w:tcPr>
            <w:tcW w:w="26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API для конкурентов</w:t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5.00%</w:t>
            </w:r>
          </w:p>
        </w:tc>
        <w:tc>
          <w:tcPr>
            <w:tcW w:w="15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135</w:t>
            </w:r>
          </w:p>
        </w:tc>
        <w:tc>
          <w:tcPr>
            <w:tcW w:w="1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225</w:t>
            </w:r>
          </w:p>
        </w:tc>
      </w:tr>
      <w:tr>
        <w:trPr>
          <w:trHeight w:val="256" w:hRule="atLeast"/>
        </w:trPr>
        <w:tc>
          <w:tcPr>
            <w:tcW w:w="24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Не обслуживаем</w:t>
            </w:r>
          </w:p>
        </w:tc>
        <w:tc>
          <w:tcPr>
            <w:tcW w:w="26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Крупный ритейл, узкие ниши</w:t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15.00%</w:t>
            </w:r>
          </w:p>
        </w:tc>
        <w:tc>
          <w:tcPr>
            <w:tcW w:w="15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-</w:t>
            </w:r>
          </w:p>
        </w:tc>
        <w:tc>
          <w:tcPr>
            <w:tcW w:w="1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-</w:t>
            </w:r>
          </w:p>
        </w:tc>
      </w:tr>
      <w:tr>
        <w:trPr>
          <w:trHeight w:val="256" w:hRule="atLeast"/>
        </w:trPr>
        <w:tc>
          <w:tcPr>
            <w:tcW w:w="24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ИТОГО SAM</w:t>
            </w:r>
          </w:p>
        </w:tc>
        <w:tc>
          <w:tcPr>
            <w:tcW w:w="26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85.00%</w:t>
            </w:r>
          </w:p>
        </w:tc>
        <w:tc>
          <w:tcPr>
            <w:tcW w:w="15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2,295 млн</w:t>
            </w:r>
          </w:p>
        </w:tc>
        <w:tc>
          <w:tcPr>
            <w:tcW w:w="1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3,825 млн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SOM (Serviceable Obtainable Market) - Реально достижимый рынок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Консервативный план захвата рынка:</w:t>
        <w:br/>
      </w:r>
    </w:p>
    <w:tbl>
      <w:tblPr>
        <w:tblW w:w="9634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00"/>
        <w:gridCol w:w="2668"/>
        <w:gridCol w:w="2101"/>
        <w:gridCol w:w="1698"/>
        <w:gridCol w:w="1667"/>
      </w:tblGrid>
      <w:tr>
        <w:trPr>
          <w:trHeight w:val="256" w:hRule="atLeast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Доля от SAM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ind w:hanging="540" w:start="0" w:end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Объем (€ млн)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Пользователи</w:t>
            </w:r>
          </w:p>
        </w:tc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GMV (€ млн)</w:t>
            </w:r>
          </w:p>
        </w:tc>
      </w:tr>
      <w:tr>
        <w:trPr>
          <w:trHeight w:val="256" w:hRule="atLeast"/>
        </w:trPr>
        <w:tc>
          <w:tcPr>
            <w:tcW w:w="15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Q4 2025</w:t>
            </w:r>
          </w:p>
        </w:tc>
        <w:tc>
          <w:tcPr>
            <w:tcW w:w="266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0.10%</w:t>
            </w:r>
          </w:p>
        </w:tc>
        <w:tc>
          <w:tcPr>
            <w:tcW w:w="21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2.3</w:t>
            </w:r>
          </w:p>
        </w:tc>
        <w:tc>
          <w:tcPr>
            <w:tcW w:w="169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25000</w:t>
            </w:r>
          </w:p>
        </w:tc>
        <w:tc>
          <w:tcPr>
            <w:tcW w:w="16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5</w:t>
            </w:r>
          </w:p>
        </w:tc>
      </w:tr>
      <w:tr>
        <w:trPr>
          <w:trHeight w:val="256" w:hRule="atLeast"/>
        </w:trPr>
        <w:tc>
          <w:tcPr>
            <w:tcW w:w="15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2026</w:t>
            </w:r>
          </w:p>
        </w:tc>
        <w:tc>
          <w:tcPr>
            <w:tcW w:w="266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1.50%</w:t>
            </w:r>
          </w:p>
        </w:tc>
        <w:tc>
          <w:tcPr>
            <w:tcW w:w="21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34.4</w:t>
            </w:r>
          </w:p>
        </w:tc>
        <w:tc>
          <w:tcPr>
            <w:tcW w:w="169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200000</w:t>
            </w:r>
          </w:p>
        </w:tc>
        <w:tc>
          <w:tcPr>
            <w:tcW w:w="16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86</w:t>
            </w:r>
          </w:p>
        </w:tc>
      </w:tr>
      <w:tr>
        <w:trPr>
          <w:trHeight w:val="256" w:hRule="atLeast"/>
        </w:trPr>
        <w:tc>
          <w:tcPr>
            <w:tcW w:w="15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2027</w:t>
            </w:r>
          </w:p>
        </w:tc>
        <w:tc>
          <w:tcPr>
            <w:tcW w:w="266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3.50%</w:t>
            </w:r>
          </w:p>
        </w:tc>
        <w:tc>
          <w:tcPr>
            <w:tcW w:w="21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107.3</w:t>
            </w:r>
          </w:p>
        </w:tc>
        <w:tc>
          <w:tcPr>
            <w:tcW w:w="169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500000</w:t>
            </w:r>
          </w:p>
        </w:tc>
        <w:tc>
          <w:tcPr>
            <w:tcW w:w="16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268</w:t>
            </w:r>
          </w:p>
        </w:tc>
      </w:tr>
      <w:tr>
        <w:trPr>
          <w:trHeight w:val="256" w:hRule="atLeast"/>
        </w:trPr>
        <w:tc>
          <w:tcPr>
            <w:tcW w:w="15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2028</w:t>
            </w:r>
          </w:p>
        </w:tc>
        <w:tc>
          <w:tcPr>
            <w:tcW w:w="266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6.00%</w:t>
            </w:r>
          </w:p>
        </w:tc>
        <w:tc>
          <w:tcPr>
            <w:tcW w:w="21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229.5</w:t>
            </w:r>
          </w:p>
        </w:tc>
        <w:tc>
          <w:tcPr>
            <w:tcW w:w="169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1000000</w:t>
            </w:r>
          </w:p>
        </w:tc>
        <w:tc>
          <w:tcPr>
            <w:tcW w:w="16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574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Расширенный конкурентный анализ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1. KupujemProdajem (KP) - Лидер рынка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Доля рынка классифайдов: ~65%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Сильные стороны: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- 3 млн зарегистрированных пользователей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- 6.6 млн активных объявлений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- 90% охват интернет-пользователей Сербии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Узнаваемость бренда 95%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Слабые стороны: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Устаревший дизайн (последний редизайн 2018)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Нет AI-функционала вообще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Нет интегрированной логистики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Монетизация только через премиум размещение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Наш конкурентный ответ: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AI-автоматизация: Создание объявления за 5 секунд vs 15 минут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Продажа AI через API: KP станет нашим клиентом за €50k/месяц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Современный UX: Mobile-first, персонализация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Полная экосистема: Логистика, платежи, аналитика встроены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2. Halo Oglasi - Специализация на недвижимости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Доля рынка: ~12% общего, ~40% в недвижимости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Сильные стороны: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Лидер в сегменте недвижимости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Профессиональные инструменты для агентств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База из 500k+ объявлений недвижимости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Слабые стороны: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Узкая специализация (90% - недвижимость и авто)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Слабое присутствие в товарных категориях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Отсутствие инноваций последние 5 лет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Нет мультиязычности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Наш конкурентный ответ: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AI для недвижимости: Автоматическая оценка стоимости по фото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3D туры: Интеграция с Matterport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Мультикатегориальность: Мебель + ремонт + переезд в одном месте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API интеграция: Halo Oglasi сможет использовать наш AI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3. Ananas E-commerce - Новый игрок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Доля рынка: ~3% (быстрый рост)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Сильные стороны: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Современная платформа (запуск 2023)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Фокус на fashion и lifestyle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Хорошая интеграция с Instagram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Планы экспансии в Боснию и Черногорию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Слабые стороны: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Только B2C модель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Ограниченные категории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Высокая зависимость от поставщиков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Нет C2C функционала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Наш конкурентный ответ: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Партнерство вместо конкуренции: Ananas использует наш AI для каталогизации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Дополняющие модели: Мы C2C+B2C+B2B, они только B2C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Технологическое превосходство: Наш AI создает листинги автоматически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White-label решение: Ananas может использовать нашу инфраструктуру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4. Bazzar.rs - Агрегатор объявлений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Доля рынка: ~5%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Сильные стороны: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Агрегация с 20+ источников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Удобный поиск по всем площадкам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- 2 млн уникальных посетителей/месяц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Слабые стороны: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Не маркетплейс, а агрегатор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Нет собственных транзакций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Зависимость от других платформ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Проблемы с актуальностью данных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Наш конкурентный ответ: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Прямая интеграция: Bazzar может индексировать наши объявления через API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Эксклюзивный контент: 30% объявлений только у нас благодаря простоте AI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Партнерская программа: Комиссия за приведенных покупателей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Технологическая экосистема: Мы источник данных, а не агрегатор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5. Shoppster - B2B платформа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Доля рынка: ~8% в B2B сегменте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Сильные стороны: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Фокус на B2B (5000+ компаний)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Интеграция с ERP системами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Кредитные линии для покупателей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Слабые стороны: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Только B2B, нет B2C/C2C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Сложный onboarding (2-3 недели)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Высокие комиссии (7-12%)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Ограниченная география (только Сербия)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Наш конкурентный ответ: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B2B как часть экосистемы: Синергия с B2C и C2C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AI для B2B: Автоматическое создание каталогов из Excel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Мгновенный старт: Регистрация и начало продаж за 5 минут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API marketplace: Shoppster может перепродавать наши AI-услуги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6. Facebook Marketplace - Глобальный гигант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Доля рынка: ~7% (растет)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Сильные стороны: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- 2.1 млн активных пользователей Facebook в Сербии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Нулевая стоимость входа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Социальная верификация продавцов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Слабые стороны: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Нет локальной поддержки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Проблемы с модерацией (много мошенников)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Отсутствие интеграции с локальными сервисами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Нет эскроу и защиты покупателей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❌ Ограниченная функциональность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Наш конкурентный ответ: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Локальная экспертиза: Поддержка на сербском, знание рынка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Защищенные сделки: Эскроу, страхование, арбитраж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Интеграция с Post Express: То, что Facebook никогда не сделает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✅ </w:t>
      </w:r>
      <w:r>
        <w:rPr>
          <w:rFonts w:ascii="Liberation Serif" w:hAnsi="Liberation Serif"/>
          <w:sz w:val="24"/>
          <w:szCs w:val="24"/>
        </w:rPr>
        <w:t>Кросс-постинг: Публикация на Facebook через наш API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Уникальное позиционирование Sve Tu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Наша ключевая инновация: AI-as-a-Service для всего рынка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Мы не просто конкурируем - мы становимся технологическим партнером для всех:</w:t>
        <w:br/>
      </w:r>
    </w:p>
    <w:tbl>
      <w:tblPr>
        <w:tblW w:w="9390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79"/>
        <w:gridCol w:w="3960"/>
        <w:gridCol w:w="3151"/>
      </w:tblGrid>
      <w:tr>
        <w:trPr>
          <w:trHeight w:val="256" w:hRule="atLeast"/>
        </w:trPr>
        <w:tc>
          <w:tcPr>
            <w:tcW w:w="2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Конкурент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Наше предложение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Ежемесячный доход</w:t>
            </w:r>
          </w:p>
        </w:tc>
      </w:tr>
      <w:tr>
        <w:trPr>
          <w:trHeight w:val="256" w:hRule="atLeast"/>
        </w:trPr>
        <w:tc>
          <w:tcPr>
            <w:tcW w:w="22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KupujemProdajem</w:t>
            </w:r>
          </w:p>
        </w:tc>
        <w:tc>
          <w:tcPr>
            <w:tcW w:w="39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AI API для создания объявлений</w:t>
            </w:r>
          </w:p>
        </w:tc>
        <w:tc>
          <w:tcPr>
            <w:tcW w:w="31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0-€50,000</w:t>
            </w:r>
          </w:p>
        </w:tc>
      </w:tr>
      <w:tr>
        <w:trPr>
          <w:trHeight w:val="256" w:hRule="atLeast"/>
        </w:trPr>
        <w:tc>
          <w:tcPr>
            <w:tcW w:w="22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Halo Oglasi</w:t>
            </w:r>
          </w:p>
        </w:tc>
        <w:tc>
          <w:tcPr>
            <w:tcW w:w="39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AI оценка недвижимости</w:t>
            </w:r>
          </w:p>
        </w:tc>
        <w:tc>
          <w:tcPr>
            <w:tcW w:w="31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0-€30,000</w:t>
            </w:r>
          </w:p>
        </w:tc>
      </w:tr>
      <w:tr>
        <w:trPr>
          <w:trHeight w:val="256" w:hRule="atLeast"/>
        </w:trPr>
        <w:tc>
          <w:tcPr>
            <w:tcW w:w="22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Ananas</w:t>
            </w:r>
          </w:p>
        </w:tc>
        <w:tc>
          <w:tcPr>
            <w:tcW w:w="39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Каталогизация товаров</w:t>
            </w:r>
          </w:p>
        </w:tc>
        <w:tc>
          <w:tcPr>
            <w:tcW w:w="31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0-€20,000</w:t>
            </w:r>
          </w:p>
        </w:tc>
      </w:tr>
      <w:tr>
        <w:trPr>
          <w:trHeight w:val="256" w:hRule="atLeast"/>
        </w:trPr>
        <w:tc>
          <w:tcPr>
            <w:tcW w:w="22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Bazzar</w:t>
            </w:r>
          </w:p>
        </w:tc>
        <w:tc>
          <w:tcPr>
            <w:tcW w:w="39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Обогащение данных AI</w:t>
            </w:r>
          </w:p>
        </w:tc>
        <w:tc>
          <w:tcPr>
            <w:tcW w:w="31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0-€15,000</w:t>
            </w:r>
          </w:p>
        </w:tc>
      </w:tr>
      <w:tr>
        <w:trPr>
          <w:trHeight w:val="256" w:hRule="atLeast"/>
        </w:trPr>
        <w:tc>
          <w:tcPr>
            <w:tcW w:w="22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Shoppster</w:t>
            </w:r>
          </w:p>
        </w:tc>
        <w:tc>
          <w:tcPr>
            <w:tcW w:w="39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B2B каталоги из Excel</w:t>
            </w:r>
          </w:p>
        </w:tc>
        <w:tc>
          <w:tcPr>
            <w:tcW w:w="31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0-€25,000</w:t>
            </w:r>
          </w:p>
        </w:tc>
      </w:tr>
      <w:tr>
        <w:trPr>
          <w:trHeight w:val="256" w:hRule="atLeast"/>
        </w:trPr>
        <w:tc>
          <w:tcPr>
            <w:tcW w:w="22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ИТОГО</w:t>
            </w:r>
          </w:p>
        </w:tc>
        <w:tc>
          <w:tcPr>
            <w:tcW w:w="39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B2B2C модель</w:t>
            </w:r>
          </w:p>
        </w:tc>
        <w:tc>
          <w:tcPr>
            <w:tcW w:w="31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0-€140,000/мес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Claude Master System - Наше секретное оружие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Революционная система разработки с AI-ассистентами: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✅ Сокращение расходов на разработку на 70%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✅ Гарантированное качество кода через автотесты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✅ Скорость разработки 10x против традиционной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✅ Возможность быстрой адаптации под любой рынок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*Подробнее: /data/master/claude-master-system*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Структура рынка по категориям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Распределение GMV по категориям (Сербия, август 2025)</w:t>
        <w:br/>
      </w:r>
    </w:p>
    <w:tbl>
      <w:tblPr>
        <w:tblW w:w="9634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74"/>
        <w:gridCol w:w="1556"/>
        <w:gridCol w:w="1440"/>
        <w:gridCol w:w="1469"/>
        <w:gridCol w:w="3095"/>
      </w:tblGrid>
      <w:tr>
        <w:trPr>
          <w:trHeight w:val="256" w:hRule="atLeast"/>
        </w:trPr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Доля рынка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Объем </w:t>
              <w:br/>
              <w:t>(€ млн/год)</w:t>
            </w:r>
          </w:p>
        </w:tc>
        <w:tc>
          <w:tcPr>
            <w:tcW w:w="1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Рост YoY</w:t>
            </w:r>
          </w:p>
        </w:tc>
        <w:tc>
          <w:tcPr>
            <w:tcW w:w="3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Наша стратегия</w:t>
            </w:r>
          </w:p>
        </w:tc>
      </w:tr>
      <w:tr>
        <w:trPr>
          <w:trHeight w:val="256" w:hRule="atLeast"/>
        </w:trPr>
        <w:tc>
          <w:tcPr>
            <w:tcW w:w="2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Электроника и техника</w:t>
            </w:r>
          </w:p>
        </w:tc>
        <w:tc>
          <w:tcPr>
            <w:tcW w:w="155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24.50%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240</w:t>
            </w:r>
          </w:p>
        </w:tc>
        <w:tc>
          <w:tcPr>
            <w:tcW w:w="14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18.00%</w:t>
            </w:r>
          </w:p>
        </w:tc>
        <w:tc>
          <w:tcPr>
            <w:tcW w:w="3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AI распознавание моделей</w:t>
            </w:r>
          </w:p>
        </w:tc>
      </w:tr>
      <w:tr>
        <w:trPr>
          <w:trHeight w:val="256" w:hRule="atLeast"/>
        </w:trPr>
        <w:tc>
          <w:tcPr>
            <w:tcW w:w="2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Мода и одежда</w:t>
            </w:r>
          </w:p>
        </w:tc>
        <w:tc>
          <w:tcPr>
            <w:tcW w:w="155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19.20%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188</w:t>
            </w:r>
          </w:p>
        </w:tc>
        <w:tc>
          <w:tcPr>
            <w:tcW w:w="14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25.00%</w:t>
            </w:r>
          </w:p>
        </w:tc>
        <w:tc>
          <w:tcPr>
            <w:tcW w:w="3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Виртуальная примерка</w:t>
            </w:r>
          </w:p>
        </w:tc>
      </w:tr>
      <w:tr>
        <w:trPr>
          <w:trHeight w:val="256" w:hRule="atLeast"/>
        </w:trPr>
        <w:tc>
          <w:tcPr>
            <w:tcW w:w="2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Дом и сад</w:t>
            </w:r>
          </w:p>
        </w:tc>
        <w:tc>
          <w:tcPr>
            <w:tcW w:w="155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14.80%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145</w:t>
            </w:r>
          </w:p>
        </w:tc>
        <w:tc>
          <w:tcPr>
            <w:tcW w:w="14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15.00%</w:t>
            </w:r>
          </w:p>
        </w:tc>
        <w:tc>
          <w:tcPr>
            <w:tcW w:w="3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AR размещение мебели</w:t>
            </w:r>
          </w:p>
        </w:tc>
      </w:tr>
      <w:tr>
        <w:trPr>
          <w:trHeight w:val="256" w:hRule="atLeast"/>
        </w:trPr>
        <w:tc>
          <w:tcPr>
            <w:tcW w:w="2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Авто (запчасти/</w:t>
              <w:br/>
              <w:t>аксессуары)</w:t>
            </w:r>
          </w:p>
        </w:tc>
        <w:tc>
          <w:tcPr>
            <w:tcW w:w="155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11.30%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111</w:t>
            </w:r>
          </w:p>
        </w:tc>
        <w:tc>
          <w:tcPr>
            <w:tcW w:w="14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12.00%</w:t>
            </w:r>
          </w:p>
        </w:tc>
        <w:tc>
          <w:tcPr>
            <w:tcW w:w="3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VIN декодирование</w:t>
            </w:r>
          </w:p>
        </w:tc>
      </w:tr>
      <w:tr>
        <w:trPr>
          <w:trHeight w:val="256" w:hRule="atLeast"/>
        </w:trPr>
        <w:tc>
          <w:tcPr>
            <w:tcW w:w="2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Детские товары</w:t>
            </w:r>
          </w:p>
        </w:tc>
        <w:tc>
          <w:tcPr>
            <w:tcW w:w="155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8.70%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85</w:t>
            </w:r>
          </w:p>
        </w:tc>
        <w:tc>
          <w:tcPr>
            <w:tcW w:w="14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30.00%</w:t>
            </w:r>
          </w:p>
        </w:tc>
        <w:tc>
          <w:tcPr>
            <w:tcW w:w="3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Рекомендации по возрасту</w:t>
            </w:r>
          </w:p>
        </w:tc>
      </w:tr>
      <w:tr>
        <w:trPr>
          <w:trHeight w:val="256" w:hRule="atLeast"/>
        </w:trPr>
        <w:tc>
          <w:tcPr>
            <w:tcW w:w="2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Спорт и хобби</w:t>
            </w:r>
          </w:p>
        </w:tc>
        <w:tc>
          <w:tcPr>
            <w:tcW w:w="155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7.90%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77</w:t>
            </w:r>
          </w:p>
        </w:tc>
        <w:tc>
          <w:tcPr>
            <w:tcW w:w="14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20.00%</w:t>
            </w:r>
          </w:p>
        </w:tc>
        <w:tc>
          <w:tcPr>
            <w:tcW w:w="3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Сообщества по интересам</w:t>
            </w:r>
          </w:p>
        </w:tc>
      </w:tr>
      <w:tr>
        <w:trPr>
          <w:trHeight w:val="256" w:hRule="atLeast"/>
        </w:trPr>
        <w:tc>
          <w:tcPr>
            <w:tcW w:w="2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Косметика и здоровье</w:t>
            </w:r>
          </w:p>
        </w:tc>
        <w:tc>
          <w:tcPr>
            <w:tcW w:w="155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6.50%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64</w:t>
            </w:r>
          </w:p>
        </w:tc>
        <w:tc>
          <w:tcPr>
            <w:tcW w:w="14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35.00%</w:t>
            </w:r>
          </w:p>
        </w:tc>
        <w:tc>
          <w:tcPr>
            <w:tcW w:w="3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Проверка подлинности</w:t>
            </w:r>
          </w:p>
        </w:tc>
      </w:tr>
      <w:tr>
        <w:trPr>
          <w:trHeight w:val="256" w:hRule="atLeast"/>
        </w:trPr>
        <w:tc>
          <w:tcPr>
            <w:tcW w:w="2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Продукты питания</w:t>
            </w:r>
          </w:p>
        </w:tc>
        <w:tc>
          <w:tcPr>
            <w:tcW w:w="155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4.80%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47</w:t>
            </w:r>
          </w:p>
        </w:tc>
        <w:tc>
          <w:tcPr>
            <w:tcW w:w="14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45.00%</w:t>
            </w:r>
          </w:p>
        </w:tc>
        <w:tc>
          <w:tcPr>
            <w:tcW w:w="3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Доставка в тот же день</w:t>
            </w:r>
          </w:p>
        </w:tc>
      </w:tr>
      <w:tr>
        <w:trPr>
          <w:trHeight w:val="256" w:hRule="atLeast"/>
        </w:trPr>
        <w:tc>
          <w:tcPr>
            <w:tcW w:w="2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Услуги</w:t>
            </w:r>
          </w:p>
        </w:tc>
        <w:tc>
          <w:tcPr>
            <w:tcW w:w="155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2.30%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23</w:t>
            </w:r>
          </w:p>
        </w:tc>
        <w:tc>
          <w:tcPr>
            <w:tcW w:w="14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50.00%</w:t>
            </w:r>
          </w:p>
        </w:tc>
        <w:tc>
          <w:tcPr>
            <w:tcW w:w="3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Рейтинги и отзывы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Целевая аудитория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Первичные сегменты (Q4 2025 - 2026)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1. Digital Natives (35% от базы)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Возраст: 18-35 лет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Доход: €400-1,200/месяц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Поведение: Mobile-first, социальные сети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Потребности: Скорость, удобство, тренды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ARPU: €8.5/месяц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2. Опытные онлайн-покупатели (30%)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Возраст: 30-45 лет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Доход: €600-2,000/месяц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Поведение: Сравнение цен, исследование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Потребности: Выгода, качество, гарантии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ARPU: €12.3/месяц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3. Малый бизнес (20%)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Тип: ИП, малые компании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Оборот: €5,000-50,000/месяц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Потребности: Инструменты продаж, аналитика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ARPU: €89/месяц (подписки)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4. Диаспора (15%)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География: Германия, Австрия, Швейцария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Доход: €2,000-5,000/месяц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Потребности: Товары из дома, ностальгия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ARPU: €25/месяц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Драйверы роста рынка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Макроэкономические факторы (2025-2028)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1. Цифровизация экономики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Интернет-проникновение: 85% → 92%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Смартфоны: 78% → 88%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- 5G покрытие: 35% → 75%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2. Изменение потребительского поведения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Постпандемийный сдвиг к онлайну закрепился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Поколение Z становится основными покупателями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Рост доверия к онлайн-платежам (+40% за 2 года)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3. Развитие инфраструктуры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Новые логистические хабы (DHL, Post Express)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Рост числа ПВЗ: 1,200 → 3,000 к 2028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Улучшение скорости доставки: 3-5 дней → 1-2 дня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4. Регуляторная поддержка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Программа цифровизации МСБ (€50 млн)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Налоговые льготы для e-commerce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Упрощение трансграничной торговли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Региональные возможности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1. EU интеграция (целевая дата 2028-2030)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Гармонизация стандартов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Доступ к единому рынку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Приток инвестиций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2. Балканский экономический союз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Снижение торговых барьеров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Единая платежная система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Региональная логистика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3. Диаспора как мост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- 3.5 млн сербов за рубежом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€4.2 млрд денежных переводов/год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</w:t>
      </w:r>
      <w:r>
        <w:rPr>
          <w:rFonts w:ascii="Liberation Serif" w:hAnsi="Liberation Serif"/>
          <w:sz w:val="24"/>
          <w:szCs w:val="24"/>
        </w:rPr>
        <w:t>- Спрос на локальные товары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Риски и барьеры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Рыночные риски</w:t>
      </w:r>
      <w:r>
        <w:rPr>
          <w:rFonts w:ascii="Liberation Serif" w:hAnsi="Liberation Serif"/>
          <w:sz w:val="24"/>
          <w:szCs w:val="24"/>
        </w:rPr>
        <w:br/>
      </w:r>
    </w:p>
    <w:tbl>
      <w:tblPr>
        <w:tblW w:w="9570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79"/>
        <w:gridCol w:w="2160"/>
        <w:gridCol w:w="1710"/>
        <w:gridCol w:w="3420"/>
      </w:tblGrid>
      <w:tr>
        <w:trPr>
          <w:trHeight w:val="256" w:hRule="atLeast"/>
        </w:trPr>
        <w:tc>
          <w:tcPr>
            <w:tcW w:w="2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Вероятность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Влияние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Наша митигация</w:t>
            </w:r>
          </w:p>
        </w:tc>
      </w:tr>
      <w:tr>
        <w:trPr>
          <w:trHeight w:val="256" w:hRule="atLeast"/>
        </w:trPr>
        <w:tc>
          <w:tcPr>
            <w:tcW w:w="22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Вход Amazon (2027-2028)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Высокая (75%)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Критическое</w:t>
            </w:r>
          </w:p>
        </w:tc>
        <w:tc>
          <w:tcPr>
            <w:tcW w:w="34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Захват рынка до входа, локализация</w:t>
            </w:r>
          </w:p>
        </w:tc>
      </w:tr>
      <w:tr>
        <w:trPr>
          <w:trHeight w:val="256" w:hRule="atLeast"/>
        </w:trPr>
        <w:tc>
          <w:tcPr>
            <w:tcW w:w="22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Консолидация локальных игроков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Средняя (50%)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Высокое</w:t>
            </w:r>
          </w:p>
        </w:tc>
        <w:tc>
          <w:tcPr>
            <w:tcW w:w="34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Стать платформой консолидации</w:t>
            </w:r>
          </w:p>
        </w:tc>
      </w:tr>
      <w:tr>
        <w:trPr>
          <w:trHeight w:val="256" w:hRule="atLeast"/>
        </w:trPr>
        <w:tc>
          <w:tcPr>
            <w:tcW w:w="22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Экономический кризис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Средняя (40%)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Высокое</w:t>
            </w:r>
          </w:p>
        </w:tc>
        <w:tc>
          <w:tcPr>
            <w:tcW w:w="34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Фокус на C2C и секонд-хенд</w:t>
            </w:r>
          </w:p>
        </w:tc>
      </w:tr>
      <w:tr>
        <w:trPr>
          <w:trHeight w:val="256" w:hRule="atLeast"/>
        </w:trPr>
        <w:tc>
          <w:tcPr>
            <w:tcW w:w="22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Регуляторные изменения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Низкая (25%)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Среднее</w:t>
            </w:r>
          </w:p>
        </w:tc>
        <w:tc>
          <w:tcPr>
            <w:tcW w:w="34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Compliance, работа с регулятором</w:t>
            </w:r>
          </w:p>
        </w:tc>
      </w:tr>
      <w:tr>
        <w:trPr>
          <w:trHeight w:val="256" w:hRule="atLeast"/>
        </w:trPr>
        <w:tc>
          <w:tcPr>
            <w:tcW w:w="22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Кибератаки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Средняя (35%)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Высокое</w:t>
            </w:r>
          </w:p>
        </w:tc>
        <w:tc>
          <w:tcPr>
            <w:tcW w:w="34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Инвестиции в безопасность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Операционные вызовы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1. Построение доверия - Новый бренд на консервативном рынке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2. Критическая масса - Нужно 50k активных пользователей для сетевого эффекта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3. Логистика последней мили - Особенно в сельской местности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4. Платежные привычки - 45% все еще предпочитают наличные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Экономика рынка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Ключевые метрики рынка</w:t>
      </w:r>
      <w:r>
        <w:rPr>
          <w:rFonts w:ascii="Liberation Serif" w:hAnsi="Liberation Serif"/>
          <w:sz w:val="24"/>
          <w:szCs w:val="24"/>
        </w:rPr>
        <w:br/>
      </w:r>
    </w:p>
    <w:tbl>
      <w:tblPr>
        <w:tblW w:w="8400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69"/>
        <w:gridCol w:w="1710"/>
        <w:gridCol w:w="1440"/>
        <w:gridCol w:w="1981"/>
      </w:tblGrid>
      <w:tr>
        <w:trPr>
          <w:trHeight w:val="256" w:hRule="atLeast"/>
        </w:trPr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Сербия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Регион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EU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Потенциал</w:t>
            </w:r>
          </w:p>
        </w:tc>
      </w:tr>
      <w:tr>
        <w:trPr>
          <w:trHeight w:val="256" w:hRule="atLeast"/>
        </w:trPr>
        <w:tc>
          <w:tcPr>
            <w:tcW w:w="32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E-commerce/GDP</w:t>
            </w:r>
          </w:p>
        </w:tc>
        <w:tc>
          <w:tcPr>
            <w:tcW w:w="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1.80%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1.50%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4.20%</w:t>
            </w:r>
          </w:p>
        </w:tc>
        <w:tc>
          <w:tcPr>
            <w:tcW w:w="1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2.3x</w:t>
            </w:r>
          </w:p>
        </w:tc>
      </w:tr>
      <w:tr>
        <w:trPr>
          <w:trHeight w:val="256" w:hRule="atLeast"/>
        </w:trPr>
        <w:tc>
          <w:tcPr>
            <w:tcW w:w="32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Онлайн-покупатели</w:t>
            </w:r>
          </w:p>
        </w:tc>
        <w:tc>
          <w:tcPr>
            <w:tcW w:w="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65.00%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52.00%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75.00%</w:t>
            </w:r>
          </w:p>
        </w:tc>
        <w:tc>
          <w:tcPr>
            <w:tcW w:w="1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15.00%</w:t>
            </w:r>
          </w:p>
        </w:tc>
      </w:tr>
      <w:tr>
        <w:trPr>
          <w:trHeight w:val="256" w:hRule="atLeast"/>
        </w:trPr>
        <w:tc>
          <w:tcPr>
            <w:tcW w:w="32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Средний чек</w:t>
            </w:r>
          </w:p>
        </w:tc>
        <w:tc>
          <w:tcPr>
            <w:tcW w:w="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38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32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€</w:t>
            </w:r>
            <w:r>
              <w:rPr>
                <w:rFonts w:ascii="Liberation Serif" w:hAnsi="Liberation Serif"/>
                <w:sz w:val="24"/>
                <w:szCs w:val="24"/>
              </w:rPr>
              <w:t>67</w:t>
            </w:r>
          </w:p>
        </w:tc>
        <w:tc>
          <w:tcPr>
            <w:tcW w:w="1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76.00%</w:t>
            </w:r>
          </w:p>
        </w:tc>
      </w:tr>
      <w:tr>
        <w:trPr>
          <w:trHeight w:val="256" w:hRule="atLeast"/>
        </w:trPr>
        <w:tc>
          <w:tcPr>
            <w:tcW w:w="32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Частота покупок/год</w:t>
            </w:r>
          </w:p>
        </w:tc>
        <w:tc>
          <w:tcPr>
            <w:tcW w:w="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11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8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24</w:t>
            </w:r>
          </w:p>
        </w:tc>
        <w:tc>
          <w:tcPr>
            <w:tcW w:w="1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2.2x</w:t>
            </w:r>
          </w:p>
        </w:tc>
      </w:tr>
      <w:tr>
        <w:trPr>
          <w:trHeight w:val="256" w:hRule="atLeast"/>
        </w:trPr>
        <w:tc>
          <w:tcPr>
            <w:tcW w:w="32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Mobile commerce</w:t>
            </w:r>
          </w:p>
        </w:tc>
        <w:tc>
          <w:tcPr>
            <w:tcW w:w="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48.00%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42.00%</w:t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55.00%</w:t>
            </w:r>
          </w:p>
        </w:tc>
        <w:tc>
          <w:tcPr>
            <w:tcW w:w="19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15.00%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br/>
        <w:br/>
      </w:r>
      <w:r>
        <w:rPr>
          <w:rFonts w:ascii="Liberation Serif" w:hAnsi="Liberation Serif"/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 xml:space="preserve"> </w:t>
      </w:r>
      <w:r>
        <w:rPr>
          <w:rFonts w:ascii="Liberation Serif" w:hAnsi="Liberation Serif"/>
          <w:b/>
          <w:bCs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Прогноз развития (базовый сценарий)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tbl>
      <w:tblPr>
        <w:tblW w:w="8850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09"/>
        <w:gridCol w:w="1800"/>
        <w:gridCol w:w="1531"/>
        <w:gridCol w:w="1979"/>
        <w:gridCol w:w="2431"/>
      </w:tblGrid>
      <w:tr>
        <w:trPr>
          <w:trHeight w:val="256" w:hRule="atLeast"/>
        </w:trPr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Год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Размер рынка (€ млрд)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Рост</w:t>
            </w:r>
          </w:p>
        </w:tc>
        <w:tc>
          <w:tcPr>
            <w:tcW w:w="1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Наша доля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/>
                <w:bCs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b/>
                <w:bCs/>
                <w:sz w:val="24"/>
                <w:szCs w:val="24"/>
              </w:rPr>
              <w:t>Наш GMV (€ млн)</w:t>
            </w:r>
          </w:p>
        </w:tc>
      </w:tr>
      <w:tr>
        <w:trPr>
          <w:trHeight w:val="256" w:hRule="atLeast"/>
        </w:trPr>
        <w:tc>
          <w:tcPr>
            <w:tcW w:w="110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2025 Q4</w:t>
            </w:r>
          </w:p>
        </w:tc>
        <w:tc>
          <w:tcPr>
            <w:tcW w:w="18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2.7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>-</w:t>
            </w:r>
          </w:p>
        </w:tc>
        <w:tc>
          <w:tcPr>
            <w:tcW w:w="19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0.10%</w:t>
            </w:r>
          </w:p>
        </w:tc>
        <w:tc>
          <w:tcPr>
            <w:tcW w:w="24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2.7</w:t>
            </w:r>
          </w:p>
        </w:tc>
      </w:tr>
      <w:tr>
        <w:trPr>
          <w:trHeight w:val="256" w:hRule="atLeast"/>
        </w:trPr>
        <w:tc>
          <w:tcPr>
            <w:tcW w:w="110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2026</w:t>
            </w:r>
          </w:p>
        </w:tc>
        <w:tc>
          <w:tcPr>
            <w:tcW w:w="18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3.2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19.00%</w:t>
            </w:r>
          </w:p>
        </w:tc>
        <w:tc>
          <w:tcPr>
            <w:tcW w:w="19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1.50%</w:t>
            </w:r>
          </w:p>
        </w:tc>
        <w:tc>
          <w:tcPr>
            <w:tcW w:w="24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48</w:t>
            </w:r>
          </w:p>
        </w:tc>
      </w:tr>
      <w:tr>
        <w:trPr>
          <w:trHeight w:val="256" w:hRule="atLeast"/>
        </w:trPr>
        <w:tc>
          <w:tcPr>
            <w:tcW w:w="110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2027</w:t>
            </w:r>
          </w:p>
        </w:tc>
        <w:tc>
          <w:tcPr>
            <w:tcW w:w="18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3.8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19.00%</w:t>
            </w:r>
          </w:p>
        </w:tc>
        <w:tc>
          <w:tcPr>
            <w:tcW w:w="19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3.50%</w:t>
            </w:r>
          </w:p>
        </w:tc>
        <w:tc>
          <w:tcPr>
            <w:tcW w:w="24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133</w:t>
            </w:r>
          </w:p>
        </w:tc>
      </w:tr>
      <w:tr>
        <w:trPr>
          <w:trHeight w:val="256" w:hRule="atLeast"/>
        </w:trPr>
        <w:tc>
          <w:tcPr>
            <w:tcW w:w="110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2028</w:t>
            </w:r>
          </w:p>
        </w:tc>
        <w:tc>
          <w:tcPr>
            <w:tcW w:w="18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4.5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18.00%</w:t>
            </w:r>
          </w:p>
        </w:tc>
        <w:tc>
          <w:tcPr>
            <w:tcW w:w="19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6.00%</w:t>
            </w:r>
          </w:p>
        </w:tc>
        <w:tc>
          <w:tcPr>
            <w:tcW w:w="24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270</w:t>
            </w:r>
          </w:p>
        </w:tc>
      </w:tr>
      <w:tr>
        <w:trPr>
          <w:trHeight w:val="256" w:hRule="atLeast"/>
        </w:trPr>
        <w:tc>
          <w:tcPr>
            <w:tcW w:w="110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2029</w:t>
            </w:r>
          </w:p>
        </w:tc>
        <w:tc>
          <w:tcPr>
            <w:tcW w:w="18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5.3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18.00%</w:t>
            </w:r>
          </w:p>
        </w:tc>
        <w:tc>
          <w:tcPr>
            <w:tcW w:w="19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9.00%</w:t>
            </w:r>
          </w:p>
        </w:tc>
        <w:tc>
          <w:tcPr>
            <w:tcW w:w="24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477</w:t>
            </w:r>
          </w:p>
        </w:tc>
      </w:tr>
      <w:tr>
        <w:trPr>
          <w:trHeight w:val="256" w:hRule="atLeast"/>
        </w:trPr>
        <w:tc>
          <w:tcPr>
            <w:tcW w:w="110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2030</w:t>
            </w:r>
          </w:p>
        </w:tc>
        <w:tc>
          <w:tcPr>
            <w:tcW w:w="18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6.2</w:t>
            </w:r>
          </w:p>
        </w:tc>
        <w:tc>
          <w:tcPr>
            <w:tcW w:w="153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17.00%</w:t>
            </w:r>
          </w:p>
        </w:tc>
        <w:tc>
          <w:tcPr>
            <w:tcW w:w="197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12.00%</w:t>
            </w:r>
          </w:p>
        </w:tc>
        <w:tc>
          <w:tcPr>
            <w:tcW w:w="24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744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Стратегические выводы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Окно возможностей: Q4 2025 - Q4 2027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Почему именно сейчас: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1. ✅ Рынок достиг точки перегиба (критическая масса онлайн-покупателей)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2. ✅ Конкуренты технологически отстают на 5+ лет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3. ✅ AI-технологии стали достаточно зрелыми и доступными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4. ✅ У нас есть 2-3 года до входа глобальных игроков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5. ✅ Claude Master System дает 10x преимущество в скорости разработки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Ключевые факторы успеха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1. Скорость захвата рынка - 200k пользователей к концу 2026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2. AI как дифференциатор - То, что конкуренты не смогут скопировать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3. B2B2C модель - Продажа технологии конкурентам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4. Региональная экспансия - Не ждать, начинать в 2026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5. Экосистемный подход - Маркетплейс + логистика + финтех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</w:rPr>
        <w:t>Целевые показатели на конец 2026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Пользователи: 200,000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MAU: 80,000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GMV: €86 млн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Take rate: 4.2%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Выручка: €3.6 млн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- B2B API клиенты: 5 (€700k/год)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9</Pages>
  <Words>1644</Words>
  <Characters>9364</Characters>
  <CharactersWithSpaces>10752</CharactersWithSpaces>
  <Paragraphs>485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2025-08-26T16:44:41Z</dcterms:created>
  <dc:creator/>
  <dc:description/>
  <dc:language>en-US</dc:language>
  <cp:lastModifiedBy/>
  <dcterms:modified xsi:type="dcterms:W3CDTF">2025-08-27T13:46:36Z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