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II.**  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Подготовка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Скачать и установить на локальную машину докер отсюда [</w:t>
      </w:r>
      <w:r w:rsidDel="00000000" w:rsidR="00000000" w:rsidRPr="00000000">
        <w:rPr>
          <w:sz w:val="20"/>
          <w:szCs w:val="20"/>
          <w:rtl w:val="0"/>
        </w:rPr>
        <w:t xml:space="preserve">https://www.docker.com/products/docker-desktop</w:t>
      </w:r>
      <w:r w:rsidDel="00000000" w:rsidR="00000000" w:rsidRPr="00000000">
        <w:rPr>
          <w:sz w:val="20"/>
          <w:szCs w:val="20"/>
          <w:rtl w:val="0"/>
        </w:rPr>
        <w:t xml:space="preserve">](https://www.docker.com/products/docker-desktop "</w:t>
      </w:r>
      <w:r w:rsidDel="00000000" w:rsidR="00000000" w:rsidRPr="00000000">
        <w:rPr>
          <w:sz w:val="20"/>
          <w:szCs w:val="20"/>
          <w:rtl w:val="0"/>
        </w:rPr>
        <w:t xml:space="preserve">https://www.docker.com/products/docker-desktop</w:t>
      </w:r>
      <w:r w:rsidDel="00000000" w:rsidR="00000000" w:rsidRPr="00000000">
        <w:rPr>
          <w:sz w:val="20"/>
          <w:szCs w:val="20"/>
          <w:rtl w:val="0"/>
        </w:rPr>
        <w:t xml:space="preserve">")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В папку с проектом помещаем файл docker-compose.yml (находится в материалах к занятию)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В терминале из папки проекта выполнить docker-compose up -d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После выполнения этой команды на localhost:8080 станет доступна страничка для выполнения дз. Обратите внимание, сначала необходимо выполнить установку базы (по ссылке на странице) и после этого уже приступать к заданию.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  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Задания.**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узнать пароль пользователя с ником Volk2 (2 балла)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узнать почту пользователя с ником Vinni-pukh (4 балла)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Ответом будет текстовый файл, содержащий ход ваших рассуждений, а также все (! в том числе те, которые не принесли результата) запросы (url), которые вы отправите на странице с заданием, включая те, с помощью которых конфиденциальные данные отдаются сервером.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Постарайтесь не пользоваться sqlmap-ом или другими автоматическими средствами, вам необходимо понять, как устроена sql-i. Достать ответы из контйнера тоже не вариант, потому что будет проверяться ход ваших рассуждений, какие запросы вы пробовали отправлять.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Начать разбираться рекомендую отсюда [</w:t>
      </w:r>
      <w:r w:rsidDel="00000000" w:rsidR="00000000" w:rsidRPr="00000000">
        <w:rPr>
          <w:sz w:val="20"/>
          <w:szCs w:val="20"/>
          <w:rtl w:val="0"/>
        </w:rPr>
        <w:t xml:space="preserve">https://www.netsparker.com/blog/web-security/sql-injection-cheat-sheet/</w:t>
      </w:r>
      <w:r w:rsidDel="00000000" w:rsidR="00000000" w:rsidRPr="00000000">
        <w:rPr>
          <w:sz w:val="20"/>
          <w:szCs w:val="20"/>
          <w:rtl w:val="0"/>
        </w:rPr>
        <w:t xml:space="preserve">](https://www.netsparker.com/blog/web-security/sql-injection-cheat-sheet/ "</w:t>
      </w:r>
      <w:r w:rsidDel="00000000" w:rsidR="00000000" w:rsidRPr="00000000">
        <w:rPr>
          <w:sz w:val="20"/>
          <w:szCs w:val="20"/>
          <w:rtl w:val="0"/>
        </w:rPr>
        <w:t xml:space="preserve">https://www.netsparker.com/blog/web-security/sql-injection-cheat-sheet/</w:t>
      </w:r>
      <w:r w:rsidDel="00000000" w:rsidR="00000000" w:rsidRPr="00000000">
        <w:rPr>
          <w:sz w:val="20"/>
          <w:szCs w:val="20"/>
          <w:rtl w:val="0"/>
        </w:rPr>
        <w:t xml:space="preserve">"). 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 поискового запроса sql injection cheat sheet.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Критерии оценки: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 - 4 балла,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II:  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задание 1 - 2 балла,  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задание 2 - 4 балла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Минимальный проходной балл, чтобы сдать ДЗ, - 6 баллов  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Максимальное количество баллов за ДЗ - 10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Часть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https://www.verizon.com/about/news/2025-data-breach-investigations-report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Указано, что было проанализировано 22000 инцидентов 12195 подтвержденных утечек данных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злоупотребление учетными данными (22%) и использование уязвимостей (20%) по-прежнему являются основными начальными направлениями атак, что подчеркивает острую необходимость в усиленных мерах безопасности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включает в том числе эксплуатацию уязвимостей во внешних сервисах, периметровых устройствах и веб-доступных системах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https://global.ptsecurity.com/en/research/analytics/web-vulnerabilities-2020-2021/</w:t>
        </w:r>
      </w:hyperlink>
      <w:r w:rsidDel="00000000" w:rsidR="00000000" w:rsidRPr="00000000">
        <w:rPr>
          <w:rtl w:val="0"/>
        </w:rPr>
        <w:t xml:space="preserve"> - Взял отсюда вывод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Экспертная оценка показывает, что многие уязвимости веб-сайтов связаны с ошибками в кодировании: за последние два года 72 процента обнаруженных уязвимостей были связаны с уязвимым кодом в веб-приложениях, таким как SQL-инъекции, XSS и некорректная проверка состояния или обработка исключений. Другие уязвимости были вызваны неправильным администрированием и могут быть устранены в настройках приложения. Чтобы исключить уязвимости, связанные с кодом, мы настоятельно рекомендуем организациям внедрять безопасный процесс разработки в жизненный цикл веб-приложений и использовать анализатор кода. Для более тщательного изучения уязвимостей приложений используется тестирование в режиме "белого ящика"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https://ptsecurity.com/research/analytics/aktualnye-kiberugrozy-iv-kvartal-2024-goda-i-kvartal-2025-goda/</w:t>
        </w:r>
      </w:hyperlink>
      <w:r w:rsidDel="00000000" w:rsidR="00000000" w:rsidRPr="00000000">
        <w:rPr>
          <w:rtl w:val="0"/>
        </w:rPr>
        <w:t xml:space="preserve"> - вывод из статьи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IV квартале 2024 года количество инцидентов увеличилось на 5% по сравнению с предыдущим кварталом и на 13% в сравнении с аналогичным периодом прошлого года. Вредоносное ПО остается основным инструментом злоумышленников: оно применялось в 66% успешных атак на организации и 51% на частных лиц. Против организаций чаще всего использовались шифровальщики (42%) и ВПО для удаленного управления (38%), против частных лиц — шпионское ПО (48%). Мы наблюдали увеличение интереса к шпионскому ПО в атаках на организации (20%, на 4 п. п. больше, чем в предыдущем квартале). За рассматриваемый период в результате 53% успешных атак на организации была раскрыта конфиденциальная информация, а нарушение основной деятельности компаний наблюдалось в 32% инцидентов. В 48% успешных атак на частных лиц злоумышленники были нацелены на получение финансовой выгоды, что на 18 п. п. больше по сравнению с аналогичным периодом прошлого года. Мы делаем вывод, что финансовые потери среди частных лиц в целом являются характерной чертой IV квартала года.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erizon.com/about/news/2025-data-breach-investigations-report" TargetMode="External"/><Relationship Id="rId7" Type="http://schemas.openxmlformats.org/officeDocument/2006/relationships/hyperlink" Target="https://global.ptsecurity.com/en/research/analytics/web-vulnerabilities-2020-2021/" TargetMode="External"/><Relationship Id="rId8" Type="http://schemas.openxmlformats.org/officeDocument/2006/relationships/hyperlink" Target="https://ptsecurity.com/research/analytics/aktualnye-kiberugrozy-iv-kvartal-2024-goda-i-kvartal-2025-go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