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7a9124ae6648a3" /><Relationship Type="http://schemas.openxmlformats.org/package/2006/relationships/metadata/core-properties" Target="/docProps/core.xml" Id="R6a880334dcfd464b" /><Relationship Type="http://schemas.openxmlformats.org/officeDocument/2006/relationships/extended-properties" Target="/docProps/app.xml" Id="Rc11d030aa1ac4509" /><Relationship Type="http://schemas.openxmlformats.org/officeDocument/2006/relationships/custom-properties" Target="/docProps/custom.xml" Id="R05ddd404ae6443a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hd w:val="clear" w:fill="1F3864"/>
        <w:spacing w:before="480" w:after="120"/>
        <w:jc w:val="center"/>
      </w:pPr>
      <w:r>
        <w:rPr>
          <w:b/>
          <w:color w:val="FFFFFF"/>
          <w:sz w:val="56"/>
        </w:rPr>
        <w:t xml:space="preserve">TELCO CUSTOMER CHURN</w:t>
      </w:r>
    </w:p>
    <w:p w14:paraId="00100002" w14:textId="00100003">
      <w:pPr>
        <w:pStyle w:val="Normal"/>
        <w:shd w:val="clear" w:fill="1F3864"/>
        <w:spacing w:after="120"/>
        <w:jc w:val="center"/>
      </w:pPr>
      <w:r>
        <w:rPr>
          <w:color w:val="FFFFFF"/>
          <w:sz w:val="32"/>
        </w:rPr>
        <w:t xml:space="preserve">Business Analytics Capstone Report</w:t>
      </w:r>
    </w:p>
    <w:p w14:paraId="00100004" w14:textId="00100005">
      <w:pPr>
        <w:pStyle w:val="Normal"/>
        <w:shd w:val="clear" w:fill="1F3864"/>
        <w:spacing w:after="120"/>
        <w:jc w:val="center"/>
      </w:pPr>
      <w:r>
        <w:rPr>
          <w:color w:val="BDD7EE"/>
          <w:sz w:val="24"/>
        </w:rPr>
        <w:t xml:space="preserve">End-to-End Churn Prediction &amp; Retention Strategy</w:t>
      </w:r>
    </w:p>
    <w:p w14:paraId="00100006" w14:textId="00100007">
      <w:pPr>
        <w:pStyle w:val="Normal"/>
        <w:shd w:val="clear" w:fill="1F3864"/>
        <w:spacing w:after="480"/>
        <w:jc w:val="center"/>
      </w:pPr>
      <w:r>
        <w:rPr>
          <w:color w:val="9DC3E6"/>
          <w:sz w:val="20"/>
        </w:rPr>
        <w:t xml:space="preserve">Prepared for: Business Stakeholder Review  |  Dataset: IBM Telco (Kaggle)  |  Customers Analysed: 7,043</w:t>
      </w:r>
    </w:p>
    <w:p w14:paraId="00100008" w14:textId="00100009">
      <w:pPr>
        <w:pStyle w:val="Heading1"/>
        <w:shd w:val="clear" w:fill="2E74B5"/>
        <w:spacing w:before="320" w:after="160"/>
      </w:pPr>
      <w:r>
        <w:rPr>
          <w:b/>
          <w:color w:val="FFFFFF"/>
          <w:sz w:val="32"/>
        </w:rPr>
        <w:t xml:space="preserve">EXECUTIVE SUMMARY</w:t>
      </w:r>
    </w:p>
    <w:p w14:paraId="0010000A" w14:textId="0010000B">
      <w:pPr>
        <w:pStyle w:val="Normal"/>
        <w:spacing w:after="160"/>
      </w:pPr>
      <w:r>
        <w:rPr>
          <w:sz w:val="22"/>
        </w:rPr>
        <w:t xml:space="preserve">This report presents the findings of an end-to-end business analytics study on customer churn for a major telecom provider. Using a dataset of 7,043 customers, we identified the key drivers of churn, built a predictive model to flag at-risk customers, and translated the findings into five concrete retention recommendations.</w:t>
      </w:r>
    </w:p>
    <w:p w14:paraId="0010000C" w14:textId="0010000D">
      <w:pPr>
        <w:pStyle w:val="Normal"/>
        <w:spacing w:after="320"/>
      </w:pPr>
      <w:r>
        <w:rPr>
          <w:sz w:val="22"/>
        </w:rPr>
        <w:t xml:space="preserve">The overall churn rate stands at 26.5% — meaning roughly 1 in 4 customers leaves. Contract type, payment method, internet service tier, and early tenure are the strongest predictors. A Random Forest classifier achieves an AUC of 0.84, making it deployment-ready as a weekly CRM risk-scoring tool.</w:t>
      </w:r>
    </w:p>
    <w:p w14:paraId="0010000E" w14:textId="0010000F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1. INTRODUCTION</w:t>
      </w:r>
    </w:p>
    <w:p w14:paraId="00100010" w14:textId="00100011">
      <w:pPr>
        <w:pStyle w:val="Normal"/>
        <w:spacing w:after="160"/>
      </w:pPr>
      <w:r>
        <w:rPr>
          <w:sz w:val="22"/>
        </w:rPr>
        <w:t xml:space="preserve">Customer churn — the rate at which customers cancel their service — is one of the most critical metrics for telecom companies. Acquiring a new customer costs 5–7× more than retaining an existing one, and a modest 5% reduction in churn can increase profitability by up to 95%.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This project uses the IBM Telco Customer Churn dataset to answer three core questions:</w:t>
      </w:r>
    </w:p>
    <w:p w14:paraId="00100014" w14:textId="00100015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Which customer segments are most likely to churn?</w:t>
      </w:r>
    </w:p>
    <w:p w14:paraId="00100016" w14:textId="00100017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What are the strongest predictors of churn?</w:t>
      </w:r>
    </w:p>
    <w:p w14:paraId="00100018" w14:textId="00100019">
      <w:pPr>
        <w:pStyle w:val="Normal"/>
        <w:numPr>
          <w:ilvl w:val="0"/>
          <w:numId w:val="1"/>
        </w:numPr>
        <w:spacing w:after="240"/>
      </w:pPr>
      <w:r>
        <w:rPr>
          <w:sz w:val="22"/>
        </w:rPr>
        <w:t xml:space="preserve">What actions should the business take to reduce churn?</w:t>
      </w:r>
    </w:p>
    <w:p w14:paraId="0010001A" w14:textId="0010001B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2. DATA OVERVIEW &amp; CLEANING</w:t>
      </w:r>
    </w:p>
    <w:p w14:paraId="0010001C" w14:textId="0010001D">
      <w:pPr>
        <w:pStyle w:val="Normal"/>
        <w:spacing w:after="120"/>
      </w:pPr>
      <w:r>
        <w:rPr>
          <w:sz w:val="22"/>
        </w:rPr>
        <w:t xml:space="preserve">The dataset contains 7,043 customer records across 21 columns covering demographics, services subscribed, billing details, and a binary churn label. Key preprocessing steps:</w:t>
      </w:r>
    </w:p>
    <w:p w14:paraId="0010001E" w14:textId="0010001F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TotalCharges: 11 blank rows coerced to numeric; imputed as MonthlyCharges × tenure (these are brand-new customers).</w:t>
      </w:r>
    </w:p>
    <w:p w14:paraId="00100020" w14:textId="00100021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Binary columns (Yes/No, gender) mapped to 0/1 integers.</w:t>
      </w:r>
    </w:p>
    <w:p w14:paraId="00100022" w14:textId="00100023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Multi-value columns (Contract, PaymentMethod, InternetService) one-hot encoded with drop_first to avoid multicollinearity.</w:t>
      </w:r>
    </w:p>
    <w:p w14:paraId="00100024" w14:textId="00100025">
      <w:pPr>
        <w:pStyle w:val="Normal"/>
        <w:numPr>
          <w:ilvl w:val="0"/>
          <w:numId w:val="2"/>
        </w:numPr>
        <w:spacing w:after="240"/>
      </w:pPr>
      <w:r>
        <w:rPr>
          <w:sz w:val="22"/>
        </w:rPr>
        <w:t xml:space="preserve">customerID dropped (non-predictive identifier).</w:t>
      </w:r>
    </w:p>
    <w:p w14:paraId="00100026" w14:textId="00100027">
      <w:pPr>
        <w:pStyle w:val="Normal"/>
        <w:spacing w:after="320"/>
      </w:pPr>
      <w:r>
        <w:rPr>
          <w:b/>
          <w:sz w:val="22"/>
        </w:rPr>
        <w:t xml:space="preserve">Final model-ready dataset: 7,043 rows × 31 encoded features. Overall churn rate: 26.5% (1,869 churners).</w:t>
      </w:r>
    </w:p>
    <w:p w14:paraId="00100028" w14:textId="00100029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3. EXPLORATORY DATA ANALYSIS</w:t>
      </w:r>
    </w:p>
    <w:p w14:paraId="0010002A" w14:textId="0010002B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3.1 Churn Rate by Contract Type</w:t>
      </w:r>
    </w:p>
    <w:p w14:paraId="0010002C" w14:textId="0010002D">
      <w:pPr>
        <w:pStyle w:val="Normal"/>
        <w:spacing w:after="160"/>
      </w:pPr>
      <w:r>
        <w:rPr>
          <w:sz w:val="22"/>
        </w:rPr>
        <w:t xml:space="preserve">Contract type is the single strongest predictor of churn. Month-to-month customers churn at 15× the rate of two-year contract holders. This is the most actionable finding in the dataset.</w:t>
      </w:r>
    </w:p>
    <w:p w14:paraId="00100030" w14:textId="00100031">
      <w:pPr>
        <w:pStyle w:val="Normal"/>
        <w:spacing w:before="80" w:after="240"/>
        <w:jc w:val="center"/>
      </w:pPr>
      <w:r>
        <w:rPr>
          <w:color w:val="57606A"/>
          <w:sz w:val="18"/>
        </w:rPr>
        <w:t xml:space="preserve">Table 1: Churn Rate by Contract Type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48" w14:textId="00100049">
            <w:r>
              <w:t xml:space="preserve">Contract Type</w:t>
            </w:r>
          </w:p>
        </w:tc>
        <w:tc>
          <w:p w14:paraId="0010004A" w14:textId="0010004B">
            <w:r>
              <w:t xml:space="preserve">Total Customers</w:t>
            </w:r>
          </w:p>
        </w:tc>
        <w:tc>
          <w:p w14:paraId="0010004C" w14:textId="0010004D">
            <w:r>
              <w:t xml:space="preserve">Churn Rate</w:t>
            </w:r>
          </w:p>
        </w:tc>
      </w:tr>
      <w:tr>
        <w:tc>
          <w:p w14:paraId="0010004E" w14:textId="0010004F">
            <w:r>
              <w:t xml:space="preserve">Month-to-month</w:t>
            </w:r>
          </w:p>
        </w:tc>
        <w:tc>
          <w:p w14:paraId="00100050" w14:textId="00100051">
            <w:r>
              <w:t xml:space="preserve">3,875</w:t>
            </w:r>
          </w:p>
        </w:tc>
        <w:tc>
          <w:p w14:paraId="00100052" w14:textId="00100053">
            <w:r>
              <w:t xml:space="preserve">42.7%</w:t>
            </w:r>
          </w:p>
        </w:tc>
      </w:tr>
      <w:tr>
        <w:tc>
          <w:p w14:paraId="00100054" w14:textId="00100055">
            <w:r>
              <w:t xml:space="preserve">One year</w:t>
            </w:r>
          </w:p>
        </w:tc>
        <w:tc>
          <w:p w14:paraId="00100056" w14:textId="00100057">
            <w:r>
              <w:t xml:space="preserve">1,473</w:t>
            </w:r>
          </w:p>
        </w:tc>
        <w:tc>
          <w:p w14:paraId="00100058" w14:textId="00100059">
            <w:r>
              <w:t xml:space="preserve">11.3%</w:t>
            </w:r>
          </w:p>
        </w:tc>
      </w:tr>
      <w:tr>
        <w:tc>
          <w:p w14:paraId="0010005A" w14:textId="0010005B">
            <w:r>
              <w:t xml:space="preserve">Two year</w:t>
            </w:r>
          </w:p>
        </w:tc>
        <w:tc>
          <w:p w14:paraId="0010005C" w14:textId="0010005D">
            <w:r>
              <w:t xml:space="preserve">1,695</w:t>
            </w:r>
          </w:p>
        </w:tc>
        <w:tc>
          <w:p w14:paraId="0010005E" w14:textId="0010005F">
            <w:r>
              <w:t xml:space="preserve">2.8%</w:t>
            </w:r>
          </w:p>
        </w:tc>
      </w:tr>
    </w:tbl>
    <w:p w14:paraId="00100032" w14:textId="00100033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3.2 Churn Rate by Payment Method</w:t>
      </w:r>
    </w:p>
    <w:p w14:paraId="00100034" w14:textId="00100035">
      <w:pPr>
        <w:pStyle w:val="Normal"/>
        <w:spacing w:after="160"/>
      </w:pPr>
      <w:r>
        <w:rPr>
          <w:sz w:val="22"/>
        </w:rPr>
        <w:t xml:space="preserve">Electronic check payers churn at 45.3% — nearly triple the rate of customers on automatic payment methods. This suggests that customers who do not set up autopay are less committed or more price-sensitive.</w:t>
      </w:r>
    </w:p>
    <w:p w14:paraId="00100038" w14:textId="00100039">
      <w:pPr>
        <w:pStyle w:val="Normal"/>
        <w:spacing w:before="80" w:after="240"/>
        <w:jc w:val="center"/>
      </w:pPr>
      <w:r>
        <w:rPr>
          <w:color w:val="57606A"/>
          <w:sz w:val="18"/>
        </w:rPr>
        <w:t xml:space="preserve">Table 2: Churn Rate by Payment Method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60" w14:textId="00100061">
            <w:r>
              <w:t xml:space="preserve">Payment Method</w:t>
            </w:r>
          </w:p>
        </w:tc>
        <w:tc>
          <w:p w14:paraId="00100062" w14:textId="00100063">
            <w:r>
              <w:t xml:space="preserve">Total Customers</w:t>
            </w:r>
          </w:p>
        </w:tc>
        <w:tc>
          <w:p w14:paraId="00100064" w14:textId="00100065">
            <w:r>
              <w:t xml:space="preserve">Churn Rate</w:t>
            </w:r>
          </w:p>
        </w:tc>
      </w:tr>
      <w:tr>
        <w:tc>
          <w:p w14:paraId="00100066" w14:textId="00100067">
            <w:r>
              <w:t xml:space="preserve">Electronic check</w:t>
            </w:r>
          </w:p>
        </w:tc>
        <w:tc>
          <w:p w14:paraId="00100068" w14:textId="00100069">
            <w:r>
              <w:t xml:space="preserve">2,365</w:t>
            </w:r>
          </w:p>
        </w:tc>
        <w:tc>
          <w:p w14:paraId="0010006A" w14:textId="0010006B">
            <w:r>
              <w:t xml:space="preserve">45.3%</w:t>
            </w:r>
          </w:p>
        </w:tc>
      </w:tr>
      <w:tr>
        <w:tc>
          <w:p w14:paraId="0010006C" w14:textId="0010006D">
            <w:r>
              <w:t xml:space="preserve">Mailed check</w:t>
            </w:r>
          </w:p>
        </w:tc>
        <w:tc>
          <w:p w14:paraId="0010006E" w14:textId="0010006F">
            <w:r>
              <w:t xml:space="preserve">1,612</w:t>
            </w:r>
          </w:p>
        </w:tc>
        <w:tc>
          <w:p w14:paraId="00100070" w14:textId="00100071">
            <w:r>
              <w:t xml:space="preserve">19.1%</w:t>
            </w:r>
          </w:p>
        </w:tc>
      </w:tr>
      <w:tr>
        <w:tc>
          <w:p w14:paraId="00100072" w14:textId="00100073">
            <w:r>
              <w:t xml:space="preserve">Bank transfer (auto)</w:t>
            </w:r>
          </w:p>
        </w:tc>
        <w:tc>
          <w:p w14:paraId="00100074" w14:textId="00100075">
            <w:r>
              <w:t xml:space="preserve">1,544</w:t>
            </w:r>
          </w:p>
        </w:tc>
        <w:tc>
          <w:p w14:paraId="00100076" w14:textId="00100077">
            <w:r>
              <w:t xml:space="preserve">16.7%</w:t>
            </w:r>
          </w:p>
        </w:tc>
      </w:tr>
      <w:tr>
        <w:tc>
          <w:p w14:paraId="00100078" w14:textId="00100079">
            <w:r>
              <w:t xml:space="preserve">Credit card (auto)</w:t>
            </w:r>
          </w:p>
        </w:tc>
        <w:tc>
          <w:p w14:paraId="0010007A" w14:textId="0010007B">
            <w:r>
              <w:t xml:space="preserve">1,522</w:t>
            </w:r>
          </w:p>
        </w:tc>
        <w:tc>
          <w:p w14:paraId="0010007C" w14:textId="0010007D">
            <w:r>
              <w:t xml:space="preserve">15.2%</w:t>
            </w:r>
          </w:p>
        </w:tc>
      </w:tr>
    </w:tbl>
    <w:p w14:paraId="0010003A" w14:textId="0010003B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3.3 Churn Rate by Internet Service</w:t>
      </w:r>
    </w:p>
    <w:p w14:paraId="0010003C" w14:textId="0010003D">
      <w:pPr>
        <w:pStyle w:val="Normal"/>
        <w:spacing w:after="160"/>
      </w:pPr>
      <w:r>
        <w:rPr>
          <w:sz w:val="22"/>
        </w:rPr>
        <w:t xml:space="preserve">Fiber optic subscribers churn at 41.9%, compared to 18.9% for DSL and just 7.4% for customers with no internet add-on. Higher monthly charges among fiber optic customers likely compound price sensitivity.</w:t>
      </w:r>
    </w:p>
    <w:p w14:paraId="00100040" w14:textId="00100041">
      <w:pPr>
        <w:pStyle w:val="Normal"/>
        <w:spacing w:before="80" w:after="240"/>
        <w:jc w:val="center"/>
      </w:pPr>
      <w:r>
        <w:rPr>
          <w:color w:val="57606A"/>
          <w:sz w:val="18"/>
        </w:rPr>
        <w:t xml:space="preserve">Table 3: Churn Rate by Internet Service Type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7E" w14:textId="0010007F">
            <w:r>
              <w:t xml:space="preserve">Internet Service</w:t>
            </w:r>
          </w:p>
        </w:tc>
        <w:tc>
          <w:p w14:paraId="00100080" w14:textId="00100081">
            <w:r>
              <w:t xml:space="preserve">Total Customers</w:t>
            </w:r>
          </w:p>
        </w:tc>
        <w:tc>
          <w:p w14:paraId="00100082" w14:textId="00100083">
            <w:r>
              <w:t xml:space="preserve">Churn Rate</w:t>
            </w:r>
          </w:p>
        </w:tc>
      </w:tr>
      <w:tr>
        <w:tc>
          <w:p w14:paraId="00100084" w14:textId="00100085">
            <w:r>
              <w:t xml:space="preserve">Fiber optic</w:t>
            </w:r>
          </w:p>
        </w:tc>
        <w:tc>
          <w:p w14:paraId="00100086" w14:textId="00100087">
            <w:r>
              <w:t xml:space="preserve">3,096</w:t>
            </w:r>
          </w:p>
        </w:tc>
        <w:tc>
          <w:p w14:paraId="00100088" w14:textId="00100089">
            <w:r>
              <w:t xml:space="preserve">41.9%</w:t>
            </w:r>
          </w:p>
        </w:tc>
      </w:tr>
      <w:tr>
        <w:tc>
          <w:p w14:paraId="0010008A" w14:textId="0010008B">
            <w:r>
              <w:t xml:space="preserve">DSL</w:t>
            </w:r>
          </w:p>
        </w:tc>
        <w:tc>
          <w:p w14:paraId="0010008C" w14:textId="0010008D">
            <w:r>
              <w:t xml:space="preserve">2,421</w:t>
            </w:r>
          </w:p>
        </w:tc>
        <w:tc>
          <w:p w14:paraId="0010008E" w14:textId="0010008F">
            <w:r>
              <w:t xml:space="preserve">18.9%</w:t>
            </w:r>
          </w:p>
        </w:tc>
      </w:tr>
      <w:tr>
        <w:tc>
          <w:p w14:paraId="00100090" w14:textId="00100091">
            <w:r>
              <w:t xml:space="preserve">No internet service</w:t>
            </w:r>
          </w:p>
        </w:tc>
        <w:tc>
          <w:p w14:paraId="00100092" w14:textId="00100093">
            <w:r>
              <w:t xml:space="preserve">1,526</w:t>
            </w:r>
          </w:p>
        </w:tc>
        <w:tc>
          <w:p w14:paraId="00100094" w14:textId="00100095">
            <w:r>
              <w:t xml:space="preserve">7.4%</w:t>
            </w:r>
          </w:p>
        </w:tc>
      </w:tr>
    </w:tbl>
    <w:p w14:paraId="00100042" w14:textId="00100043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3.4 Tenure &amp; Monthly Charges</w:t>
      </w:r>
    </w:p>
    <w:p w14:paraId="00100044" w14:textId="00100045">
      <w:pPr>
        <w:pStyle w:val="Normal"/>
        <w:spacing w:after="120"/>
      </w:pPr>
      <w:r>
        <w:rPr>
          <w:sz w:val="22"/>
        </w:rPr>
        <w:t xml:space="preserve">Tenure is strongly protective. Customers who stay beyond 12 months churn at dramatically lower rates. The distribution analysis reveals the first 3–6 months as the highest-risk window.</w:t>
      </w:r>
    </w:p>
    <w:p w14:paraId="00100046" w14:textId="00100047">
      <w:pPr>
        <w:pStyle w:val="Normal"/>
        <w:spacing w:after="320"/>
      </w:pPr>
      <w:r>
        <w:rPr>
          <w:sz w:val="22"/>
        </w:rPr>
        <w:t xml:space="preserve">Monthly charges: Churned customers pay a median of ~$79/month vs. ~$61 for retained customers. Higher spend amplifies churn risk, particularly for newer customers who have not yet seen the full value of the service.</w:t>
      </w:r>
    </w:p>
    <w:p w14:paraId="00100096" w14:textId="00100097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4. PREDICTIVE MODELLING</w:t>
      </w:r>
    </w:p>
    <w:p w14:paraId="00100098" w14:textId="00100099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4.1 Methodology</w:t>
      </w:r>
    </w:p>
    <w:p w14:paraId="0010009A" w14:textId="0010009B">
      <w:pPr>
        <w:pStyle w:val="Normal"/>
        <w:spacing w:after="120"/>
      </w:pPr>
      <w:r>
        <w:rPr>
          <w:sz w:val="22"/>
        </w:rPr>
        <w:t xml:space="preserve">Two scikit-learn pipeline models were trained on an 80/20 stratified train/test split (5,634 train | 1,409 test):</w:t>
      </w:r>
    </w:p>
    <w:p w14:paraId="0010009C" w14:textId="0010009D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Logistic Regression (C=0.5, max_iter=1000): interpretable baseline; StandardScaler preprocessing.</w:t>
      </w:r>
    </w:p>
    <w:p w14:paraId="0010009E" w14:textId="0010009F">
      <w:pPr>
        <w:pStyle w:val="Normal"/>
        <w:numPr>
          <w:ilvl w:val="0"/>
          <w:numId w:val="3"/>
        </w:numPr>
        <w:spacing w:after="240"/>
      </w:pPr>
      <w:r>
        <w:rPr>
          <w:sz w:val="22"/>
        </w:rPr>
        <w:t xml:space="preserve">Random Forest (200 trees, max_depth=8): captures non-linear interactions; provides feature importance rankings.</w:t>
      </w:r>
    </w:p>
    <w:p w14:paraId="001000A0" w14:textId="001000A1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4.2 Model Performance</w:t>
      </w:r>
    </w:p>
    <w:p w14:paraId="001000A2" w14:textId="001000A3">
      <w:pPr>
        <w:pStyle w:val="Normal"/>
        <w:spacing w:after="160"/>
      </w:pPr>
      <w:r>
        <w:rPr>
          <w:sz w:val="22"/>
        </w:rPr>
        <w:t xml:space="preserve">Both models achieve ~80% accuracy. Logistic Regression has better recall (catches more true churners), making it preferable for retention campaigns where missing a churner is costly. Random Forest delivers higher precision and is better suited as a scoring engine.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1000A4" w14:textId="001000A5">
            <w:r>
              <w:t xml:space="preserve">Metric</w:t>
            </w:r>
          </w:p>
        </w:tc>
        <w:tc>
          <w:p w14:paraId="001000A6" w14:textId="001000A7">
            <w:r>
              <w:t xml:space="preserve">Logistic Regression</w:t>
            </w:r>
          </w:p>
        </w:tc>
        <w:tc>
          <w:p w14:paraId="001000A8" w14:textId="001000A9">
            <w:r>
              <w:t xml:space="preserve">Random Forest</w:t>
            </w:r>
          </w:p>
        </w:tc>
        <w:tc>
          <w:p w14:paraId="001000AA" w14:textId="001000AB">
            <w:r>
              <w:t xml:space="preserve">Interpretation</w:t>
            </w:r>
          </w:p>
        </w:tc>
        <w:tc>
          <w:p w14:paraId="001000AC" w14:textId="001000AD">
            <w:r>
              <w:t xml:space="preserve">Preferred For</w:t>
            </w:r>
          </w:p>
        </w:tc>
      </w:tr>
      <w:tr>
        <w:tc>
          <w:p w14:paraId="001000AE" w14:textId="001000AF">
            <w:r>
              <w:t xml:space="preserve">Accuracy</w:t>
            </w:r>
          </w:p>
        </w:tc>
        <w:tc>
          <w:p w14:paraId="001000B0" w14:textId="001000B1">
            <w:r>
              <w:t xml:space="preserve">80.6%</w:t>
            </w:r>
          </w:p>
        </w:tc>
        <w:tc>
          <w:p w14:paraId="001000B2" w14:textId="001000B3">
            <w:r>
              <w:t xml:space="preserve">80.1%</w:t>
            </w:r>
          </w:p>
        </w:tc>
        <w:tc>
          <w:p w14:paraId="001000B4" w14:textId="001000B5">
            <w:r>
              <w:t xml:space="preserve">Overall correct predictions</w:t>
            </w:r>
          </w:p>
        </w:tc>
        <w:tc>
          <w:p w14:paraId="001000B6" w14:textId="001000B7">
            <w:r>
              <w:t xml:space="preserve">Either</w:t>
            </w:r>
          </w:p>
        </w:tc>
      </w:tr>
      <w:tr>
        <w:tc>
          <w:p w14:paraId="001000B8" w14:textId="001000B9">
            <w:r>
              <w:t xml:space="preserve">Precision</w:t>
            </w:r>
          </w:p>
        </w:tc>
        <w:tc>
          <w:p w14:paraId="001000BA" w14:textId="001000BB">
            <w:r>
              <w:t xml:space="preserve">65.6%</w:t>
            </w:r>
          </w:p>
        </w:tc>
        <w:tc>
          <w:p w14:paraId="001000BC" w14:textId="001000BD">
            <w:r>
              <w:t xml:space="preserve">67.0%</w:t>
            </w:r>
          </w:p>
        </w:tc>
        <w:tc>
          <w:p w14:paraId="001000BE" w14:textId="001000BF">
            <w:r>
              <w:t xml:space="preserve">Of flagged churners, truly churn</w:t>
            </w:r>
          </w:p>
        </w:tc>
        <w:tc>
          <w:p w14:paraId="001000C0" w14:textId="001000C1">
            <w:r>
              <w:t xml:space="preserve">RF</w:t>
            </w:r>
          </w:p>
        </w:tc>
      </w:tr>
      <w:tr>
        <w:tc>
          <w:p w14:paraId="001000C2" w14:textId="001000C3">
            <w:r>
              <w:t xml:space="preserve">Recall</w:t>
            </w:r>
          </w:p>
        </w:tc>
        <w:tc>
          <w:p w14:paraId="001000C4" w14:textId="001000C5">
            <w:r>
              <w:t xml:space="preserve">56.1%</w:t>
            </w:r>
          </w:p>
        </w:tc>
        <w:tc>
          <w:p w14:paraId="001000C6" w14:textId="001000C7">
            <w:r>
              <w:t xml:space="preserve">48.9%</w:t>
            </w:r>
          </w:p>
        </w:tc>
        <w:tc>
          <w:p w14:paraId="001000C8" w14:textId="001000C9">
            <w:r>
              <w:t xml:space="preserve">Of actual churners, how many caught</w:t>
            </w:r>
          </w:p>
        </w:tc>
        <w:tc>
          <w:p w14:paraId="001000CA" w14:textId="001000CB">
            <w:r>
              <w:t xml:space="preserve">LR</w:t>
            </w:r>
          </w:p>
        </w:tc>
      </w:tr>
      <w:tr>
        <w:tc>
          <w:p w14:paraId="001000CC" w14:textId="001000CD">
            <w:r>
              <w:t xml:space="preserve">F1 Score</w:t>
            </w:r>
          </w:p>
        </w:tc>
        <w:tc>
          <w:p w14:paraId="001000CE" w14:textId="001000CF">
            <w:r>
              <w:t xml:space="preserve">60.5%</w:t>
            </w:r>
          </w:p>
        </w:tc>
        <w:tc>
          <w:p w14:paraId="001000D0" w14:textId="001000D1">
            <w:r>
              <w:t xml:space="preserve">56.6%</w:t>
            </w:r>
          </w:p>
        </w:tc>
        <w:tc>
          <w:p w14:paraId="001000D2" w14:textId="001000D3">
            <w:r>
              <w:t xml:space="preserve">Harmonic mean of precision &amp; recall</w:t>
            </w:r>
          </w:p>
        </w:tc>
        <w:tc>
          <w:p w14:paraId="001000D4" w14:textId="001000D5">
            <w:r>
              <w:t xml:space="preserve">LR</w:t>
            </w:r>
          </w:p>
        </w:tc>
      </w:tr>
      <w:tr>
        <w:tc>
          <w:p w14:paraId="001000D6" w14:textId="001000D7">
            <w:r>
              <w:t xml:space="preserve">AUC</w:t>
            </w:r>
          </w:p>
        </w:tc>
        <w:tc>
          <w:p w14:paraId="001000D8" w14:textId="001000D9">
            <w:r>
              <w:t xml:space="preserve">~0.83</w:t>
            </w:r>
          </w:p>
        </w:tc>
        <w:tc>
          <w:p w14:paraId="001000DA" w14:textId="001000DB">
            <w:r>
              <w:t xml:space="preserve">~0.84</w:t>
            </w:r>
          </w:p>
        </w:tc>
        <w:tc>
          <w:p w14:paraId="001000DC" w14:textId="001000DD">
            <w:r>
              <w:t xml:space="preserve">Discrimination power (1.0 = perfect)</w:t>
            </w:r>
          </w:p>
        </w:tc>
        <w:tc>
          <w:p w14:paraId="001000DE" w14:textId="001000DF">
            <w:r>
              <w:t xml:space="preserve">RF</w:t>
            </w:r>
          </w:p>
        </w:tc>
      </w:tr>
    </w:tbl>
    <w:p w14:paraId="001000E0" w14:textId="001000E1">
      <w:pPr>
        <w:pStyle w:val="Normal"/>
        <w:spacing w:before="80" w:after="240"/>
        <w:jc w:val="center"/>
      </w:pPr>
      <w:r>
        <w:rPr>
          <w:color w:val="57606A"/>
          <w:sz w:val="18"/>
        </w:rPr>
        <w:t xml:space="preserve">Table 4: Model Performance Comparison</w:t>
      </w:r>
    </w:p>
    <w:p w14:paraId="001000E2" w14:textId="001000E3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4.3 Key Churn Drivers (Feature Importance)</w:t>
      </w:r>
    </w:p>
    <w:p w14:paraId="001000E4" w14:textId="001000E5">
      <w:pPr>
        <w:pStyle w:val="Normal"/>
        <w:spacing w:after="160"/>
      </w:pPr>
      <w:r>
        <w:rPr>
          <w:sz w:val="22"/>
        </w:rPr>
        <w:t xml:space="preserve">The Random Forest model ranks features by their contribution to reducing prediction error. The top drivers explain both the what and the why of churn: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6" w14:textId="001000E7">
            <w:r>
              <w:t xml:space="preserve">Rank</w:t>
            </w:r>
          </w:p>
        </w:tc>
        <w:tc>
          <w:p w14:paraId="001000E8" w14:textId="001000E9">
            <w:r>
              <w:t xml:space="preserve">Feature</w:t>
            </w:r>
          </w:p>
        </w:tc>
        <w:tc>
          <w:p w14:paraId="001000EA" w14:textId="001000EB">
            <w:r>
              <w:t xml:space="preserve">Importance Score</w:t>
            </w:r>
          </w:p>
        </w:tc>
      </w:tr>
      <w:tr>
        <w:tc>
          <w:p w14:paraId="001000EC" w14:textId="001000ED">
            <w:r>
              <w:t xml:space="preserve">1</w:t>
            </w:r>
          </w:p>
        </w:tc>
        <w:tc>
          <w:p w14:paraId="001000EE" w14:textId="001000EF">
            <w:r>
              <w:t xml:space="preserve">Tenure (months)</w:t>
            </w:r>
          </w:p>
        </w:tc>
        <w:tc>
          <w:p w14:paraId="001000F0" w14:textId="001000F1">
            <w:r>
              <w:t xml:space="preserve">19.7%</w:t>
            </w:r>
          </w:p>
        </w:tc>
      </w:tr>
      <w:tr>
        <w:tc>
          <w:p w14:paraId="001000F2" w14:textId="001000F3">
            <w:r>
              <w:t xml:space="preserve">2</w:t>
            </w:r>
          </w:p>
        </w:tc>
        <w:tc>
          <w:p w14:paraId="001000F4" w14:textId="001000F5">
            <w:r>
              <w:t xml:space="preserve">Total Charges</w:t>
            </w:r>
          </w:p>
        </w:tc>
        <w:tc>
          <w:p w14:paraId="001000F6" w14:textId="001000F7">
            <w:r>
              <w:t xml:space="preserve">15.0%</w:t>
            </w:r>
          </w:p>
        </w:tc>
      </w:tr>
      <w:tr>
        <w:tc>
          <w:p w14:paraId="001000F8" w14:textId="001000F9">
            <w:r>
              <w:t xml:space="preserve">3</w:t>
            </w:r>
          </w:p>
        </w:tc>
        <w:tc>
          <w:p w14:paraId="001000FA" w14:textId="001000FB">
            <w:r>
              <w:t xml:space="preserve">Monthly Charges</w:t>
            </w:r>
          </w:p>
        </w:tc>
        <w:tc>
          <w:p w14:paraId="001000FC" w14:textId="001000FD">
            <w:r>
              <w:t xml:space="preserve">10.1%</w:t>
            </w:r>
          </w:p>
        </w:tc>
      </w:tr>
      <w:tr>
        <w:tc>
          <w:p w14:paraId="001000FE" w14:textId="001000FF">
            <w:r>
              <w:t xml:space="preserve">4</w:t>
            </w:r>
          </w:p>
        </w:tc>
        <w:tc>
          <w:p w14:paraId="00100100" w14:textId="00100101">
            <w:r>
              <w:t xml:space="preserve">Internet Service: Fiber optic</w:t>
            </w:r>
          </w:p>
        </w:tc>
        <w:tc>
          <w:p w14:paraId="00100102" w14:textId="00100103">
            <w:r>
              <w:t xml:space="preserve">8.0%</w:t>
            </w:r>
          </w:p>
        </w:tc>
      </w:tr>
      <w:tr>
        <w:tc>
          <w:p w14:paraId="00100104" w14:textId="00100105">
            <w:r>
              <w:t xml:space="preserve">5</w:t>
            </w:r>
          </w:p>
        </w:tc>
        <w:tc>
          <w:p w14:paraId="00100106" w14:textId="00100107">
            <w:r>
              <w:t xml:space="preserve">Contract: Two year</w:t>
            </w:r>
          </w:p>
        </w:tc>
        <w:tc>
          <w:p w14:paraId="00100108" w14:textId="00100109">
            <w:r>
              <w:t xml:space="preserve">7.4%</w:t>
            </w:r>
          </w:p>
        </w:tc>
      </w:tr>
      <w:tr>
        <w:tc>
          <w:p w14:paraId="0010010A" w14:textId="0010010B">
            <w:r>
              <w:t xml:space="preserve">6</w:t>
            </w:r>
          </w:p>
        </w:tc>
        <w:tc>
          <w:p w14:paraId="0010010C" w14:textId="0010010D">
            <w:r>
              <w:t xml:space="preserve">Payment Method: Electronic check</w:t>
            </w:r>
          </w:p>
        </w:tc>
        <w:tc>
          <w:p w14:paraId="0010010E" w14:textId="0010010F">
            <w:r>
              <w:t xml:space="preserve">7.2%</w:t>
            </w:r>
          </w:p>
        </w:tc>
      </w:tr>
      <w:tr>
        <w:tc>
          <w:p w14:paraId="00100110" w14:textId="00100111">
            <w:r>
              <w:t xml:space="preserve">7</w:t>
            </w:r>
          </w:p>
        </w:tc>
        <w:tc>
          <w:p w14:paraId="00100112" w14:textId="00100113">
            <w:r>
              <w:t xml:space="preserve">Online Security: Yes</w:t>
            </w:r>
          </w:p>
        </w:tc>
        <w:tc>
          <w:p w14:paraId="00100114" w14:textId="00100115">
            <w:r>
              <w:t xml:space="preserve">3.6%</w:t>
            </w:r>
          </w:p>
        </w:tc>
      </w:tr>
      <w:tr>
        <w:tc>
          <w:p w14:paraId="00100116" w14:textId="00100117">
            <w:r>
              <w:t xml:space="preserve">8</w:t>
            </w:r>
          </w:p>
        </w:tc>
        <w:tc>
          <w:p w14:paraId="00100118" w14:textId="00100119">
            <w:r>
              <w:t xml:space="preserve">Contract: One year</w:t>
            </w:r>
          </w:p>
        </w:tc>
        <w:tc>
          <w:p w14:paraId="0010011A" w14:textId="0010011B">
            <w:r>
              <w:t xml:space="preserve">3.5%</w:t>
            </w:r>
          </w:p>
        </w:tc>
      </w:tr>
      <w:tr>
        <w:tc>
          <w:p w14:paraId="0010011C" w14:textId="0010011D">
            <w:r>
              <w:t xml:space="preserve">9</w:t>
            </w:r>
          </w:p>
        </w:tc>
        <w:tc>
          <w:p w14:paraId="0010011E" w14:textId="0010011F">
            <w:r>
              <w:t xml:space="preserve">Tech Support: Yes</w:t>
            </w:r>
          </w:p>
        </w:tc>
        <w:tc>
          <w:p w14:paraId="00100120" w14:textId="00100121">
            <w:r>
              <w:t xml:space="preserve">2.8%</w:t>
            </w:r>
          </w:p>
        </w:tc>
      </w:tr>
      <w:tr>
        <w:tc>
          <w:p w14:paraId="00100122" w14:textId="00100123">
            <w:r>
              <w:t xml:space="preserve">10</w:t>
            </w:r>
          </w:p>
        </w:tc>
        <w:tc>
          <w:p w14:paraId="00100124" w14:textId="00100125">
            <w:r>
              <w:t xml:space="preserve">Paperless Billing</w:t>
            </w:r>
          </w:p>
        </w:tc>
        <w:tc>
          <w:p w14:paraId="00100126" w14:textId="00100127">
            <w:r>
              <w:t xml:space="preserve">2.2%</w:t>
            </w:r>
          </w:p>
        </w:tc>
      </w:tr>
    </w:tbl>
    <w:p w14:paraId="00100128" w14:textId="00100129">
      <w:pPr>
        <w:pStyle w:val="Normal"/>
        <w:spacing w:before="80" w:after="240"/>
        <w:jc w:val="center"/>
      </w:pPr>
      <w:r>
        <w:rPr>
          <w:color w:val="57606A"/>
          <w:sz w:val="18"/>
        </w:rPr>
        <w:t xml:space="preserve">Table 5: Top 10 Feature Importance Rankings (Random Forest)</w:t>
      </w:r>
    </w:p>
    <w:p w14:paraId="0010012A" w14:textId="0010012B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5. BUSINESS RECOMMENDATIONS</w:t>
      </w:r>
    </w:p>
    <w:p w14:paraId="0010012C" w14:textId="0010012D">
      <w:pPr>
        <w:pStyle w:val="Normal"/>
        <w:spacing w:after="240"/>
      </w:pPr>
      <w:r>
        <w:rPr>
          <w:sz w:val="22"/>
        </w:rPr>
        <w:t xml:space="preserve">The following five recommendations are ranked by estimated impact and ease of implementation. Each is grounded directly in the data findings.</w:t>
      </w:r>
    </w:p>
    <w:p w14:paraId="0010012E" w14:textId="0010012F">
      <w:pPr>
        <w:pStyle w:val="Heading2"/>
        <w:spacing w:before="240" w:after="120"/>
      </w:pPr>
      <w:r>
        <w:rPr>
          <w:b/>
          <w:color w:val="C00000"/>
          <w:sz w:val="26"/>
        </w:rPr>
        <w:t xml:space="preserve">RECOMMENDATION 1: Convert Month-to-Month Customers to Annual Contracts</w:t>
      </w:r>
    </w:p>
    <w:p w14:paraId="00100130" w14:textId="00100131">
      <w:pPr>
        <w:pStyle w:val="Normal"/>
        <w:spacing w:after="80"/>
      </w:pPr>
      <w:r>
        <w:rPr>
          <w:sz w:val="22"/>
        </w:rPr>
        <w:t xml:space="preserve">Business Case: Month-to-month customers churn at 42.7% vs. only 2.8% for two-year customers — a 15× difference. This is the highest-impact lever available.</w:t>
      </w:r>
    </w:p>
    <w:p w14:paraId="00100132" w14:textId="00100133">
      <w:pPr>
        <w:pStyle w:val="Normal"/>
        <w:spacing w:after="80"/>
      </w:pPr>
      <w:r>
        <w:rPr>
          <w:sz w:val="22"/>
        </w:rPr>
        <w:t xml:space="preserve">Action: Offer a 10–15% bill discount to month-to-month customers at the 2-month mark in exchange for signing a 1-year contract. Even converting 20% of this group would reduce the highest-risk pool by nearly half.</w:t>
      </w:r>
    </w:p>
    <w:p w14:paraId="00100134" w14:textId="00100135">
      <w:pPr>
        <w:pStyle w:val="Normal"/>
        <w:spacing w:after="240"/>
      </w:pPr>
      <w:r>
        <w:rPr>
          <w:b/>
          <w:sz w:val="22"/>
        </w:rPr>
        <w:t xml:space="preserve">Expected Impact: High. Converts the most volatile customers into predictable, lower-churn subscribers.</w:t>
      </w:r>
    </w:p>
    <w:p w14:paraId="00100136" w14:textId="00100137">
      <w:pPr>
        <w:pStyle w:val="Heading2"/>
        <w:spacing w:before="240" w:after="120"/>
      </w:pPr>
      <w:r>
        <w:rPr>
          <w:b/>
          <w:color w:val="C00000"/>
          <w:sz w:val="26"/>
        </w:rPr>
        <w:t xml:space="preserve">RECOMMENDATION 2: Launch an Early-Tenure Onboarding Program (Months 1–6)</w:t>
      </w:r>
    </w:p>
    <w:p w14:paraId="00100138" w14:textId="00100139">
      <w:pPr>
        <w:pStyle w:val="Normal"/>
        <w:spacing w:after="80"/>
      </w:pPr>
      <w:r>
        <w:rPr>
          <w:sz w:val="22"/>
        </w:rPr>
        <w:t xml:space="preserve">Business Case: Tenure is the #1 feature importance driver (19.7%). The distribution of churned customers is heavily skewed toward months 1–6. Most customers who will churn decide to do so very early.</w:t>
      </w:r>
    </w:p>
    <w:p w14:paraId="0010013A" w14:textId="0010013B">
      <w:pPr>
        <w:pStyle w:val="Normal"/>
        <w:spacing w:after="80"/>
      </w:pPr>
      <w:r>
        <w:rPr>
          <w:sz w:val="22"/>
        </w:rPr>
        <w:t xml:space="preserve">Action: Assign a 'success manager' outreach call at month 1, month 3, and month 6 for all new customers. Alternatively, automate a 3-email check-in sequence with usage tips, offers, and satisfaction surveys.</w:t>
      </w:r>
    </w:p>
    <w:p w14:paraId="0010013C" w14:textId="0010013D">
      <w:pPr>
        <w:pStyle w:val="Normal"/>
        <w:spacing w:after="240"/>
      </w:pPr>
      <w:r>
        <w:rPr>
          <w:b/>
          <w:sz w:val="22"/>
        </w:rPr>
        <w:t xml:space="preserve">Expected Impact: High. Addresses the largest volume of at-risk customers at the lowest cost per intervention.</w:t>
      </w:r>
    </w:p>
    <w:p w14:paraId="0010013E" w14:textId="0010013F">
      <w:pPr>
        <w:pStyle w:val="Heading2"/>
        <w:spacing w:before="240" w:after="120"/>
      </w:pPr>
      <w:r>
        <w:rPr>
          <w:b/>
          <w:color w:val="C00000"/>
          <w:sz w:val="26"/>
        </w:rPr>
        <w:t xml:space="preserve">RECOMMENDATION 3: Incentivise Autopay Enrollment</w:t>
      </w:r>
    </w:p>
    <w:p w14:paraId="00100140" w14:textId="00100141">
      <w:pPr>
        <w:pStyle w:val="Normal"/>
        <w:spacing w:after="80"/>
      </w:pPr>
      <w:r>
        <w:rPr>
          <w:sz w:val="22"/>
        </w:rPr>
        <w:t xml:space="preserve">Business Case: Electronic check payers churn at 45.3% vs. 15–17% for automatic payment customers. Customers on autopay are behaviorally more 'locked in' and cognitively less likely to cancel.</w:t>
      </w:r>
    </w:p>
    <w:p w14:paraId="00100142" w14:textId="00100143">
      <w:pPr>
        <w:pStyle w:val="Normal"/>
        <w:spacing w:after="80"/>
      </w:pPr>
      <w:r>
        <w:rPr>
          <w:sz w:val="22"/>
        </w:rPr>
        <w:t xml:space="preserve">Action: Offer a $5/month bill credit to any customer who switches to bank transfer or credit card autopay. The reduced churn rate over a 12-month customer lifetime far outweighs the $60/year credit.</w:t>
      </w:r>
    </w:p>
    <w:p w14:paraId="00100144" w14:textId="00100145">
      <w:pPr>
        <w:pStyle w:val="Normal"/>
        <w:spacing w:after="240"/>
      </w:pPr>
      <w:r>
        <w:rPr>
          <w:b/>
          <w:sz w:val="22"/>
        </w:rPr>
        <w:t xml:space="preserve">Expected Impact: Medium-High. Low cost to implement; directly targets a high-churn behavioral segment.</w:t>
      </w:r>
    </w:p>
    <w:p w14:paraId="00100146" w14:textId="00100147">
      <w:pPr>
        <w:pStyle w:val="Heading2"/>
        <w:spacing w:before="240" w:after="120"/>
      </w:pPr>
      <w:r>
        <w:rPr>
          <w:b/>
          <w:color w:val="C00000"/>
          <w:sz w:val="26"/>
        </w:rPr>
        <w:t xml:space="preserve">RECOMMENDATION 4: Investigate Fiber Optic Quality and Pricing</w:t>
      </w:r>
    </w:p>
    <w:p w14:paraId="00100148" w14:textId="00100149">
      <w:pPr>
        <w:pStyle w:val="Normal"/>
        <w:spacing w:after="80"/>
      </w:pPr>
      <w:r>
        <w:rPr>
          <w:sz w:val="22"/>
        </w:rPr>
        <w:t xml:space="preserve">Business Case: Fiber optic subscribers churn at 41.9% — the highest of any internet service tier. They also pay the highest monthly charges (~$80+/month). This combination suggests either a price-value mismatch or a quality issue.</w:t>
      </w:r>
    </w:p>
    <w:p w14:paraId="0010014A" w14:textId="0010014B">
      <w:pPr>
        <w:pStyle w:val="Normal"/>
        <w:spacing w:after="80"/>
      </w:pPr>
      <w:r>
        <w:rPr>
          <w:sz w:val="22"/>
        </w:rPr>
        <w:t xml:space="preserve">Action: Deploy a targeted NPS survey to fiber optic customers at month 3. Use the results to determine whether the fix is a price reduction, a speed/reliability improvement, or better technical support.</w:t>
      </w:r>
    </w:p>
    <w:p w14:paraId="0010014C" w14:textId="0010014D">
      <w:pPr>
        <w:pStyle w:val="Normal"/>
        <w:spacing w:after="240"/>
      </w:pPr>
      <w:r>
        <w:rPr>
          <w:b/>
          <w:sz w:val="22"/>
        </w:rPr>
        <w:t xml:space="preserve">Expected Impact: Medium. Requires investigation first, but fiber optic is a high-revenue segment worth protecting.</w:t>
      </w:r>
    </w:p>
    <w:p w14:paraId="0010014E" w14:textId="0010014F">
      <w:pPr>
        <w:pStyle w:val="Heading2"/>
        <w:spacing w:before="240" w:after="120"/>
      </w:pPr>
      <w:r>
        <w:rPr>
          <w:b/>
          <w:color w:val="C00000"/>
          <w:sz w:val="26"/>
        </w:rPr>
        <w:t xml:space="preserve">RECOMMENDATION 5: Deploy a Churn Propensity Score in CRM</w:t>
      </w:r>
    </w:p>
    <w:p w14:paraId="00100150" w14:textId="00100151">
      <w:pPr>
        <w:pStyle w:val="Normal"/>
        <w:spacing w:after="80"/>
      </w:pPr>
      <w:r>
        <w:rPr>
          <w:sz w:val="22"/>
        </w:rPr>
        <w:t xml:space="preserve">Business Case: The Random Forest model achieves an AUC of 0.84 and can score every active customer with a churn probability. This enables proactive, targeted outreach rather than blanket retention campaigns.</w:t>
      </w:r>
    </w:p>
    <w:p w14:paraId="00100152" w14:textId="00100153">
      <w:pPr>
        <w:pStyle w:val="Normal"/>
        <w:spacing w:after="80"/>
      </w:pPr>
      <w:r>
        <w:rPr>
          <w:sz w:val="22"/>
        </w:rPr>
        <w:t xml:space="preserve">Action: Integrate the model into the CRM and run a weekly scoring job. Flag customers in the top 20% risk tier for outreach from the retention team. Re-train the model quarterly as customer mix and product offerings evolve.</w:t>
      </w:r>
    </w:p>
    <w:p w14:paraId="00100154" w14:textId="00100155">
      <w:pPr>
        <w:pStyle w:val="Normal"/>
        <w:spacing w:after="320"/>
      </w:pPr>
      <w:r>
        <w:rPr>
          <w:b/>
          <w:sz w:val="22"/>
        </w:rPr>
        <w:t xml:space="preserve">Expected Impact: High. Enables precision targeting — preventing churn before the customer decides to leave. Prevention costs 5–7× less than re-acquisition.</w:t>
      </w:r>
    </w:p>
    <w:p w14:paraId="00100156" w14:textId="00100157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6. CONCLUSIONS &amp; NEXT STEPS</w:t>
      </w:r>
    </w:p>
    <w:p w14:paraId="00100158" w14:textId="00100159">
      <w:pPr>
        <w:pStyle w:val="Normal"/>
        <w:spacing w:after="160"/>
      </w:pPr>
      <w:r>
        <w:rPr>
          <w:sz w:val="22"/>
        </w:rPr>
        <w:t xml:space="preserve">This analysis confirms that customer churn at this telecom provider is highly concentrated in three identifiable, actionable groups: month-to-month contract holders, electronic check payers, and fiber optic subscribers. These groups are not randomly distributed — they share behavioural patterns (low commitment, high charges, manual billing) that can be directly addressed through targeted interventions.</w:t>
      </w:r>
    </w:p>
    <w:p w14:paraId="0010015A" w14:textId="0010015B">
      <w:pPr>
        <w:pStyle w:val="Normal"/>
        <w:spacing w:after="240"/>
      </w:pPr>
      <w:r>
        <w:rPr>
          <w:sz w:val="22"/>
        </w:rPr>
        <w:t xml:space="preserve">The predictive model (Random Forest, AUC 0.84) provides a deployable weekly scoring capability that can be integrated into any standard CRM platform. By routing the top 20% risk tier to the retention team, the business can prevent churn before the decision is made — at a fraction of the cost of win-back campaigns.</w:t>
      </w:r>
    </w:p>
    <w:p w14:paraId="0010015C" w14:textId="0010015D">
      <w:pPr>
        <w:pStyle w:val="Heading2"/>
        <w:spacing w:before="200" w:after="120"/>
      </w:pPr>
      <w:r>
        <w:rPr>
          <w:b/>
          <w:color w:val="2E74B5"/>
          <w:sz w:val="26"/>
        </w:rPr>
        <w:t xml:space="preserve">Recommended Next Steps</w:t>
      </w:r>
    </w:p>
    <w:p w14:paraId="0010015E" w14:textId="0010015F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A/B test the annual-contract discount offer in one region before full rollout.</w:t>
      </w:r>
    </w:p>
    <w:p w14:paraId="00100160" w14:textId="00100161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Enrich the dataset with customer support ticket history and NPS scores to improve model recall.</w:t>
      </w:r>
    </w:p>
    <w:p w14:paraId="00100162" w14:textId="00100163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Integrate the churn propensity score into CRM and automate weekly scoring runs.</w:t>
      </w:r>
    </w:p>
    <w:p w14:paraId="00100164" w14:textId="00100165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Re-train the model quarterly as product offerings, pricing, and customer mix evolve.</w:t>
      </w:r>
    </w:p>
    <w:p w14:paraId="00100166" w14:textId="00100167">
      <w:pPr>
        <w:pStyle w:val="Normal"/>
        <w:numPr>
          <w:ilvl w:val="0"/>
          <w:numId w:val="4"/>
        </w:numPr>
        <w:spacing w:after="320"/>
      </w:pPr>
      <w:r>
        <w:rPr>
          <w:sz w:val="22"/>
        </w:rPr>
        <w:t xml:space="preserve">Consider a deep-dive NPS study focused exclusively on fiber optic customers.</w:t>
      </w:r>
    </w:p>
    <w:p w14:paraId="00100168" w14:textId="00100169">
      <w:pPr>
        <w:pStyle w:val="Heading1"/>
        <w:shd w:val="clear" w:fill="2E74B5"/>
        <w:spacing w:before="400" w:after="160"/>
      </w:pPr>
      <w:r>
        <w:rPr>
          <w:b/>
          <w:color w:val="FFFFFF"/>
          <w:sz w:val="32"/>
        </w:rPr>
        <w:t xml:space="preserve">RECOMMENDATIONS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6A" w14:textId="0010016B">
            <w:r>
              <w:t xml:space="preserve">#</w:t>
            </w:r>
          </w:p>
        </w:tc>
        <w:tc>
          <w:p w14:paraId="0010016C" w14:textId="0010016D">
            <w:r>
              <w:t xml:space="preserve">Recommendation</w:t>
            </w:r>
          </w:p>
        </w:tc>
        <w:tc>
          <w:p w14:paraId="0010016E" w14:textId="0010016F">
            <w:r>
              <w:t xml:space="preserve">Evidence</w:t>
            </w:r>
          </w:p>
        </w:tc>
        <w:tc>
          <w:p w14:paraId="00100170" w14:textId="00100171">
            <w:r>
              <w:t xml:space="preserve">Impact</w:t>
            </w:r>
          </w:p>
        </w:tc>
      </w:tr>
      <w:tr>
        <w:tc>
          <w:p w14:paraId="00100172" w14:textId="00100173">
            <w:r>
              <w:t xml:space="preserve">1</w:t>
            </w:r>
          </w:p>
        </w:tc>
        <w:tc>
          <w:p w14:paraId="00100174" w14:textId="00100175">
            <w:r>
              <w:t xml:space="preserve">Annual contract conversion discount</w:t>
            </w:r>
          </w:p>
        </w:tc>
        <w:tc>
          <w:p w14:paraId="00100176" w14:textId="00100177">
            <w:r>
              <w:t xml:space="preserve">42.7% vs 2.8% churn</w:t>
            </w:r>
          </w:p>
        </w:tc>
        <w:tc>
          <w:p w14:paraId="00100178" w14:textId="00100179">
            <w:r>
              <w:t xml:space="preserve">HIGH</w:t>
            </w:r>
          </w:p>
        </w:tc>
      </w:tr>
      <w:tr>
        <w:tc>
          <w:p w14:paraId="0010017A" w14:textId="0010017B">
            <w:r>
              <w:t xml:space="preserve">2</w:t>
            </w:r>
          </w:p>
        </w:tc>
        <w:tc>
          <w:p w14:paraId="0010017C" w14:textId="0010017D">
            <w:r>
              <w:t xml:space="preserve">Early-tenure onboarding program (months 1–6)</w:t>
            </w:r>
          </w:p>
        </w:tc>
        <w:tc>
          <w:p w14:paraId="0010017E" w14:textId="0010017F">
            <w:r>
              <w:t xml:space="preserve">Tenure is #1 feature (19.7%)</w:t>
            </w:r>
          </w:p>
        </w:tc>
        <w:tc>
          <w:p w14:paraId="00100180" w14:textId="00100181">
            <w:r>
              <w:t xml:space="preserve">HIGH</w:t>
            </w:r>
          </w:p>
        </w:tc>
      </w:tr>
      <w:tr>
        <w:tc>
          <w:p w14:paraId="00100182" w14:textId="00100183">
            <w:r>
              <w:t xml:space="preserve">3</w:t>
            </w:r>
          </w:p>
        </w:tc>
        <w:tc>
          <w:p w14:paraId="00100184" w14:textId="00100185">
            <w:r>
              <w:t xml:space="preserve">$5/month autopay enrollment incentive</w:t>
            </w:r>
          </w:p>
        </w:tc>
        <w:tc>
          <w:p w14:paraId="00100186" w14:textId="00100187">
            <w:r>
              <w:t xml:space="preserve">45.3% vs 16% churn</w:t>
            </w:r>
          </w:p>
        </w:tc>
        <w:tc>
          <w:p w14:paraId="00100188" w14:textId="00100189">
            <w:r>
              <w:t xml:space="preserve">MED-HIGH</w:t>
            </w:r>
          </w:p>
        </w:tc>
      </w:tr>
      <w:tr>
        <w:tc>
          <w:p w14:paraId="0010018A" w14:textId="0010018B">
            <w:r>
              <w:t xml:space="preserve">4</w:t>
            </w:r>
          </w:p>
        </w:tc>
        <w:tc>
          <w:p w14:paraId="0010018C" w14:textId="0010018D">
            <w:r>
              <w:t xml:space="preserve">Fiber optic NPS survey &amp; fix</w:t>
            </w:r>
          </w:p>
        </w:tc>
        <w:tc>
          <w:p w14:paraId="0010018E" w14:textId="0010018F">
            <w:r>
              <w:t xml:space="preserve">41.9% churn rate</w:t>
            </w:r>
          </w:p>
        </w:tc>
        <w:tc>
          <w:p w14:paraId="00100190" w14:textId="00100191">
            <w:r>
              <w:t xml:space="preserve">MEDIUM</w:t>
            </w:r>
          </w:p>
        </w:tc>
      </w:tr>
      <w:tr>
        <w:tc>
          <w:p w14:paraId="00100192" w14:textId="00100193">
            <w:r>
              <w:t xml:space="preserve">5</w:t>
            </w:r>
          </w:p>
        </w:tc>
        <w:tc>
          <w:p w14:paraId="00100194" w14:textId="00100195">
            <w:r>
              <w:t xml:space="preserve">CRM churn propensity score (weekly)</w:t>
            </w:r>
          </w:p>
        </w:tc>
        <w:tc>
          <w:p w14:paraId="00100196" w14:textId="00100197">
            <w:r>
              <w:t xml:space="preserve">AUC 0.84 model ready</w:t>
            </w:r>
          </w:p>
        </w:tc>
        <w:tc>
          <w:p w14:paraId="00100198" w14:textId="00100199">
            <w:r>
              <w:t xml:space="preserve">HIGH</w:t>
            </w:r>
          </w:p>
        </w:tc>
      </w:tr>
    </w:tbl>
    <w:p w14:paraId="0010019A" w14:textId="0010019B">
      <w:pPr>
        <w:pStyle w:val="Normal"/>
        <w:spacing w:before="80" w:after="400"/>
        <w:jc w:val="center"/>
      </w:pPr>
      <w:r>
        <w:rPr>
          <w:color w:val="57606A"/>
          <w:sz w:val="18"/>
        </w:rPr>
        <w:t xml:space="preserve">Table 6: Recommendations Summary</w:t>
      </w:r>
    </w:p>
    <w:p w14:paraId="0010019C" w14:textId="0010019D">
      <w:pPr>
        <w:pStyle w:val="Normal"/>
        <w:spacing w:before="480" w:after="160"/>
        <w:jc w:val="center"/>
      </w:pPr>
      <w:r>
        <w:rPr>
          <w:color w:val="57606A"/>
          <w:sz w:val="18"/>
        </w:rPr>
        <w:t xml:space="preserve">Prepared for: Business Stakeholder Review  |  Business Analytics Internship Capstone  |  Dataset: IBM Telco Customer Churn (Kaggle)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12398e32cd0462f" /><Relationship Type="http://schemas.openxmlformats.org/officeDocument/2006/relationships/styles" Target="/word/styles.xml" Id="R9622d8fa3b0643fe" /><Relationship Type="http://schemas.openxmlformats.org/officeDocument/2006/relationships/theme" Target="/word/theme/theme1.xml" Id="R4b654d5ad3e64d82" /><Relationship Type="http://schemas.openxmlformats.org/officeDocument/2006/relationships/numbering" Target="/word/numbering.xml" Id="Rd48a76c8602b40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2026-09-23T23:51:18Z</dcterms:created>
  <cp:lastModifiedBy>OfficeCLI</cp:lastModifiedBy>
  <dcterms:modified xsi:type="dcterms:W3CDTF">2026-09-23T23:51:18Z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2026-09-23T23:56:49Z</vt:lpwstr>
  </op:property>
</op:Properties>
</file>