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>Sales grew in every region this quarter. Café prices stayed flat.</w:t>
      </w:r>
    </w:p>
    <w:tbl>
      <w:tblPr>
        <w:tblW w:w="25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646"/>
        <w:gridCol w:w="1111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Region</w:t>
            </w:r>
          </w:p>
        </w:tc>
        <w:tc>
          <w:tcPr>
            <w:tcW w:w="6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Units</w:t>
            </w:r>
          </w:p>
        </w:tc>
        <w:tc>
          <w:tcPr>
            <w:tcW w:w="1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1,200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15,000.50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950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11,875.25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East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1,430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17,875.00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Quarterly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