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4"/>
          <w:szCs w:val="44"/>
        </w:rPr>
        <w:t xml:space="preserve">Exploratory Data Analysis (EDA) Project</w:t>
      </w:r>
    </w:p>
    <w:p>
      <w:pPr>
        <w:spacing w:after="400"/>
        <w:jc w:val="center"/>
      </w:pPr>
      <w:r>
        <w:rPr>
          <w:color w:val="444444"/>
          <w:sz w:val="28"/>
          <w:szCs w:val="28"/>
        </w:rPr>
        <w:t xml:space="preserve">Student Academic Performance Dataset</w:t>
      </w:r>
    </w:p>
    <w:p>
      <w:pPr>
        <w:pStyle w:val="Heading1"/>
        <w:spacing w:after="150" w:before="300"/>
      </w:pPr>
      <w:r>
        <w:t xml:space="preserve">1. Introduction</w:t>
      </w:r>
    </w:p>
    <w:p>
      <w:pPr>
        <w:spacing w:after="160"/>
      </w:pPr>
      <w:r>
        <w:t xml:space="preserve">This report presents an exploratory data analysis (EDA) of a student academic performance dataset containing 200 student records. The objective is to uncover patterns and trends in student marks and identify the key factors that influence academic performance, using statistical summaries and visualizations.</w:t>
      </w:r>
    </w:p>
    <w:p>
      <w:pPr>
        <w:spacing w:after="160"/>
      </w:pPr>
      <w:r>
        <w:t xml:space="preserve">The dataset includes information on study hours, attendance percentage, sleep hours, parental support level, gender, and marks scored in Math, Science, and English.</w:t>
      </w:r>
    </w:p>
    <w:p>
      <w:pPr>
        <w:pStyle w:val="Heading1"/>
        <w:spacing w:after="150" w:before="300"/>
      </w:pPr>
      <w:r>
        <w:t xml:space="preserve">2. Dataset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E5395" w:val="clear"/>
          </w:tcPr>
          <w:p>
            <w:r>
              <w:rPr>
                <w:b/>
                <w:bCs/>
                <w:color w:val="FFFFFF"/>
              </w:rPr>
              <w:t xml:space="preserve">Attribute</w:t>
            </w:r>
          </w:p>
        </w:tc>
        <w:tc>
          <w:tcPr>
            <w:tcW w:type="dxa" w:w="6300"/>
            <w:shd w:fill="2E5395" w:val="clear"/>
          </w:tcPr>
          <w:p>
            <w:r>
              <w:rPr>
                <w:b/>
                <w:bCs/>
                <w:color w:val="FFFFFF"/>
              </w:rPr>
              <w:t xml:space="preserve">Description</w:t>
            </w:r>
          </w:p>
        </w:tc>
      </w:tr>
      <w:tr>
        <w:tc>
          <w:tcPr>
            <w:tcW w:type="dxa" w:w="3200"/>
          </w:tcPr>
          <w:p>
            <w:r>
              <w:t xml:space="preserve">StudentID</w:t>
            </w:r>
          </w:p>
        </w:tc>
        <w:tc>
          <w:tcPr>
            <w:tcW w:type="dxa" w:w="6300"/>
          </w:tcPr>
          <w:p>
            <w:r>
              <w:t xml:space="preserve">Unique identifier for each student</w:t>
            </w:r>
          </w:p>
        </w:tc>
      </w:tr>
      <w:tr>
        <w:tc>
          <w:tcPr>
            <w:tcW w:type="dxa" w:w="3200"/>
          </w:tcPr>
          <w:p>
            <w:r>
              <w:t xml:space="preserve">Gender</w:t>
            </w:r>
          </w:p>
        </w:tc>
        <w:tc>
          <w:tcPr>
            <w:tcW w:type="dxa" w:w="6300"/>
          </w:tcPr>
          <w:p>
            <w:r>
              <w:t xml:space="preserve">Male / Female</w:t>
            </w:r>
          </w:p>
        </w:tc>
      </w:tr>
      <w:tr>
        <w:tc>
          <w:tcPr>
            <w:tcW w:type="dxa" w:w="3200"/>
          </w:tcPr>
          <w:p>
            <w:r>
              <w:t xml:space="preserve">StudyHours_perDay</w:t>
            </w:r>
          </w:p>
        </w:tc>
        <w:tc>
          <w:tcPr>
            <w:tcW w:type="dxa" w:w="6300"/>
          </w:tcPr>
          <w:p>
            <w:r>
              <w:t xml:space="preserve">Average hours spent studying per day</w:t>
            </w:r>
          </w:p>
        </w:tc>
      </w:tr>
      <w:tr>
        <w:tc>
          <w:tcPr>
            <w:tcW w:type="dxa" w:w="3200"/>
          </w:tcPr>
          <w:p>
            <w:r>
              <w:t xml:space="preserve">Attendance_pct</w:t>
            </w:r>
          </w:p>
        </w:tc>
        <w:tc>
          <w:tcPr>
            <w:tcW w:type="dxa" w:w="6300"/>
          </w:tcPr>
          <w:p>
            <w:r>
              <w:t xml:space="preserve">Class attendance percentage</w:t>
            </w:r>
          </w:p>
        </w:tc>
      </w:tr>
      <w:tr>
        <w:tc>
          <w:tcPr>
            <w:tcW w:type="dxa" w:w="3200"/>
          </w:tcPr>
          <w:p>
            <w:r>
              <w:t xml:space="preserve">SleepHours</w:t>
            </w:r>
          </w:p>
        </w:tc>
        <w:tc>
          <w:tcPr>
            <w:tcW w:type="dxa" w:w="6300"/>
          </w:tcPr>
          <w:p>
            <w:r>
              <w:t xml:space="preserve">Average hours of sleep per day</w:t>
            </w:r>
          </w:p>
        </w:tc>
      </w:tr>
      <w:tr>
        <w:tc>
          <w:tcPr>
            <w:tcW w:type="dxa" w:w="3200"/>
          </w:tcPr>
          <w:p>
            <w:r>
              <w:t xml:space="preserve">ParentalSupport</w:t>
            </w:r>
          </w:p>
        </w:tc>
        <w:tc>
          <w:tcPr>
            <w:tcW w:type="dxa" w:w="6300"/>
          </w:tcPr>
          <w:p>
            <w:r>
              <w:t xml:space="preserve">Low / Medium / High</w:t>
            </w:r>
          </w:p>
        </w:tc>
      </w:tr>
      <w:tr>
        <w:tc>
          <w:tcPr>
            <w:tcW w:type="dxa" w:w="3200"/>
          </w:tcPr>
          <w:p>
            <w:r>
              <w:t xml:space="preserve">Math_Marks, Science_Marks, English_Marks</w:t>
            </w:r>
          </w:p>
        </w:tc>
        <w:tc>
          <w:tcPr>
            <w:tcW w:type="dxa" w:w="6300"/>
          </w:tcPr>
          <w:p>
            <w:r>
              <w:t xml:space="preserve">Subject-wise marks (0-100)</w:t>
            </w:r>
          </w:p>
        </w:tc>
      </w:tr>
      <w:tr>
        <w:tc>
          <w:tcPr>
            <w:tcW w:type="dxa" w:w="3200"/>
          </w:tcPr>
          <w:p>
            <w:r>
              <w:t xml:space="preserve">Average_Marks</w:t>
            </w:r>
          </w:p>
        </w:tc>
        <w:tc>
          <w:tcPr>
            <w:tcW w:type="dxa" w:w="6300"/>
          </w:tcPr>
          <w:p>
            <w:r>
              <w:t xml:space="preserve">Mean of the three subject marks</w:t>
            </w:r>
          </w:p>
        </w:tc>
      </w:tr>
    </w:tbl>
    <w:p>
      <w:pPr>
        <w:spacing w:after="160"/>
      </w:pPr>
      <w:r>
        <w:t xml:space="preserve"/>
      </w:r>
    </w:p>
    <w:p>
      <w:pPr>
        <w:spacing w:after="160"/>
      </w:pPr>
      <w:r>
        <w:t xml:space="preserve">Total records: 200 students. A small number of missing values were found in SleepHours (6 records) and English_Marks (6 records); these were imputed with the column median for visualization purposes.</w:t>
      </w:r>
    </w:p>
    <w:p>
      <w:pPr>
        <w:pStyle w:val="Heading1"/>
        <w:spacing w:after="150" w:before="300"/>
      </w:pPr>
      <w:r>
        <w:t xml:space="preserve">3. Statistical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2E5395" w:val="clear"/>
          </w:tcPr>
          <w:p>
            <w:r>
              <w:rPr>
                <w:b/>
                <w:bCs/>
                <w:color w:val="FFFFFF"/>
              </w:rPr>
              <w:t xml:space="preserve">Metric</w:t>
            </w:r>
          </w:p>
        </w:tc>
        <w:tc>
          <w:tcPr>
            <w:tcW w:type="dxa" w:w="5000"/>
            <w:shd w:fill="2E5395" w:val="clear"/>
          </w:tcPr>
          <w:p>
            <w:r>
              <w:rPr>
                <w:b/>
                <w:bCs/>
                <w:color w:val="FFFFFF"/>
              </w:rPr>
              <w:t xml:space="preserve">Value</w:t>
            </w:r>
          </w:p>
        </w:tc>
      </w:tr>
      <w:tr>
        <w:tc>
          <w:tcPr>
            <w:tcW w:type="dxa" w:w="4500"/>
          </w:tcPr>
          <w:p>
            <w:r>
              <w:t xml:space="preserve">Mean Average Marks</w:t>
            </w:r>
          </w:p>
        </w:tc>
        <w:tc>
          <w:tcPr>
            <w:tcW w:type="dxa" w:w="5000"/>
          </w:tcPr>
          <w:p>
            <w:r>
              <w:t xml:space="preserve">86.89</w:t>
            </w:r>
          </w:p>
        </w:tc>
      </w:tr>
      <w:tr>
        <w:tc>
          <w:tcPr>
            <w:tcW w:type="dxa" w:w="4500"/>
          </w:tcPr>
          <w:p>
            <w:r>
              <w:t xml:space="preserve">Std. Deviation</w:t>
            </w:r>
          </w:p>
        </w:tc>
        <w:tc>
          <w:tcPr>
            <w:tcW w:type="dxa" w:w="5000"/>
          </w:tcPr>
          <w:p>
            <w:r>
              <w:t xml:space="preserve">7.69</w:t>
            </w:r>
          </w:p>
        </w:tc>
      </w:tr>
      <w:tr>
        <w:tc>
          <w:tcPr>
            <w:tcW w:type="dxa" w:w="4500"/>
          </w:tcPr>
          <w:p>
            <w:r>
              <w:t xml:space="preserve">Top Scorer</w:t>
            </w:r>
          </w:p>
        </w:tc>
        <w:tc>
          <w:tcPr>
            <w:tcW w:type="dxa" w:w="5000"/>
          </w:tcPr>
          <w:p>
            <w:r>
              <w:t xml:space="preserve">S1136 (100 marks)</w:t>
            </w:r>
          </w:p>
        </w:tc>
      </w:tr>
      <w:tr>
        <w:tc>
          <w:tcPr>
            <w:tcW w:type="dxa" w:w="4500"/>
          </w:tcPr>
          <w:p>
            <w:r>
              <w:t xml:space="preserve">Lowest Scorer</w:t>
            </w:r>
          </w:p>
        </w:tc>
        <w:tc>
          <w:tcPr>
            <w:tcW w:type="dxa" w:w="5000"/>
          </w:tcPr>
          <w:p>
            <w:r>
              <w:t xml:space="preserve">S1044 (58.1 marks)</w:t>
            </w:r>
          </w:p>
        </w:tc>
      </w:tr>
      <w:tr>
        <w:tc>
          <w:tcPr>
            <w:tcW w:type="dxa" w:w="4500"/>
          </w:tcPr>
          <w:p>
            <w:r>
              <w:t xml:space="preserve">Students scoring 90+</w:t>
            </w:r>
          </w:p>
        </w:tc>
        <w:tc>
          <w:tcPr>
            <w:tcW w:type="dxa" w:w="5000"/>
          </w:tcPr>
          <w:p>
            <w:r>
              <w:t xml:space="preserve">38.5%</w:t>
            </w:r>
          </w:p>
        </w:tc>
      </w:tr>
      <w:tr>
        <w:tc>
          <w:tcPr>
            <w:tcW w:type="dxa" w:w="4500"/>
          </w:tcPr>
          <w:p>
            <w:r>
              <w:t xml:space="preserve">Students scoring below 50</w:t>
            </w:r>
          </w:p>
        </w:tc>
        <w:tc>
          <w:tcPr>
            <w:tcW w:type="dxa" w:w="5000"/>
          </w:tcPr>
          <w:p>
            <w:r>
              <w:t xml:space="preserve">0%</w:t>
            </w:r>
          </w:p>
        </w:tc>
      </w:tr>
    </w:tbl>
    <w:p>
      <w:pPr>
        <w:pStyle w:val="Heading1"/>
        <w:spacing w:after="150" w:before="300"/>
      </w:pPr>
      <w:r>
        <w:t xml:space="preserve">4. Visual Analysis</w:t>
      </w:r>
    </w:p>
    <w:p>
      <w:pPr>
        <w:pStyle w:val="Heading2"/>
        <w:spacing w:after="120" w:before="250"/>
      </w:pPr>
      <w:r>
        <w:t xml:space="preserve">4.1 Distribution of Average Marks</w:t>
      </w:r>
    </w:p>
    <w:p>
      <w:pPr>
        <w:spacing w:after="60" w:before="100"/>
        <w:jc w:val="center"/>
      </w:pPr>
      <w:r>
        <w:drawing>
          <wp:inline distT="0" distB="0" distL="0" distR="0">
            <wp:extent cx="48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00000" cy="3200000"/>
                    </a:xfrm>
                    <a:prstGeom prst="rect">
                      <a:avLst/>
                    </a:prstGeom>
                  </pic:spPr>
                </pic:pic>
              </a:graphicData>
            </a:graphic>
          </wp:inline>
        </w:drawing>
      </w:r>
    </w:p>
    <w:p>
      <w:pPr>
        <w:spacing w:after="220"/>
        <w:jc w:val="center"/>
      </w:pPr>
      <w:r>
        <w:rPr>
          <w:i/>
          <w:iCs/>
          <w:color w:val="555555"/>
          <w:sz w:val="20"/>
          <w:szCs w:val="20"/>
        </w:rPr>
        <w:t xml:space="preserve">Figure 1: Most students score between 80-95, indicating an overall strong-performing cohort.</w:t>
      </w:r>
    </w:p>
    <w:p>
      <w:pPr>
        <w:pStyle w:val="Heading2"/>
        <w:spacing w:after="120" w:before="250"/>
      </w:pPr>
      <w:r>
        <w:t xml:space="preserve">4.2 Correlation Heatmap</w:t>
      </w:r>
    </w:p>
    <w:p>
      <w:pPr>
        <w:spacing w:after="60" w:before="100"/>
        <w:jc w:val="center"/>
      </w:pPr>
      <w:r>
        <w:drawing>
          <wp:inline distT="0" distB="0" distL="0" distR="0">
            <wp:extent cx="5000000" cy="39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00000" cy="3900000"/>
                    </a:xfrm>
                    <a:prstGeom prst="rect">
                      <a:avLst/>
                    </a:prstGeom>
                  </pic:spPr>
                </pic:pic>
              </a:graphicData>
            </a:graphic>
          </wp:inline>
        </w:drawing>
      </w:r>
    </w:p>
    <w:p>
      <w:pPr>
        <w:spacing w:after="220"/>
        <w:jc w:val="center"/>
      </w:pPr>
      <w:r>
        <w:rPr>
          <w:i/>
          <w:iCs/>
          <w:color w:val="555555"/>
          <w:sz w:val="20"/>
          <w:szCs w:val="20"/>
        </w:rPr>
        <w:t xml:space="preserve">Figure 2: Correlation between numeric variables and marks.</w:t>
      </w:r>
    </w:p>
    <w:p>
      <w:pPr>
        <w:pStyle w:val="Heading2"/>
        <w:spacing w:after="120" w:before="250"/>
      </w:pPr>
      <w:r>
        <w:t xml:space="preserve">4.3 Study Hours vs Average Marks</w:t>
      </w:r>
    </w:p>
    <w:p>
      <w:pPr>
        <w:spacing w:after="60" w:before="100"/>
        <w:jc w:val="center"/>
      </w:pPr>
      <w:r>
        <w:drawing>
          <wp:inline distT="0" distB="0" distL="0" distR="0">
            <wp:extent cx="4800000" cy="36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00000" cy="3600000"/>
                    </a:xfrm>
                    <a:prstGeom prst="rect">
                      <a:avLst/>
                    </a:prstGeom>
                  </pic:spPr>
                </pic:pic>
              </a:graphicData>
            </a:graphic>
          </wp:inline>
        </w:drawing>
      </w:r>
    </w:p>
    <w:p>
      <w:pPr>
        <w:spacing w:after="220"/>
        <w:jc w:val="center"/>
      </w:pPr>
      <w:r>
        <w:rPr>
          <w:i/>
          <w:iCs/>
          <w:color w:val="555555"/>
          <w:sz w:val="20"/>
          <w:szCs w:val="20"/>
        </w:rPr>
        <w:t xml:space="preserve">Figure 3: Positive correlation (r = 0.52) — more study hours associate with higher marks.</w:t>
      </w:r>
    </w:p>
    <w:p>
      <w:pPr>
        <w:pStyle w:val="Heading2"/>
        <w:spacing w:after="120" w:before="250"/>
      </w:pPr>
      <w:r>
        <w:t xml:space="preserve">4.4 Attendance vs Average Marks</w:t>
      </w:r>
    </w:p>
    <w:p>
      <w:pPr>
        <w:spacing w:after="60" w:before="100"/>
        <w:jc w:val="center"/>
      </w:pPr>
      <w:r>
        <w:drawing>
          <wp:inline distT="0" distB="0" distL="0" distR="0">
            <wp:extent cx="4800000" cy="36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000" cy="3600000"/>
                    </a:xfrm>
                    <a:prstGeom prst="rect">
                      <a:avLst/>
                    </a:prstGeom>
                  </pic:spPr>
                </pic:pic>
              </a:graphicData>
            </a:graphic>
          </wp:inline>
        </w:drawing>
      </w:r>
    </w:p>
    <w:p>
      <w:pPr>
        <w:spacing w:after="220"/>
        <w:jc w:val="center"/>
      </w:pPr>
      <w:r>
        <w:rPr>
          <w:i/>
          <w:iCs/>
          <w:color w:val="555555"/>
          <w:sz w:val="20"/>
          <w:szCs w:val="20"/>
        </w:rPr>
        <w:t xml:space="preserve">Figure 4: Moderate positive correlation (r = 0.33) between attendance and marks.</w:t>
      </w:r>
    </w:p>
    <w:p>
      <w:r>
        <w:br w:type="page"/>
      </w:r>
    </w:p>
    <w:p>
      <w:pPr>
        <w:pStyle w:val="Heading2"/>
        <w:spacing w:after="120" w:before="250"/>
      </w:pPr>
      <w:r>
        <w:t xml:space="preserve">4.5 Parental Support vs Average Marks</w:t>
      </w:r>
    </w:p>
    <w:p>
      <w:pPr>
        <w:spacing w:after="60" w:before="100"/>
        <w:jc w:val="center"/>
      </w:pPr>
      <w:r>
        <w:drawing>
          <wp:inline distT="0" distB="0" distL="0" distR="0">
            <wp:extent cx="4800000" cy="36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00000" cy="3600000"/>
                    </a:xfrm>
                    <a:prstGeom prst="rect">
                      <a:avLst/>
                    </a:prstGeom>
                  </pic:spPr>
                </pic:pic>
              </a:graphicData>
            </a:graphic>
          </wp:inline>
        </w:drawing>
      </w:r>
    </w:p>
    <w:p>
      <w:pPr>
        <w:spacing w:after="220"/>
        <w:jc w:val="center"/>
      </w:pPr>
      <w:r>
        <w:rPr>
          <w:i/>
          <w:iCs/>
          <w:color w:val="555555"/>
          <w:sz w:val="20"/>
          <w:szCs w:val="20"/>
        </w:rPr>
        <w:t xml:space="preserve">Figure 5: Distribution of marks across parental support levels.</w:t>
      </w:r>
    </w:p>
    <w:p>
      <w:pPr>
        <w:pStyle w:val="Heading2"/>
        <w:spacing w:after="120" w:before="250"/>
      </w:pPr>
      <w:r>
        <w:t xml:space="preserve">4.6 Average Marks by Gender</w:t>
      </w:r>
    </w:p>
    <w:p>
      <w:pPr>
        <w:spacing w:after="60" w:before="100"/>
        <w:jc w:val="center"/>
      </w:pPr>
      <w:r>
        <w:drawing>
          <wp:inline distT="0" distB="0" distL="0" distR="0">
            <wp:extent cx="4400000" cy="36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00000" cy="3600000"/>
                    </a:xfrm>
                    <a:prstGeom prst="rect">
                      <a:avLst/>
                    </a:prstGeom>
                  </pic:spPr>
                </pic:pic>
              </a:graphicData>
            </a:graphic>
          </wp:inline>
        </w:drawing>
      </w:r>
    </w:p>
    <w:p>
      <w:pPr>
        <w:spacing w:after="220"/>
        <w:jc w:val="center"/>
      </w:pPr>
      <w:r>
        <w:rPr>
          <w:i/>
          <w:iCs/>
          <w:color w:val="555555"/>
          <w:sz w:val="20"/>
          <w:szCs w:val="20"/>
        </w:rPr>
        <w:t xml:space="preserve">Figure 6: Comparison of average marks between male and female students.</w:t>
      </w:r>
    </w:p>
    <w:p>
      <w:pPr>
        <w:pStyle w:val="Heading1"/>
        <w:spacing w:after="150" w:before="300"/>
      </w:pPr>
      <w:r>
        <w:t xml:space="preserve">5. Key Insights</w:t>
      </w:r>
    </w:p>
    <w:p>
      <w:pPr>
        <w:pStyle w:val="ListParagraph"/>
        <w:numPr>
          <w:ilvl w:val="0"/>
          <w:numId w:val="1"/>
        </w:numPr>
        <w:spacing w:after="90"/>
      </w:pPr>
      <w:r>
        <w:t xml:space="preserve">Study hours show the strongest correlation with performance (r = 0.52), making it the single biggest influencing factor among those studied.</w:t>
      </w:r>
    </w:p>
    <w:p>
      <w:pPr>
        <w:pStyle w:val="ListParagraph"/>
        <w:numPr>
          <w:ilvl w:val="0"/>
          <w:numId w:val="1"/>
        </w:numPr>
        <w:spacing w:after="90"/>
      </w:pPr>
      <w:r>
        <w:t xml:space="preserve">Attendance also positively correlates with marks (r = 0.33), reinforcing the value of regular class participation.</w:t>
      </w:r>
    </w:p>
    <w:p>
      <w:pPr>
        <w:pStyle w:val="ListParagraph"/>
        <w:numPr>
          <w:ilvl w:val="0"/>
          <w:numId w:val="1"/>
        </w:numPr>
        <w:spacing w:after="90"/>
      </w:pPr>
      <w:r>
        <w:t xml:space="preserve">Sleep hours show only a weak correlation (r = 0.16) with marks in this dataset, suggesting attendance and study time matter more than sleep duration alone.</w:t>
      </w:r>
    </w:p>
    <w:p>
      <w:pPr>
        <w:pStyle w:val="ListParagraph"/>
        <w:numPr>
          <w:ilvl w:val="0"/>
          <w:numId w:val="1"/>
        </w:numPr>
        <w:spacing w:after="90"/>
      </w:pPr>
      <w:r>
        <w:t xml:space="preserve">Parental support level shows only small differences in average marks (Low: 86.18, Medium: 87.23, High: 86.78), indicating it is not a dominant factor here.</w:t>
      </w:r>
    </w:p>
    <w:p>
      <w:pPr>
        <w:pStyle w:val="ListParagraph"/>
        <w:numPr>
          <w:ilvl w:val="0"/>
          <w:numId w:val="1"/>
        </w:numPr>
        <w:spacing w:after="90"/>
      </w:pPr>
      <w:r>
        <w:t xml:space="preserve">Gender-wise performance is fairly balanced (Male: 87.19, Female: 86.53), showing no major performance gap.</w:t>
      </w:r>
    </w:p>
    <w:p>
      <w:pPr>
        <w:pStyle w:val="ListParagraph"/>
        <w:numPr>
          <w:ilvl w:val="0"/>
          <w:numId w:val="1"/>
        </w:numPr>
        <w:spacing w:after="90"/>
      </w:pPr>
      <w:r>
        <w:t xml:space="preserve">38.5% of students scored 90 or above, while 0% scored below 50, reflecting a generally high-performing group with a long lower tail.</w:t>
      </w:r>
    </w:p>
    <w:p>
      <w:pPr>
        <w:pStyle w:val="Heading1"/>
        <w:spacing w:after="150" w:before="300"/>
      </w:pPr>
      <w:r>
        <w:t xml:space="preserve">6. Conclusion</w:t>
      </w:r>
    </w:p>
    <w:p>
      <w:pPr>
        <w:spacing w:after="160"/>
      </w:pPr>
      <w:r>
        <w:t xml:space="preserve">The analysis shows that consistent study habits and regular attendance are the strongest predictors of academic success in this dataset, more so than sleep duration, parental support, or gender. Educational interventions aimed at improving daily study routines and class attendance are likely to have the greatest impact on student outcomes.</w:t>
      </w:r>
    </w:p>
    <w:p>
      <w:pPr>
        <w:spacing w:after="160"/>
      </w:pPr>
      <w:r>
        <w:t xml:space="preserve">This project demonstrates the EDA workflow: data cleaning, statistical summarization, visualization, correlation analysis, and insight generation — culminating in a structured, presentable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7c2fe9ce0a172bb29a9eff173be6a8927127d8.png"/><Relationship Id="rId8" Type="http://schemas.openxmlformats.org/officeDocument/2006/relationships/image" Target="media/984a6b45960da07da7f8573d82ee4bd46ef8aa05.png"/><Relationship Id="rId9" Type="http://schemas.openxmlformats.org/officeDocument/2006/relationships/image" Target="media/5861c14bd982adfbc88db857b9ac215c25dea9ca.png"/><Relationship Id="rId10" Type="http://schemas.openxmlformats.org/officeDocument/2006/relationships/image" Target="media/8d27ba810cb307c0086e1dd9300436a9bd6bf300.png"/><Relationship Id="rId11" Type="http://schemas.openxmlformats.org/officeDocument/2006/relationships/image" Target="media/c669a91bae89a621750e413dfcf66635b4ce4482.png"/><Relationship Id="rId12" Type="http://schemas.openxmlformats.org/officeDocument/2006/relationships/image" Target="media/503c5ad864f08de8fe8f25be10a035add2b9e5f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2026-09-06T12:30:30.910Z</dcterms:created>
  <dcterms:modified xsi:type="dcterms:W3CDTF">2026-09-06T12:30:30.922Z</dcterms:modified>
</cp:coreProperties>
</file>

<file path=docProps/custom.xml><?xml version="1.0" encoding="utf-8"?>
<Properties xmlns="http://schemas.openxmlformats.org/officeDocument/2006/custom-properties" xmlns:vt="http://schemas.openxmlformats.org/officeDocument/2006/docPropsVTypes"/>
</file>