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B1325"/>
          <w:sz w:val="44"/>
        </w:rPr>
        <w:t>Lecture 04 — Source Notes</w:t>
      </w:r>
    </w:p>
    <w:p>
      <w:r>
        <w:rPr>
          <w:color w:val="475569"/>
          <w:sz w:val="21"/>
        </w:rPr>
        <w:t>Official sources checked 08 Sep 2026; volatile facts isolated here</w:t>
      </w:r>
    </w:p>
    <w:p/>
    <w:p>
      <w:pPr>
        <w:pStyle w:val="Heading1"/>
      </w:pPr>
      <w:r>
        <w:t>OpenAI</w:t>
      </w:r>
    </w:p>
    <w:p>
      <w:r>
        <w:t>OpenAI API model catalog — current specialized image family includes GPT-Image-2.</w:t>
        <w:br/>
        <w:t>https://platform.openai.com/docs/models</w:t>
      </w:r>
    </w:p>
    <w:p>
      <w:pPr>
        <w:pStyle w:val="Heading1"/>
      </w:pPr>
      <w:r>
        <w:t>Google Gemini API</w:t>
      </w:r>
    </w:p>
    <w:p>
      <w:r>
        <w:t>Image generation and editing documentation. Current examples use Gemini 3.1 Flash Image for text-to-image and text+image editing with the Interactions API.</w:t>
        <w:br/>
        <w:t>https://ai.google.dev/gemini-api/docs/image-generation</w:t>
      </w:r>
    </w:p>
    <w:p>
      <w:pPr>
        <w:pStyle w:val="Heading1"/>
      </w:pPr>
      <w:r>
        <w:t>Google Cloud / Vertex AI</w:t>
      </w:r>
    </w:p>
    <w:p>
      <w:r>
        <w:t>Generative AI release notes. February 26, 2026 notes Gemini 3.1 Flash Image public preview and recommends it for image generation; older image preview endpoints were deprecated/replaced. Imagen 4 GA endpoints are also documented.</w:t>
        <w:br/>
        <w:t>https://cloud.google.com/vertex-ai/generative-ai/docs/release-notes</w:t>
      </w:r>
    </w:p>
    <w:p>
      <w:pPr>
        <w:pStyle w:val="Heading1"/>
      </w:pPr>
      <w:r>
        <w:t>Microsoft Foundry / Azure OpenAI</w:t>
      </w:r>
    </w:p>
    <w:p>
      <w:r>
        <w:t>Image generation how-to. Important current note: DALL-E 3 was retired March 4, 2026; guidance says to use gpt-image-series models for image generation instead.</w:t>
        <w:br/>
        <w:t>https://learn.microsoft.com/en-us/azure/foundry/openai/how-to/dall-e</w:t>
      </w:r>
    </w:p>
    <w:p>
      <w:pPr>
        <w:pStyle w:val="Heading1"/>
      </w:pPr>
      <w:r>
        <w:t>Adobe Firefly Services</w:t>
      </w:r>
    </w:p>
    <w:p>
      <w:r>
        <w:t>Image5 generation guide: Image5 supports text-to-image and image-to-image instruct edit through the Generate Image API.</w:t>
        <w:br/>
        <w:t>https://developer.adobe.com/firefly-services/docs/firefly-api/guides/how-tos/cm-generate-image/feature-guide</w:t>
      </w:r>
    </w:p>
    <w:p>
      <w:r>
        <w:t>Style reference concept: style references guide look/feel; the docs expose a provider-specific strength control.</w:t>
        <w:br/>
        <w:t>https://developer.adobe.com/firefly-services/docs/firefly-api/guides/concepts/style-image-reference/</w:t>
      </w:r>
    </w:p>
    <w:p>
      <w:r>
        <w:t>Firefly API changelog: current API evolution, including async image operations and later Image5 changes.</w:t>
        <w:br/>
        <w:t>https://developer.adobe.com/firefly-services/docs/firefly-api/getting-started/changelog/</w:t>
      </w:r>
    </w:p>
    <w:p>
      <w:r>
        <w:t>Photoshop API overview: v1 reached end of life July 31, 2026; v2 is the current platform.</w:t>
        <w:br/>
        <w:t>https://developer.adobe.com/firefly-services/docs/photoshop/</w:t>
      </w:r>
    </w:p>
    <w:p>
      <w:pPr>
        <w:pStyle w:val="Heading1"/>
      </w:pPr>
      <w:r>
        <w:t>Volatile facts deliberately kept out of the core teaching</w:t>
      </w:r>
    </w:p>
    <w:p>
      <w:pPr>
        <w:pStyle w:val="ListBullet"/>
      </w:pPr>
      <w:r>
        <w:t>Exact per-image prices and rate limits are not embedded in student slides. They change faster than the conceptual lesson.</w:t>
      </w:r>
    </w:p>
    <w:p>
      <w:pPr>
        <w:pStyle w:val="ListBullet"/>
      </w:pPr>
      <w:r>
        <w:t>Model IDs are examples checked on 08 Sep 2026 and must be re-verified before a future delivery.</w:t>
      </w:r>
    </w:p>
    <w:p>
      <w:pPr>
        <w:pStyle w:val="ListBullet"/>
      </w:pPr>
      <w:r>
        <w:t>Provider-specific controls (for example reference “strength”) are taught as examples, not universal API fields.</w:t>
      </w:r>
    </w:p>
    <w:p>
      <w:pPr>
        <w:pStyle w:val="ListBullet"/>
      </w:pPr>
      <w:r>
        <w:t>No permanent “best model” ranking is asserted. Provider comparison is framed around workflow capability and integration needs.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3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