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F172A"/>
          <w:sz w:val="44"/>
        </w:rPr>
        <w:t>Module 01: Instructor Console Click-Guide &amp; Zero-Cost Homework</w:t>
      </w:r>
    </w:p>
    <w:p>
      <w:pPr>
        <w:spacing w:after="320"/>
      </w:pPr>
      <w:r>
        <w:rPr>
          <w:rFonts w:ascii="Arial" w:hAnsi="Arial"/>
          <w:color w:val="475569"/>
          <w:sz w:val="22"/>
        </w:rPr>
        <w:t>Course: Advanced Generative AI for Engineers | Module 01: Cloud AI Capabilities Overview</w:t>
      </w:r>
    </w:p>
    <w:p>
      <w:pPr>
        <w:keepNext/>
        <w:spacing w:before="320" w:after="120"/>
      </w:pPr>
      <w:r>
        <w:rPr>
          <w:rFonts w:ascii="Arial" w:hAnsi="Arial"/>
          <w:b/>
          <w:color w:val="1E3A8A"/>
          <w:sz w:val="32"/>
        </w:rPr>
        <w:t>Part 1: Instructor Console Click-by-Click Guide (15-Minute Tour)</w:t>
      </w:r>
    </w:p>
    <w:p>
      <w:pPr>
        <w:spacing w:after="80" w:line="276" w:lineRule="auto"/>
      </w:pPr>
      <w:r>
        <w:rPr>
          <w:rFonts w:ascii="Arial" w:hAnsi="Arial"/>
          <w:b/>
          <w:color w:val="0F172A"/>
          <w:sz w:val="20"/>
        </w:rPr>
        <w:t xml:space="preserve">Pedagogical Goal: </w:t>
      </w:r>
      <w:r>
        <w:rPr>
          <w:rFonts w:ascii="Arial" w:hAnsi="Arial"/>
          <w:i w:val="0"/>
          <w:color w:val="1E293B"/>
          <w:sz w:val="20"/>
        </w:rPr>
        <w:t>Demonstrate to students that AWS Bedrock, Azure AI Foundry, and Google Cloud Vertex AI share the exact same architectural layers (Offline Ingestion, Vector Knowledge Store, Frontier Model, Agent Runtime, Guardrails, and Governance). You do NOT need to deploy models, spin up billable clusters, or run live code. You simply navigate the consoles to anchor the conceptual architecture in real portal screens.</w:t>
      </w:r>
    </w:p>
    <w:p>
      <w:pPr>
        <w:keepNext/>
        <w:spacing w:before="240" w:after="80"/>
      </w:pPr>
      <w:r>
        <w:rPr>
          <w:rFonts w:ascii="Arial" w:hAnsi="Arial"/>
          <w:b/>
          <w:color w:val="475569"/>
          <w:sz w:val="26"/>
        </w:rPr>
        <w:t>Preparation Before Lecture (Open 4 Browser Tabs)</w:t>
      </w:r>
    </w:p>
    <w:p>
      <w:pPr>
        <w:pStyle w:val="ListBullet"/>
        <w:spacing w:after="60" w:line="276" w:lineRule="auto"/>
      </w:pPr>
      <w:r>
        <w:rPr>
          <w:rFonts w:ascii="Arial" w:hAnsi="Arial"/>
          <w:b/>
          <w:sz w:val="20"/>
        </w:rPr>
        <w:t xml:space="preserve">Tab 1: </w:t>
      </w:r>
      <w:r>
        <w:rPr>
          <w:rFonts w:ascii="Arial" w:hAnsi="Arial"/>
          <w:color w:val="1E293B"/>
          <w:sz w:val="20"/>
        </w:rPr>
        <w:t>Presentation deck (presentation_M01_Cloud_AI_Overview.html), opened to Slide 24.</w:t>
      </w:r>
    </w:p>
    <w:p>
      <w:pPr>
        <w:pStyle w:val="ListBullet"/>
        <w:spacing w:after="60" w:line="276" w:lineRule="auto"/>
      </w:pPr>
      <w:r>
        <w:rPr>
          <w:rFonts w:ascii="Arial" w:hAnsi="Arial"/>
          <w:b/>
          <w:sz w:val="20"/>
        </w:rPr>
        <w:t xml:space="preserve">Tab 2: </w:t>
      </w:r>
      <w:r>
        <w:rPr>
          <w:rFonts w:ascii="Arial" w:hAnsi="Arial"/>
          <w:color w:val="1E293B"/>
          <w:sz w:val="20"/>
        </w:rPr>
        <w:t>AWS Console (https://console.aws.amazon.com/bedrock/home?region=us-east-1).</w:t>
      </w:r>
    </w:p>
    <w:p>
      <w:pPr>
        <w:pStyle w:val="ListBullet"/>
        <w:spacing w:after="60" w:line="276" w:lineRule="auto"/>
      </w:pPr>
      <w:r>
        <w:rPr>
          <w:rFonts w:ascii="Arial" w:hAnsi="Arial"/>
          <w:b/>
          <w:sz w:val="20"/>
        </w:rPr>
        <w:t xml:space="preserve">Tab 3: </w:t>
      </w:r>
      <w:r>
        <w:rPr>
          <w:rFonts w:ascii="Arial" w:hAnsi="Arial"/>
          <w:color w:val="1E293B"/>
          <w:sz w:val="20"/>
        </w:rPr>
        <w:t>Azure AI Foundry Portal (https://ai.azure.com/ or portal.azure.com).</w:t>
      </w:r>
    </w:p>
    <w:p>
      <w:pPr>
        <w:pStyle w:val="ListBullet"/>
        <w:spacing w:after="60" w:line="276" w:lineRule="auto"/>
      </w:pPr>
      <w:r>
        <w:rPr>
          <w:rFonts w:ascii="Arial" w:hAnsi="Arial"/>
          <w:b/>
          <w:sz w:val="20"/>
        </w:rPr>
        <w:t xml:space="preserve">Tab 4: </w:t>
      </w:r>
      <w:r>
        <w:rPr>
          <w:rFonts w:ascii="Arial" w:hAnsi="Arial"/>
          <w:color w:val="1E293B"/>
          <w:sz w:val="20"/>
        </w:rPr>
        <w:t>Google Cloud Console (https://console.cloud.google.com/vertex-ai).</w:t>
      </w:r>
    </w:p>
    <w:p>
      <w:pPr>
        <w:spacing w:after="80" w:line="276" w:lineRule="auto"/>
      </w:pPr>
      <w:r>
        <w:rPr>
          <w:rFonts w:ascii="Arial" w:hAnsi="Arial"/>
          <w:i/>
          <w:color w:val="1E293B"/>
          <w:sz w:val="20"/>
        </w:rPr>
        <w:t>Pro-Tip: Log into all 3 cloud accounts 15 minutes before lecture so MFA/2FA sessions do not interrupt your flow.</w:t>
      </w:r>
    </w:p>
    <w:p>
      <w:pPr>
        <w:keepNext/>
        <w:spacing w:before="240" w:after="80"/>
      </w:pPr>
      <w:r>
        <w:rPr>
          <w:rFonts w:ascii="Arial" w:hAnsi="Arial"/>
          <w:b/>
          <w:color w:val="475569"/>
          <w:sz w:val="26"/>
        </w:rPr>
        <w:t>Step 1: AWS Bedrock Walkthrough (4 to 5 minutes)</w:t>
      </w:r>
    </w:p>
    <w:p>
      <w:pPr>
        <w:pStyle w:val="ListBullet"/>
        <w:spacing w:after="60" w:line="276" w:lineRule="auto"/>
      </w:pPr>
      <w:r>
        <w:rPr>
          <w:rFonts w:ascii="Arial" w:hAnsi="Arial"/>
          <w:b/>
          <w:sz w:val="20"/>
        </w:rPr>
        <w:t xml:space="preserve">Click 1: </w:t>
      </w:r>
      <w:r>
        <w:rPr>
          <w:rFonts w:ascii="Arial" w:hAnsi="Arial"/>
          <w:color w:val="1E293B"/>
          <w:sz w:val="20"/>
        </w:rPr>
        <w:t>Left Navigation -&gt; Foundation models -&gt; Base models (https://us-east-1.console.aws.amazon.com/bedrock/home?region=us-east-1#/models). Filter by Anthropic, Amazon, Meta, Mistral, Cohere.</w:t>
      </w:r>
    </w:p>
    <w:p>
      <w:pPr>
        <w:spacing w:before="80" w:after="160"/>
        <w:ind w:left="288"/>
      </w:pPr>
      <w:r>
        <w:rPr>
          <w:rFonts w:ascii="Arial" w:hAnsi="Arial"/>
          <w:b/>
          <w:color w:val="2563EB"/>
          <w:sz w:val="19"/>
        </w:rPr>
        <w:t xml:space="preserve">[INSTRUCTOR TALK TRACK] </w:t>
      </w:r>
      <w:r>
        <w:rPr>
          <w:rFonts w:ascii="Arial" w:hAnsi="Arial"/>
          <w:i/>
          <w:color w:val="334155"/>
          <w:sz w:val="19"/>
        </w:rPr>
        <w:t>"Notice how AWS treats foundation models: they are serverless endpoints under a unified Converse API contract. We invoke Claude 3.5 Sonnet, Amazon Nova, or Llama 3.3 using the exact same request structure."</w:t>
      </w:r>
    </w:p>
    <w:p>
      <w:pPr>
        <w:pStyle w:val="ListBullet"/>
        <w:spacing w:after="60" w:line="276" w:lineRule="auto"/>
      </w:pPr>
      <w:r>
        <w:rPr>
          <w:rFonts w:ascii="Arial" w:hAnsi="Arial"/>
          <w:b/>
          <w:sz w:val="20"/>
        </w:rPr>
        <w:t xml:space="preserve">Click 2: </w:t>
      </w:r>
      <w:r>
        <w:rPr>
          <w:rFonts w:ascii="Arial" w:hAnsi="Arial"/>
          <w:color w:val="1E293B"/>
          <w:sz w:val="20"/>
        </w:rPr>
        <w:t>Left Navigation -&gt; Builder tools -&gt; Knowledge bases. Click the orange 'Create knowledge base' button.</w:t>
      </w:r>
    </w:p>
    <w:p>
      <w:pPr>
        <w:pStyle w:val="ListBullet"/>
        <w:spacing w:after="60" w:line="276" w:lineRule="auto"/>
      </w:pPr>
      <w:r>
        <w:rPr>
          <w:rFonts w:ascii="Arial" w:hAnsi="Arial"/>
          <w:b/>
          <w:sz w:val="20"/>
        </w:rPr>
        <w:t xml:space="preserve">Show: </w:t>
      </w:r>
      <w:r>
        <w:rPr>
          <w:rFonts w:ascii="Arial" w:hAnsi="Arial"/>
          <w:color w:val="1E293B"/>
          <w:sz w:val="20"/>
        </w:rPr>
        <w:t>Show Data Source (Amazon S3 bucket), Chunking strategies (Default vs Semantic), and Vector Stores (OpenSearch Serverless, Aurora pgvector, Pinecone, Redis). Then click Cancel.</w:t>
      </w:r>
    </w:p>
    <w:p>
      <w:pPr>
        <w:spacing w:before="80" w:after="160"/>
        <w:ind w:left="288"/>
      </w:pPr>
      <w:r>
        <w:rPr>
          <w:rFonts w:ascii="Arial" w:hAnsi="Arial"/>
          <w:b/>
          <w:color w:val="2563EB"/>
          <w:sz w:val="19"/>
        </w:rPr>
        <w:t xml:space="preserve">[INSTRUCTOR TALK TRACK] </w:t>
      </w:r>
      <w:r>
        <w:rPr>
          <w:rFonts w:ascii="Arial" w:hAnsi="Arial"/>
          <w:i/>
          <w:color w:val="334155"/>
          <w:sz w:val="19"/>
        </w:rPr>
        <w:t>"This wizard is our Slide 11 in action. Layer 3 (Knowledge Store) connects S3 files directly into a serverless vector database like OpenSearch Serverless. AWS handles embedding generation and chunking under the hood."</w:t>
      </w:r>
    </w:p>
    <w:p>
      <w:pPr>
        <w:pStyle w:val="ListBullet"/>
        <w:spacing w:after="60" w:line="276" w:lineRule="auto"/>
      </w:pPr>
      <w:r>
        <w:rPr>
          <w:rFonts w:ascii="Arial" w:hAnsi="Arial"/>
          <w:b/>
          <w:sz w:val="20"/>
        </w:rPr>
        <w:t xml:space="preserve">Click 3: </w:t>
      </w:r>
      <w:r>
        <w:rPr>
          <w:rFonts w:ascii="Arial" w:hAnsi="Arial"/>
          <w:color w:val="1E293B"/>
          <w:sz w:val="20"/>
        </w:rPr>
        <w:t>Left Navigation -&gt; Builder tools -&gt; Agents. Point out Model selection, Instructions, Action Groups (Lambda), and Knowledge Bases.</w:t>
      </w:r>
    </w:p>
    <w:p>
      <w:pPr>
        <w:spacing w:before="80" w:after="160"/>
        <w:ind w:left="288"/>
      </w:pPr>
      <w:r>
        <w:rPr>
          <w:rFonts w:ascii="Arial" w:hAnsi="Arial"/>
          <w:b/>
          <w:color w:val="2563EB"/>
          <w:sz w:val="19"/>
        </w:rPr>
        <w:t xml:space="preserve">[INSTRUCTOR TALK TRACK] </w:t>
      </w:r>
      <w:r>
        <w:rPr>
          <w:rFonts w:ascii="Arial" w:hAnsi="Arial"/>
          <w:i/>
          <w:color w:val="334155"/>
          <w:sz w:val="19"/>
        </w:rPr>
        <w:t>"Here is Layer 2 (AI Runtime). An Agent is a managed state machine. It pairs Claude 3.5 Sonnet with instructions, attaches our Knowledge Base for policy retrieval, and attaches Lambda functions as Action Groups to perform actions like creating a support ticket."</w:t>
      </w:r>
    </w:p>
    <w:p>
      <w:pPr>
        <w:pStyle w:val="ListBullet"/>
        <w:spacing w:after="60" w:line="276" w:lineRule="auto"/>
      </w:pPr>
      <w:r>
        <w:rPr>
          <w:rFonts w:ascii="Arial" w:hAnsi="Arial"/>
          <w:b/>
          <w:sz w:val="20"/>
        </w:rPr>
        <w:t xml:space="preserve">Click 4: </w:t>
      </w:r>
      <w:r>
        <w:rPr>
          <w:rFonts w:ascii="Arial" w:hAnsi="Arial"/>
          <w:color w:val="1E293B"/>
          <w:sz w:val="20"/>
        </w:rPr>
        <w:t>Left Navigation -&gt; Safeties -&gt; Guardrails. Point out Content filters, Denied topics, PII masking (SSN, emails), and Grounding check filters.</w:t>
      </w:r>
    </w:p>
    <w:p>
      <w:pPr>
        <w:spacing w:before="80" w:after="160"/>
        <w:ind w:left="288"/>
      </w:pPr>
      <w:r>
        <w:rPr>
          <w:rFonts w:ascii="Arial" w:hAnsi="Arial"/>
          <w:b/>
          <w:color w:val="2563EB"/>
          <w:sz w:val="19"/>
        </w:rPr>
        <w:t xml:space="preserve">[INSTRUCTOR TALK TRACK] </w:t>
      </w:r>
      <w:r>
        <w:rPr>
          <w:rFonts w:ascii="Arial" w:hAnsi="Arial"/>
          <w:i/>
          <w:color w:val="334155"/>
          <w:sz w:val="19"/>
        </w:rPr>
        <w:t>"This is enterprise governance. Guardrails sit between the user and the model. They mask PII before it hits Claude and reject responses that hallucinate without citation evidence."</w:t>
      </w:r>
    </w:p>
    <w:p>
      <w:pPr>
        <w:keepNext/>
        <w:spacing w:before="240" w:after="80"/>
      </w:pPr>
      <w:r>
        <w:rPr>
          <w:rFonts w:ascii="Arial" w:hAnsi="Arial"/>
          <w:b/>
          <w:color w:val="475569"/>
          <w:sz w:val="26"/>
        </w:rPr>
        <w:t>Step 2: Microsoft Azure AI Foundry Walkthrough (4 to 5 minutes)</w:t>
      </w:r>
    </w:p>
    <w:p>
      <w:pPr>
        <w:pStyle w:val="ListBullet"/>
        <w:spacing w:after="60" w:line="276" w:lineRule="auto"/>
      </w:pPr>
      <w:r>
        <w:rPr>
          <w:rFonts w:ascii="Arial" w:hAnsi="Arial"/>
          <w:b/>
          <w:sz w:val="20"/>
        </w:rPr>
        <w:t xml:space="preserve">Click 1: </w:t>
      </w:r>
      <w:r>
        <w:rPr>
          <w:rFonts w:ascii="Arial" w:hAnsi="Arial"/>
          <w:color w:val="1E293B"/>
          <w:sz w:val="20"/>
        </w:rPr>
        <w:t>Navigate to ai.azure.com -&gt; Select your Project -&gt; Model catalog. Show 10,000+ models: OpenAI (GPT-4o, o1, o3-mini), Meta Llama, Mistral, Hugging Face.</w:t>
      </w:r>
    </w:p>
    <w:p>
      <w:pPr>
        <w:spacing w:before="80" w:after="160"/>
        <w:ind w:left="288"/>
      </w:pPr>
      <w:r>
        <w:rPr>
          <w:rFonts w:ascii="Arial" w:hAnsi="Arial"/>
          <w:b/>
          <w:color w:val="2563EB"/>
          <w:sz w:val="19"/>
        </w:rPr>
        <w:t xml:space="preserve">[INSTRUCTOR TALK TRACK] </w:t>
      </w:r>
      <w:r>
        <w:rPr>
          <w:rFonts w:ascii="Arial" w:hAnsi="Arial"/>
          <w:i/>
          <w:color w:val="334155"/>
          <w:sz w:val="19"/>
        </w:rPr>
        <w:t>"Compare this with AWS. Microsoft operates as a massive enterprise model marketplace. Through Azure, you get strategic first-party access to OpenAI models with zero data retention under your corporate HIPAA/BAA agreement."</w:t>
      </w:r>
    </w:p>
    <w:p>
      <w:pPr>
        <w:pStyle w:val="ListBullet"/>
        <w:spacing w:after="60" w:line="276" w:lineRule="auto"/>
      </w:pPr>
      <w:r>
        <w:rPr>
          <w:rFonts w:ascii="Arial" w:hAnsi="Arial"/>
          <w:b/>
          <w:sz w:val="20"/>
        </w:rPr>
        <w:t xml:space="preserve">Click 2: </w:t>
      </w:r>
      <w:r>
        <w:rPr>
          <w:rFonts w:ascii="Arial" w:hAnsi="Arial"/>
          <w:color w:val="1E293B"/>
          <w:sz w:val="20"/>
        </w:rPr>
        <w:t>Left Navigation -&gt; Data + indexes -&gt; Indexes. Click '+ New index'. Show Azure AI Search, Azure Blob Storage, and SharePoint connectors.</w:t>
      </w:r>
    </w:p>
    <w:p>
      <w:pPr>
        <w:spacing w:before="80" w:after="160"/>
        <w:ind w:left="288"/>
      </w:pPr>
      <w:r>
        <w:rPr>
          <w:rFonts w:ascii="Arial" w:hAnsi="Arial"/>
          <w:b/>
          <w:color w:val="2563EB"/>
          <w:sz w:val="19"/>
        </w:rPr>
        <w:t xml:space="preserve">[INSTRUCTOR TALK TRACK] </w:t>
      </w:r>
      <w:r>
        <w:rPr>
          <w:rFonts w:ascii="Arial" w:hAnsi="Arial"/>
          <w:i/>
          <w:color w:val="334155"/>
          <w:sz w:val="19"/>
        </w:rPr>
        <w:t>"Here is Azure Layer 3. Azure AI Search provides hybrid search: BM25 lexical keyword search plus vector embeddings, followed by a semantic cross-encoder reranker. It also inherits corporate ACL security tags from Microsoft Entra ID."</w:t>
      </w:r>
    </w:p>
    <w:p>
      <w:pPr>
        <w:pStyle w:val="ListBullet"/>
        <w:spacing w:after="60" w:line="276" w:lineRule="auto"/>
      </w:pPr>
      <w:r>
        <w:rPr>
          <w:rFonts w:ascii="Arial" w:hAnsi="Arial"/>
          <w:b/>
          <w:sz w:val="20"/>
        </w:rPr>
        <w:t xml:space="preserve">Click 3: </w:t>
      </w:r>
      <w:r>
        <w:rPr>
          <w:rFonts w:ascii="Arial" w:hAnsi="Arial"/>
          <w:color w:val="1E293B"/>
          <w:sz w:val="20"/>
        </w:rPr>
        <w:t>Left Navigation -&gt; Build -&gt; Agents. Show Agent playground, Model selection (GPT-4o), and Tools (File Search, Code Interpreter, Custom Functions).</w:t>
      </w:r>
    </w:p>
    <w:p>
      <w:pPr>
        <w:spacing w:before="80" w:after="160"/>
        <w:ind w:left="288"/>
      </w:pPr>
      <w:r>
        <w:rPr>
          <w:rFonts w:ascii="Arial" w:hAnsi="Arial"/>
          <w:b/>
          <w:color w:val="2563EB"/>
          <w:sz w:val="19"/>
        </w:rPr>
        <w:t xml:space="preserve">[INSTRUCTOR TALK TRACK] </w:t>
      </w:r>
      <w:r>
        <w:rPr>
          <w:rFonts w:ascii="Arial" w:hAnsi="Arial"/>
          <w:i/>
          <w:color w:val="334155"/>
          <w:sz w:val="19"/>
        </w:rPr>
        <w:t>"Notice how similar this is to Bedrock Agents. We choose our model, attach Azure AI Search as the File Search tool, and connect Logic Apps or Azure Functions to trigger actions inside ServiceNow or Microsoft Teams."</w:t>
      </w:r>
    </w:p>
    <w:p>
      <w:pPr>
        <w:pStyle w:val="ListBullet"/>
        <w:spacing w:after="60" w:line="276" w:lineRule="auto"/>
      </w:pPr>
      <w:r>
        <w:rPr>
          <w:rFonts w:ascii="Arial" w:hAnsi="Arial"/>
          <w:b/>
          <w:sz w:val="20"/>
        </w:rPr>
        <w:t xml:space="preserve">Click 4: </w:t>
      </w:r>
      <w:r>
        <w:rPr>
          <w:rFonts w:ascii="Arial" w:hAnsi="Arial"/>
          <w:color w:val="1E293B"/>
          <w:sz w:val="20"/>
        </w:rPr>
        <w:t>Left Navigation -&gt; Safety + security -&gt; Content Safety. Show Prompt Shields (injection defense), Protected material, and PII detection.</w:t>
      </w:r>
    </w:p>
    <w:p>
      <w:pPr>
        <w:spacing w:before="80" w:after="160"/>
        <w:ind w:left="288"/>
      </w:pPr>
      <w:r>
        <w:rPr>
          <w:rFonts w:ascii="Arial" w:hAnsi="Arial"/>
          <w:b/>
          <w:color w:val="2563EB"/>
          <w:sz w:val="19"/>
        </w:rPr>
        <w:t xml:space="preserve">[INSTRUCTOR TALK TRACK] </w:t>
      </w:r>
      <w:r>
        <w:rPr>
          <w:rFonts w:ascii="Arial" w:hAnsi="Arial"/>
          <w:i/>
          <w:color w:val="334155"/>
          <w:sz w:val="19"/>
        </w:rPr>
        <w:t>"This is the Azure defense layer. Prompt Shields stop malicious users from overriding system instructions via documents or user chats."</w:t>
      </w:r>
    </w:p>
    <w:p>
      <w:pPr>
        <w:keepNext/>
        <w:spacing w:before="240" w:after="80"/>
      </w:pPr>
      <w:r>
        <w:rPr>
          <w:rFonts w:ascii="Arial" w:hAnsi="Arial"/>
          <w:b/>
          <w:color w:val="475569"/>
          <w:sz w:val="26"/>
        </w:rPr>
        <w:t>Step 3: Google Cloud Vertex AI Walkthrough (4 to 5 minutes)</w:t>
      </w:r>
    </w:p>
    <w:p>
      <w:pPr>
        <w:pStyle w:val="ListBullet"/>
        <w:spacing w:after="60" w:line="276" w:lineRule="auto"/>
      </w:pPr>
      <w:r>
        <w:rPr>
          <w:rFonts w:ascii="Arial" w:hAnsi="Arial"/>
          <w:b/>
          <w:sz w:val="20"/>
        </w:rPr>
        <w:t xml:space="preserve">Click 1: </w:t>
      </w:r>
      <w:r>
        <w:rPr>
          <w:rFonts w:ascii="Arial" w:hAnsi="Arial"/>
          <w:color w:val="1E293B"/>
          <w:sz w:val="20"/>
        </w:rPr>
        <w:t>Google Cloud Console -&gt; Vertex AI -&gt; Model Garden. Search for Gemini 2.0 Flash, Gemini 1.5 Pro, Claude 3.5 Sonnet, Gemma 2.</w:t>
      </w:r>
    </w:p>
    <w:p>
      <w:pPr>
        <w:spacing w:before="80" w:after="160"/>
        <w:ind w:left="288"/>
      </w:pPr>
      <w:r>
        <w:rPr>
          <w:rFonts w:ascii="Arial" w:hAnsi="Arial"/>
          <w:b/>
          <w:color w:val="2563EB"/>
          <w:sz w:val="19"/>
        </w:rPr>
        <w:t xml:space="preserve">[INSTRUCTOR TALK TRACK] </w:t>
      </w:r>
      <w:r>
        <w:rPr>
          <w:rFonts w:ascii="Arial" w:hAnsi="Arial"/>
          <w:i/>
          <w:color w:val="334155"/>
          <w:sz w:val="19"/>
        </w:rPr>
        <w:t>"Google Cloud combines first-party frontier Gemini models with open models like Gemma and third-party models like Claude. Gemini 1.5 Pro gives you a native 2-million token context window, allowing you to bypass RAG entirely for documents under 1,000 pages."</w:t>
      </w:r>
    </w:p>
    <w:p>
      <w:pPr>
        <w:pStyle w:val="ListBullet"/>
        <w:spacing w:after="60" w:line="276" w:lineRule="auto"/>
      </w:pPr>
      <w:r>
        <w:rPr>
          <w:rFonts w:ascii="Arial" w:hAnsi="Arial"/>
          <w:b/>
          <w:sz w:val="20"/>
        </w:rPr>
        <w:t xml:space="preserve">Click 2: </w:t>
      </w:r>
      <w:r>
        <w:rPr>
          <w:rFonts w:ascii="Arial" w:hAnsi="Arial"/>
          <w:color w:val="1E293B"/>
          <w:sz w:val="20"/>
        </w:rPr>
        <w:t>Left Navigation -&gt; Agent Builder -&gt; Search and Conversation -&gt; Data Stores. Click 'Create Data Store'. Show Cloud Storage, BigQuery, Google Drive, Jira.</w:t>
      </w:r>
    </w:p>
    <w:p>
      <w:pPr>
        <w:spacing w:before="80" w:after="160"/>
        <w:ind w:left="288"/>
      </w:pPr>
      <w:r>
        <w:rPr>
          <w:rFonts w:ascii="Arial" w:hAnsi="Arial"/>
          <w:b/>
          <w:color w:val="2563EB"/>
          <w:sz w:val="19"/>
        </w:rPr>
        <w:t xml:space="preserve">[INSTRUCTOR TALK TRACK] </w:t>
      </w:r>
      <w:r>
        <w:rPr>
          <w:rFonts w:ascii="Arial" w:hAnsi="Arial"/>
          <w:i/>
          <w:color w:val="334155"/>
          <w:sz w:val="19"/>
        </w:rPr>
        <w:t>"This is Google Layer 3 (Vertex AI Search). Because of Google search DNA, their turnkey ingestion handles table extraction and multi-page layouts automatically. You can ground models directly on BigQuery data lakes without custom ETL."</w:t>
      </w:r>
    </w:p>
    <w:p>
      <w:pPr>
        <w:pStyle w:val="ListBullet"/>
        <w:spacing w:after="60" w:line="276" w:lineRule="auto"/>
      </w:pPr>
      <w:r>
        <w:rPr>
          <w:rFonts w:ascii="Arial" w:hAnsi="Arial"/>
          <w:b/>
          <w:sz w:val="20"/>
        </w:rPr>
        <w:t xml:space="preserve">Click 3: </w:t>
      </w:r>
      <w:r>
        <w:rPr>
          <w:rFonts w:ascii="Arial" w:hAnsi="Arial"/>
          <w:color w:val="1E293B"/>
          <w:sz w:val="20"/>
        </w:rPr>
        <w:t>Left Navigation -&gt; Agent Builder -&gt; Apps / Agents. Show Vertex AI Agent Builder conversational flow.</w:t>
      </w:r>
    </w:p>
    <w:p>
      <w:pPr>
        <w:spacing w:before="80" w:after="160"/>
        <w:ind w:left="288"/>
      </w:pPr>
      <w:r>
        <w:rPr>
          <w:rFonts w:ascii="Arial" w:hAnsi="Arial"/>
          <w:b/>
          <w:color w:val="2563EB"/>
          <w:sz w:val="19"/>
        </w:rPr>
        <w:t xml:space="preserve">[INSTRUCTOR TALK TRACK] </w:t>
      </w:r>
      <w:r>
        <w:rPr>
          <w:rFonts w:ascii="Arial" w:hAnsi="Arial"/>
          <w:i/>
          <w:color w:val="334155"/>
          <w:sz w:val="19"/>
        </w:rPr>
        <w:t>"Here is the Gemini Enterprise Agent Platform. You create multi-turn conversational agents with built-in Session State management and multi-tool routing."</w:t>
      </w:r>
    </w:p>
    <w:p>
      <w:pPr>
        <w:pStyle w:val="ListBullet"/>
        <w:spacing w:after="60" w:line="276" w:lineRule="auto"/>
      </w:pPr>
      <w:r>
        <w:rPr>
          <w:rFonts w:ascii="Arial" w:hAnsi="Arial"/>
          <w:b/>
          <w:sz w:val="20"/>
        </w:rPr>
        <w:t xml:space="preserve">Click 4: </w:t>
      </w:r>
      <w:r>
        <w:rPr>
          <w:rFonts w:ascii="Arial" w:hAnsi="Arial"/>
          <w:color w:val="1E293B"/>
          <w:sz w:val="20"/>
        </w:rPr>
        <w:t>Left Navigation -&gt; Vertex AI Studio -&gt; Chat Prompt. Toggle on 'Grounding' -&gt; 'Vertex AI Search'.</w:t>
      </w:r>
    </w:p>
    <w:p>
      <w:pPr>
        <w:spacing w:before="80" w:after="160"/>
        <w:ind w:left="288"/>
      </w:pPr>
      <w:r>
        <w:rPr>
          <w:rFonts w:ascii="Arial" w:hAnsi="Arial"/>
          <w:b/>
          <w:color w:val="2563EB"/>
          <w:sz w:val="19"/>
        </w:rPr>
        <w:t xml:space="preserve">[INSTRUCTOR TALK TRACK] </w:t>
      </w:r>
      <w:r>
        <w:rPr>
          <w:rFonts w:ascii="Arial" w:hAnsi="Arial"/>
          <w:i/>
          <w:color w:val="334155"/>
          <w:sz w:val="19"/>
        </w:rPr>
        <w:t>"With one click, any Gemini prompt is grounded against our enterprise knowledge base. Google automatically computes a Grounding Score, showing exact confidence and citations."</w:t>
      </w:r>
    </w:p>
    <w:p>
      <w:pPr>
        <w:keepNext/>
        <w:spacing w:before="240" w:after="80"/>
      </w:pPr>
      <w:r>
        <w:rPr>
          <w:rFonts w:ascii="Arial" w:hAnsi="Arial"/>
          <w:b/>
          <w:color w:val="475569"/>
          <w:sz w:val="26"/>
        </w:rPr>
        <w:t>Step 4: Financial &amp; Architecture Synthesis (2 to 3 minutes)</w:t>
      </w:r>
    </w:p>
    <w:p>
      <w:pPr>
        <w:spacing w:after="80" w:line="276" w:lineRule="auto"/>
      </w:pPr>
      <w:r>
        <w:rPr>
          <w:rFonts w:ascii="Arial" w:hAnsi="Arial"/>
          <w:i w:val="0"/>
          <w:color w:val="1E293B"/>
          <w:sz w:val="20"/>
        </w:rPr>
        <w:t>Conclude the demo by contrasting the pricing models (Slide 21/22):</w:t>
      </w:r>
    </w:p>
    <w:p>
      <w:pPr>
        <w:pStyle w:val="ListBullet"/>
        <w:spacing w:after="60" w:line="276" w:lineRule="auto"/>
      </w:pPr>
      <w:r>
        <w:rPr>
          <w:rFonts w:ascii="Arial" w:hAnsi="Arial"/>
          <w:b/>
          <w:sz w:val="20"/>
        </w:rPr>
        <w:t xml:space="preserve">AWS Fixed Cost: </w:t>
      </w:r>
      <w:r>
        <w:rPr>
          <w:rFonts w:ascii="Arial" w:hAnsi="Arial"/>
          <w:color w:val="1E293B"/>
          <w:sz w:val="20"/>
        </w:rPr>
        <w:t>AWS OpenSearch Serverless requires a minimum of 4 OCUs ($0.70/hr = ~$500/month) even with zero traffic.</w:t>
      </w:r>
    </w:p>
    <w:p>
      <w:pPr>
        <w:pStyle w:val="ListBullet"/>
        <w:spacing w:after="60" w:line="276" w:lineRule="auto"/>
      </w:pPr>
      <w:r>
        <w:rPr>
          <w:rFonts w:ascii="Arial" w:hAnsi="Arial"/>
          <w:b/>
          <w:sz w:val="20"/>
        </w:rPr>
        <w:t xml:space="preserve">Azure Cost: </w:t>
      </w:r>
      <w:r>
        <w:rPr>
          <w:rFonts w:ascii="Arial" w:hAnsi="Arial"/>
          <w:color w:val="1E293B"/>
          <w:sz w:val="20"/>
        </w:rPr>
        <w:t>Azure AI Search Basic starts at ~$75/month; models are available via Pay-as-you-go or PTU (Provisioned Throughput).</w:t>
      </w:r>
    </w:p>
    <w:p>
      <w:pPr>
        <w:pStyle w:val="ListBullet"/>
        <w:spacing w:after="60" w:line="276" w:lineRule="auto"/>
      </w:pPr>
      <w:r>
        <w:rPr>
          <w:rFonts w:ascii="Arial" w:hAnsi="Arial"/>
          <w:b/>
          <w:sz w:val="20"/>
        </w:rPr>
        <w:t xml:space="preserve">Google Cloud Cost: </w:t>
      </w:r>
      <w:r>
        <w:rPr>
          <w:rFonts w:ascii="Arial" w:hAnsi="Arial"/>
          <w:color w:val="1E293B"/>
          <w:sz w:val="20"/>
        </w:rPr>
        <w:t>Gemini 1.5 Flash is highly cost-effective ($0.075/1M tokens); Vertex Search charges per request ($0.005/query) with zero fixed cluster minimums.</w:t>
      </w:r>
    </w:p>
    <w:p>
      <w:pPr>
        <w:spacing w:before="80" w:after="160"/>
        <w:ind w:left="288"/>
      </w:pPr>
      <w:r>
        <w:rPr>
          <w:rFonts w:ascii="Arial" w:hAnsi="Arial"/>
          <w:b/>
          <w:color w:val="2563EB"/>
          <w:sz w:val="19"/>
        </w:rPr>
        <w:t xml:space="preserve">[FINAL DEMO TAKEAWAY] </w:t>
      </w:r>
      <w:r>
        <w:rPr>
          <w:rFonts w:ascii="Arial" w:hAnsi="Arial"/>
          <w:i/>
          <w:color w:val="334155"/>
          <w:sz w:val="19"/>
        </w:rPr>
        <w:t>"Portals look different, but the architecture is identical. Your choice comes down to organizational data gravity, identity controls, and fixed infrastructure pricing floors."</w:t>
      </w:r>
    </w:p>
    <w:p>
      <w:pPr>
        <w:keepNext/>
        <w:spacing w:before="320" w:after="120"/>
      </w:pPr>
      <w:r>
        <w:rPr>
          <w:rFonts w:ascii="Arial" w:hAnsi="Arial"/>
          <w:b/>
          <w:color w:val="1E3A8A"/>
          <w:sz w:val="32"/>
        </w:rPr>
        <w:t>Part 2: Student Homework Specification (100% Free / Zero-Cost)</w:t>
      </w:r>
    </w:p>
    <w:p>
      <w:pPr>
        <w:spacing w:after="80" w:line="276" w:lineRule="auto"/>
      </w:pPr>
      <w:r>
        <w:rPr>
          <w:rFonts w:ascii="Arial" w:hAnsi="Arial"/>
          <w:b/>
          <w:color w:val="0F172A"/>
          <w:sz w:val="20"/>
        </w:rPr>
        <w:t xml:space="preserve">Business Scenario: </w:t>
      </w:r>
      <w:r>
        <w:rPr>
          <w:rFonts w:ascii="Arial" w:hAnsi="Arial"/>
          <w:i w:val="0"/>
          <w:color w:val="1E293B"/>
          <w:sz w:val="20"/>
        </w:rPr>
        <w:t>OmniHealth Insurance processes 50,000 medical reimbursement claims per month. Currently, human adjusters manually review scanned receipts and hospital invoices to check policy eligibility, extract diagnostic codes (ICD-10, CPT), and detect billing anomalies.</w:t>
      </w:r>
    </w:p>
    <w:p>
      <w:pPr>
        <w:spacing w:after="80" w:line="276" w:lineRule="auto"/>
      </w:pPr>
      <w:r>
        <w:rPr>
          <w:rFonts w:ascii="Arial" w:hAnsi="Arial"/>
          <w:i w:val="0"/>
          <w:color w:val="1E293B"/>
          <w:sz w:val="20"/>
        </w:rPr>
        <w:t>Students must design an automated, multimodal Claims Processing Assistant pipeline: (1) Input scanned PDF/JPEG receipt, (2) Field Extraction &amp; OCR, (3) Policy Grounding against insurance plans, (4) Anomaly Reasoning for billing outliers, and (5) Human Review Routing if confidence &lt; 90%.</w:t>
      </w:r>
    </w:p>
    <w:p>
      <w:pPr>
        <w:keepNext/>
        <w:spacing w:before="240" w:after="80"/>
      </w:pPr>
      <w:r>
        <w:rPr>
          <w:rFonts w:ascii="Arial" w:hAnsi="Arial"/>
          <w:b/>
          <w:color w:val="475569"/>
          <w:sz w:val="26"/>
        </w:rPr>
        <w:t>Two Zero-Cost Implementation Paths ($0.00 Guaranteed)</w:t>
      </w:r>
    </w:p>
    <w:p>
      <w:pPr>
        <w:pStyle w:val="ListBullet"/>
        <w:spacing w:after="60" w:line="276" w:lineRule="auto"/>
      </w:pPr>
      <w:r>
        <w:rPr>
          <w:rFonts w:ascii="Arial" w:hAnsi="Arial"/>
          <w:b/>
          <w:sz w:val="20"/>
        </w:rPr>
        <w:t xml:space="preserve">Option A: Architecture Design Package (Recommended, $0): </w:t>
      </w:r>
      <w:r>
        <w:rPr>
          <w:rFonts w:ascii="Arial" w:hAnsi="Arial"/>
          <w:color w:val="1E293B"/>
          <w:sz w:val="20"/>
        </w:rPr>
        <w:t>Students produce an enterprise-grade architecture specification document without touching cloud billing. Diagrams created using free tools (Mermaid.js, Draw.io, Excalidraw, or Google Slides). Requires zero credit card or billing registration.</w:t>
      </w:r>
    </w:p>
    <w:p>
      <w:pPr>
        <w:pStyle w:val="ListBullet"/>
        <w:spacing w:after="60" w:line="276" w:lineRule="auto"/>
      </w:pPr>
      <w:r>
        <w:rPr>
          <w:rFonts w:ascii="Arial" w:hAnsi="Arial"/>
          <w:b/>
          <w:sz w:val="20"/>
        </w:rPr>
        <w:t xml:space="preserve">Option B: Hands-on Sandbox Verification ($0): </w:t>
      </w:r>
      <w:r>
        <w:rPr>
          <w:rFonts w:ascii="Arial" w:hAnsi="Arial"/>
          <w:color w:val="1E293B"/>
          <w:sz w:val="20"/>
        </w:rPr>
        <w:t>Students who want hands-on code can use Google AI Studio (https://aistudio.google.com/) for 100% free Gemini 2.0 Flash API access (15 RPM free tier, no credit card required) to test receipt OCR and JSON field extraction. Alternatively, Azure for Students ($100 credit, no credit card) or AWS Educate.</w:t>
      </w:r>
    </w:p>
    <w:p>
      <w:pPr>
        <w:keepNext/>
        <w:spacing w:before="240" w:after="80"/>
      </w:pPr>
      <w:r>
        <w:rPr>
          <w:rFonts w:ascii="Arial" w:hAnsi="Arial"/>
          <w:b/>
          <w:color w:val="475569"/>
          <w:sz w:val="26"/>
        </w:rPr>
        <w:t>Required Student Submission Deliverables</w:t>
      </w:r>
    </w:p>
    <w:p>
      <w:pPr>
        <w:pStyle w:val="ListBullet"/>
        <w:spacing w:after="60" w:line="276" w:lineRule="auto"/>
      </w:pPr>
      <w:r>
        <w:rPr>
          <w:rFonts w:ascii="Arial" w:hAnsi="Arial"/>
          <w:b/>
          <w:sz w:val="20"/>
        </w:rPr>
        <w:t xml:space="preserve">1. System Architecture Diagram: </w:t>
      </w:r>
      <w:r>
        <w:rPr>
          <w:rFonts w:ascii="Arial" w:hAnsi="Arial"/>
          <w:color w:val="1E293B"/>
          <w:sz w:val="20"/>
        </w:rPr>
        <w:t>Must show 4 layers: App/Input, AI Ingestion &amp; Inference, Retrieval/Knowledge, and Human Approval Queue. Clearly mark Managed Cloud Services vs App-Owned code.</w:t>
      </w:r>
    </w:p>
    <w:p>
      <w:pPr>
        <w:pStyle w:val="ListBullet"/>
        <w:spacing w:after="60" w:line="276" w:lineRule="auto"/>
      </w:pPr>
      <w:r>
        <w:rPr>
          <w:rFonts w:ascii="Arial" w:hAnsi="Arial"/>
          <w:b/>
          <w:sz w:val="20"/>
        </w:rPr>
        <w:t xml:space="preserve">2. Platform Selection Matrix: </w:t>
      </w:r>
      <w:r>
        <w:rPr>
          <w:rFonts w:ascii="Arial" w:hAnsi="Arial"/>
          <w:color w:val="1E293B"/>
          <w:sz w:val="20"/>
        </w:rPr>
        <w:t>Formally answer the 5 selection questions: Workload, Data Gravity, Model Fit, Observability, and Operating Team.</w:t>
      </w:r>
    </w:p>
    <w:p>
      <w:pPr>
        <w:pStyle w:val="ListBullet"/>
        <w:spacing w:after="60" w:line="276" w:lineRule="auto"/>
      </w:pPr>
      <w:r>
        <w:rPr>
          <w:rFonts w:ascii="Arial" w:hAnsi="Arial"/>
          <w:b/>
          <w:sz w:val="20"/>
        </w:rPr>
        <w:t xml:space="preserve">3. Managed vs App-Owned Table: </w:t>
      </w:r>
      <w:r>
        <w:rPr>
          <w:rFonts w:ascii="Arial" w:hAnsi="Arial"/>
          <w:color w:val="1E293B"/>
          <w:sz w:val="20"/>
        </w:rPr>
        <w:t>Compare managed cloud tools vs application-owned components (e.g. Document Intelligence vs custom OCR; OpenSearch vs pgvector).</w:t>
      </w:r>
    </w:p>
    <w:p>
      <w:pPr>
        <w:pStyle w:val="ListBullet"/>
        <w:spacing w:after="60" w:line="276" w:lineRule="auto"/>
      </w:pPr>
      <w:r>
        <w:rPr>
          <w:rFonts w:ascii="Arial" w:hAnsi="Arial"/>
          <w:b/>
          <w:sz w:val="20"/>
        </w:rPr>
        <w:t xml:space="preserve">4. Evaluation &amp; Quality Gate Plan: </w:t>
      </w:r>
      <w:r>
        <w:rPr>
          <w:rFonts w:ascii="Arial" w:hAnsi="Arial"/>
          <w:color w:val="1E293B"/>
          <w:sz w:val="20"/>
        </w:rPr>
        <w:t>Define a Golden Test Dataset (50 labeled historical claims) and auto-approval thresholds (&gt;= 95% extraction accuracy; &gt;= 90% confidence score).</w:t>
      </w:r>
    </w:p>
    <w:p>
      <w:pPr>
        <w:pStyle w:val="ListBullet"/>
        <w:spacing w:after="60" w:line="276" w:lineRule="auto"/>
      </w:pPr>
      <w:r>
        <w:rPr>
          <w:rFonts w:ascii="Arial" w:hAnsi="Arial"/>
          <w:b/>
          <w:sz w:val="20"/>
        </w:rPr>
        <w:t xml:space="preserve">5. Mandatory Disqualified Alternative: </w:t>
      </w:r>
      <w:r>
        <w:rPr>
          <w:rFonts w:ascii="Arial" w:hAnsi="Arial"/>
          <w:color w:val="1E293B"/>
          <w:sz w:val="20"/>
        </w:rPr>
        <w:t>Explicit technical justification why at least one competing cloud platform was rejected (e.g. 6-month delay for HIPAA BAA procurement on AWS, or lack of native Teams integration).</w:t>
      </w:r>
    </w:p>
    <w:p>
      <w:pPr>
        <w:keepNext/>
        <w:spacing w:before="240" w:after="80"/>
      </w:pPr>
      <w:r>
        <w:rPr>
          <w:rFonts w:ascii="Arial" w:hAnsi="Arial"/>
          <w:b/>
          <w:color w:val="475569"/>
          <w:sz w:val="26"/>
        </w:rPr>
        <w:t>Grading Rubric (100 Points Total)</w:t>
      </w:r>
    </w:p>
    <w:tbl>
      <w:tblPr>
        <w:tblStyle w:val="TableGrid"/>
        <w:tblW w:type="auto" w:w="0"/>
        <w:tblLook w:firstColumn="1" w:firstRow="1" w:lastColumn="0" w:lastRow="0" w:noHBand="0" w:noVBand="1" w:val="04A0"/>
      </w:tblPr>
      <w:tblGrid>
        <w:gridCol w:w="3312"/>
        <w:gridCol w:w="3312"/>
        <w:gridCol w:w="3312"/>
      </w:tblGrid>
      <w:tr>
        <w:tc>
          <w:tcPr>
            <w:tcW w:type="dxa" w:w="3312"/>
          </w:tcPr>
          <w:p>
            <w:r>
              <w:t>Criteria</w:t>
            </w:r>
          </w:p>
        </w:tc>
        <w:tc>
          <w:tcPr>
            <w:tcW w:type="dxa" w:w="3312"/>
          </w:tcPr>
          <w:p>
            <w:r>
              <w:t>Points</w:t>
            </w:r>
          </w:p>
        </w:tc>
        <w:tc>
          <w:tcPr>
            <w:tcW w:type="dxa" w:w="3312"/>
          </w:tcPr>
          <w:p>
            <w:r>
              <w:t>Description</w:t>
            </w:r>
          </w:p>
        </w:tc>
      </w:tr>
      <w:tr>
        <w:tc>
          <w:tcPr>
            <w:tcW w:type="dxa" w:w="3312"/>
          </w:tcPr>
          <w:p>
            <w:r>
              <w:t>1. Architecture Flow &amp; Layering</w:t>
            </w:r>
          </w:p>
        </w:tc>
        <w:tc>
          <w:tcPr>
            <w:tcW w:type="dxa" w:w="3312"/>
          </w:tcPr>
          <w:p>
            <w:r>
              <w:t>25 pts</w:t>
            </w:r>
          </w:p>
        </w:tc>
        <w:tc>
          <w:tcPr>
            <w:tcW w:type="dxa" w:w="3312"/>
          </w:tcPr>
          <w:p>
            <w:r>
              <w:t>Complete end-to-end flow from scanned PDF to human review queue. Clear separation of offline and online paths.</w:t>
            </w:r>
          </w:p>
        </w:tc>
      </w:tr>
      <w:tr>
        <w:tc>
          <w:tcPr>
            <w:tcW w:type="dxa" w:w="3312"/>
          </w:tcPr>
          <w:p>
            <w:r>
              <w:t>2. Security &amp; Compliance Controls</w:t>
            </w:r>
          </w:p>
        </w:tc>
        <w:tc>
          <w:tcPr>
            <w:tcW w:type="dxa" w:w="3312"/>
          </w:tcPr>
          <w:p>
            <w:r>
              <w:t>20 pts</w:t>
            </w:r>
          </w:p>
        </w:tc>
        <w:tc>
          <w:tcPr>
            <w:tcW w:type="dxa" w:w="3312"/>
          </w:tcPr>
          <w:p>
            <w:r>
              <w:t>Explicit handling of HIPAA BAA, PII masking, customer-managed KMS encryption, and role-based access.</w:t>
            </w:r>
          </w:p>
        </w:tc>
      </w:tr>
      <w:tr>
        <w:tc>
          <w:tcPr>
            <w:tcW w:type="dxa" w:w="3312"/>
          </w:tcPr>
          <w:p>
            <w:r>
              <w:t>3. Evaluation &amp; Guardrails Plan</w:t>
            </w:r>
          </w:p>
        </w:tc>
        <w:tc>
          <w:tcPr>
            <w:tcW w:type="dxa" w:w="3312"/>
          </w:tcPr>
          <w:p>
            <w:r>
              <w:t>20 pts</w:t>
            </w:r>
          </w:p>
        </w:tc>
        <w:tc>
          <w:tcPr>
            <w:tcW w:type="dxa" w:w="3312"/>
          </w:tcPr>
          <w:p>
            <w:r>
              <w:t>Realistic Golden Dataset definition, hallucination check, and automated confidence scoring (&lt; 90% routing).</w:t>
            </w:r>
          </w:p>
        </w:tc>
      </w:tr>
      <w:tr>
        <w:tc>
          <w:tcPr>
            <w:tcW w:type="dxa" w:w="3312"/>
          </w:tcPr>
          <w:p>
            <w:r>
              <w:t>4. Cost &amp; Operating Model Defense</w:t>
            </w:r>
          </w:p>
        </w:tc>
        <w:tc>
          <w:tcPr>
            <w:tcW w:type="dxa" w:w="3312"/>
          </w:tcPr>
          <w:p>
            <w:r>
              <w:t>15 pts</w:t>
            </w:r>
          </w:p>
        </w:tc>
        <w:tc>
          <w:tcPr>
            <w:tcW w:type="dxa" w:w="3312"/>
          </w:tcPr>
          <w:p>
            <w:r>
              <w:t>Realistic justification of platform fit, awareness of fixed vs variable pricing (PTU vs PayG vs OCUs).</w:t>
            </w:r>
          </w:p>
        </w:tc>
      </w:tr>
      <w:tr>
        <w:tc>
          <w:tcPr>
            <w:tcW w:type="dxa" w:w="3312"/>
          </w:tcPr>
          <w:p>
            <w:r>
              <w:t>5. Disqualified Alternative Defense</w:t>
            </w:r>
          </w:p>
        </w:tc>
        <w:tc>
          <w:tcPr>
            <w:tcW w:type="dxa" w:w="3312"/>
          </w:tcPr>
          <w:p>
            <w:r>
              <w:t>20 pts</w:t>
            </w:r>
          </w:p>
        </w:tc>
        <w:tc>
          <w:tcPr>
            <w:tcW w:type="dxa" w:w="3312"/>
          </w:tcPr>
          <w:p>
            <w:r>
              <w:t>Concrete, defensible technical rejection of an alternative cloud provider (zero points if missing).</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