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GenAI - Module 03: Vector Stores and RAG</w:t>
      </w:r>
    </w:p>
    <w:p>
      <w:pPr>
        <w:pStyle w:val="Heading1"/>
      </w:pPr>
      <w:r>
        <w:t>Full Instructor Script FINAL: Delivery &amp; Pedagogical Guide</w:t>
      </w:r>
    </w:p>
    <w:p>
      <w:pPr>
        <w:pStyle w:val="Heading2"/>
      </w:pPr>
      <w:r>
        <w:t>Instructor Operating Principle</w:t>
      </w:r>
    </w:p>
    <w:p>
      <w:r>
        <w:t>"Never let students treat RAG as a simple library import. Anchor every concept in systems engineering: latency budgets, memory sizing, boundary constraints, and measurable evaluation gates."</w:t>
      </w:r>
    </w:p>
    <w:p>
      <w:r>
        <w:t>---</w:t>
      </w:r>
    </w:p>
    <w:p>
      <w:pPr>
        <w:pStyle w:val="Heading2"/>
      </w:pPr>
      <w:r>
        <w:t>Delivery Timing Plan</w:t>
      </w:r>
    </w:p>
    <w:p>
      <w:r>
        <w:t>| Block | 120-Min Full Session | 90-Min Compressed Session | Core Pedagogical Focus |</w:t>
      </w:r>
    </w:p>
    <w:p>
      <w:r>
        <w:t>| :--- | :---: | :---: | :--- |</w:t>
      </w:r>
    </w:p>
    <w:p>
      <w:r>
        <w:t>| **Block 1: Foundations &amp; The Innocent Model** | 20 min | 15 min | Mental model shift: LLM as reasoning engine, vector store as factual memory. |</w:t>
      </w:r>
    </w:p>
    <w:p>
      <w:r>
        <w:t>| **Block 2: Two-Lane Architecture &amp; Chunking** | 25 min | 20 min | Ingestion vs Query lanes, structure-aware chunking, ACL security boundaries. |</w:t>
      </w:r>
    </w:p>
    <w:p>
      <w:r>
        <w:t>| **Block 3: Indexes, HNSW, IVF &amp; Memory Math** | 25 min | 20 min | Approximate nearest neighbors, graph vs cluster indexes, RAM calculations. |</w:t>
      </w:r>
    </w:p>
    <w:p>
      <w:r>
        <w:t>| **Block 4: Hybrid Search, Reranking &amp; Lost-in-Middle** | 20 min | 15 min | BM25 + Dense RRF fusion, cross-encoder rerankers, attention U-curve. |</w:t>
      </w:r>
    </w:p>
    <w:p>
      <w:r>
        <w:t>| **Block 5: Live Demonstration &amp; Failure Taxonomy** | 20 min | 15 min | Step-by-step local Python demo execution, 7-stage failure triage. |</w:t>
      </w:r>
    </w:p>
    <w:p>
      <w:r>
        <w:t>| **Block 6: Evaluation, Sizing &amp; Workshop Brief** | 10 min | 5 min | Ragas evaluation triad, production checklist, homework assignment. |</w:t>
      </w:r>
    </w:p>
    <w:p>
      <w:r>
        <w:t>---</w:t>
      </w:r>
    </w:p>
    <w:p>
      <w:pPr>
        <w:pStyle w:val="Heading2"/>
      </w:pPr>
      <w:r>
        <w:t>Spoken Slide-by-Slide Instructor Narrative</w:t>
      </w:r>
    </w:p>
    <w:p>
      <w:pPr>
        <w:pStyle w:val="Heading3"/>
      </w:pPr>
      <w:r>
        <w:t>Slide 1: Course Title &amp; Roadmap</w:t>
      </w:r>
    </w:p>
    <w:p>
      <w:r>
        <w:t>**Say:** "Welcome to Module 03. Today we transition from probabilistic language modeling to deterministic enterprise retrieval. Many engineers believe that building a RAG application is simply calling a vector database and concatenating text into a prompt. In this lecture, we dismantle that naive illusion and construct an enterprise-grade retrieval engine designed for zero security leakage, verifiable citations, sub-50ms latency, and continuous automated evaluation."</w:t>
      </w:r>
    </w:p>
    <w:p>
      <w:r>
        <w:t>**Teaching Note:** Emphasize that RAG is not an AI hack; it is a distributed systems engineering pattern.</w:t>
      </w:r>
    </w:p>
    <w:p>
      <w:pPr>
        <w:pStyle w:val="Heading3"/>
      </w:pPr>
      <w:r>
        <w:t>Slide 2: Mental Model: Parametric Weights vs Dynamic Retrieval</w:t>
      </w:r>
    </w:p>
    <w:p>
      <w:r>
        <w:t>**Say:** "Look at the contrast on this slide. A model's weights are static synaptic gradients frozen at training time. They are expensive to update, non-deterministic, and prone to hallucinations when asked about proprietary company data. RAG introduces an external working memory. The vector database and search index own the truth; the LLM merely translates and synthesizes that truth into clear natural language."</w:t>
      </w:r>
    </w:p>
    <w:p>
      <w:r>
        <w:t>**Audience Question:** "If an internal company policy changes at 9:00 AM, how long does it take for a fine-tuned model to know? How long for a RAG system?"</w:t>
      </w:r>
    </w:p>
    <w:p>
      <w:r>
        <w:t>*(Expected answer: Fine-tuning takes hours or days; RAG updates in milliseconds via document re-indexing).*</w:t>
      </w:r>
    </w:p>
    <w:p>
      <w:pPr>
        <w:pStyle w:val="Heading3"/>
      </w:pPr>
      <w:r>
        <w:t>Slide 3: The Hook: The Model Can Be Innocent</w:t>
      </w:r>
    </w:p>
    <w:p>
      <w:r>
        <w:t>**Say:** "When an executive complains that the chatbot hallucinated, the junior engineer's instinct is to change the prompt or switch from GPT-4o to Claude 3.5 Sonnet. But look at this diagnosis: if our retrieval pipeline fetches Version 1.2 of the hardware policy instead of Version 2.4, the model will faithfully give the wrong answer. 75% of production RAG defects are retrieval and data bugs, not model generation bugs."</w:t>
      </w:r>
    </w:p>
    <w:p>
      <w:pPr>
        <w:pStyle w:val="Heading3"/>
      </w:pPr>
      <w:r>
        <w:t>Slide 4: Dual-Lane Architecture: Ingestion vs Query</w:t>
      </w:r>
    </w:p>
    <w:p>
      <w:r>
        <w:t>**Say:** "Notice the strict separation into two independent operational lanes. Lane 1 is the Offline Ingestion Lane: it parses documents, extracts markdown hierarchies, calculates dense and sparse vectors, tags access control labels, and writes to storage. Lane 2 is the Online Request Lane: it authenticates the user, prunes unauthorized chunks, runs hybrid retrieval, reranks candidates, and synthesizes answers. Never perform document parsing or heavy chunking inside the user's synchronous HTTP request loop."</w:t>
      </w:r>
    </w:p>
    <w:p>
      <w:pPr>
        <w:pStyle w:val="Heading3"/>
      </w:pPr>
      <w:r>
        <w:t>Slide 5: Text Embeddings &amp; Cosine Geometry</w:t>
      </w:r>
    </w:p>
    <w:p>
      <w:r>
        <w:t>**Say:** "Here is the mathematics of semantic representation. When we embed text, we project strings into a 128- to 1536-dimensional continuous space. Notice what happens when vectors are normalized to unit length: the denominator of the Cosine Similarity formula becomes exactly 1.0. Cosine similarity simplifies to a pure dot product. This transforms similarity search from expensive trigonometric math into a single high-speed matrix-vector multiplication executed on hardware tensor cores."</w:t>
      </w:r>
    </w:p>
    <w:p>
      <w:pPr>
        <w:pStyle w:val="Heading3"/>
      </w:pPr>
      <w:r>
        <w:t>Slide 6: Chunking Strategies: Naive vs Structure-Aware</w:t>
      </w:r>
    </w:p>
    <w:p>
      <w:r>
        <w:t>**Say:** "Observe what naive character chunking does to an engineering policy: it cuts right through sentences, leaves orphaned list items, and separates table data from headers. Structure-aware chunking splits along markdown headers and prepends the hierarchical breadcrumb to every chunk. A chunk that reads 'Section 2: Up to 14 days' is ambiguous; a chunk that reads 'Hardware Policy &gt; Temporary Loans &gt; Section 2: Up to 14 days' carries rich semantic signal even for short queries."</w:t>
      </w:r>
    </w:p>
    <w:p>
      <w:pPr>
        <w:pStyle w:val="Heading3"/>
      </w:pPr>
      <w:r>
        <w:t>Slide 7: Metadata Filtering &amp; Security Access Control</w:t>
      </w:r>
    </w:p>
    <w:p>
      <w:r>
        <w:t>**Say:** "This is the most critical enterprise slide in the entire deck. Semantic similarity knows nothing about corporate security. If an intern searches for compensation packages, vector similarity will happily match confidential C-suite executive perks. We must enforce hard metadata pre-filtering. The database filters by user tenant and role BEFORE nearest-neighbor search begins. Never rely on post-filtering: if the top 20 candidates are all executive documents, post-filtering leaves your user with zero results."</w:t>
      </w:r>
    </w:p>
    <w:p>
      <w:pPr>
        <w:pStyle w:val="Heading3"/>
      </w:pPr>
      <w:r>
        <w:t>Slide 8: Similarity Search: Exact kNN vs ANN</w:t>
      </w:r>
    </w:p>
    <w:p>
      <w:r>
        <w:t>**Say:** "Why can't we just run exact cosine distance across all documents? Because exact search scales linearly: Big-O of N times d. For 10 million vectors, every single user query burns 15 billion floating-point operations. That is why enterprise systems use Approximate Nearest Neighbors. We accept a negligible 1% drop in recall to achieve logarithmic search time."</w:t>
      </w:r>
    </w:p>
    <w:p>
      <w:pPr>
        <w:pStyle w:val="Heading3"/>
      </w:pPr>
      <w:r>
        <w:t>Slide 9: Vector Indexing: HNSW Deep-Dive</w:t>
      </w:r>
    </w:p>
    <w:p>
      <w:r>
        <w:t>**Say:** "HNSW is the gold standard for high-speed in-memory vector search. Think of it as a multi-layer skip-list expanded into a graph. In the top sparse layer, queries take giant geometric leaps across vector space. Once the entry point gets close to the target cluster, the search drops down to denser layers for fine-grained nearest-neighbor routing. Query time drops from seconds to under 5 milliseconds."</w:t>
      </w:r>
    </w:p>
    <w:p>
      <w:pPr>
        <w:pStyle w:val="Heading3"/>
      </w:pPr>
      <w:r>
        <w:t>Slide 10: Vector Indexing: IVF &amp; Quantization</w:t>
      </w:r>
    </w:p>
    <w:p>
      <w:r>
        <w:t>**Say:** "When your dataset scales to 100 million vectors, pure HNSW graphs will bankrupt your RAM budget. Here we introduce IVF and Quantization. IVF partitions the space into Voronoi cells, inspecting only neighboring cluster centroids. Scalar Quantization converts 32-bit floats into 8-bit integers, slashing RAM consumption by 75% with virtually zero loss in answer quality."</w:t>
      </w:r>
    </w:p>
    <w:p>
      <w:pPr>
        <w:pStyle w:val="Heading3"/>
      </w:pPr>
      <w:r>
        <w:t>Slide 11: Memory Footprint &amp; Hardware Sizing Math</w:t>
      </w:r>
    </w:p>
    <w:p>
      <w:r>
        <w:t>**Say:** "Let's do the actual production engineering math. One million vectors at 1536 dimensions raw float32 requires 6.1 GB. But an HNSW graph requires neighbor pointer lists, adding another 1.75x overhead, bringing the index to 10.7 GB. Add 3 GB for text payloads and metadata, and you need at least 16 GB of dedicated RAM for a single million vectors. This calculation determines whether you can host in-memory or must adopt disk-backed vector databases."</w:t>
      </w:r>
    </w:p>
    <w:p>
      <w:pPr>
        <w:pStyle w:val="Heading3"/>
      </w:pPr>
      <w:r>
        <w:t>Slide 12: Lexical vs Dense Retrieval</w:t>
      </w:r>
    </w:p>
    <w:p>
      <w:r>
        <w:t>**Say:** "Dense embeddings understand that 'physician' and 'doctor' are related. But what happens when an engineer searches for 'error code 0x80070005' or 'Room B12'? Dense embeddings frequently blur exact alphanumeric tokens into generic IT concepts. Sparse BM25 lexical search is undefeated for exact part numbers, acronyms, and error codes. We need both."</w:t>
      </w:r>
    </w:p>
    <w:p>
      <w:pPr>
        <w:pStyle w:val="Heading3"/>
      </w:pPr>
      <w:r>
        <w:t>Slide 13: Hybrid Fusion via Reciprocal Rank Fusion (RRF)</w:t>
      </w:r>
    </w:p>
    <w:p>
      <w:r>
        <w:t>**Say:** "How do we combine BM25 scores (which range from 0 to infinity) with Cosine scores (which range from -1 to 1)? We cannot simply add them. We use Reciprocal Rank Fusion. RRF cares only about ordinal rank: 1 divided by 60 plus rank. If a document ranks well in both dense and sparse pipelines, RRF catapults it to rank number one."</w:t>
      </w:r>
    </w:p>
    <w:p>
      <w:pPr>
        <w:pStyle w:val="Heading3"/>
      </w:pPr>
      <w:r>
        <w:t>Slide 14: Cross-Encoder Reranking</w:t>
      </w:r>
    </w:p>
    <w:p>
      <w:r>
        <w:t>**Say:** "First-stage bi-encoders retrieve 50 candidates in 10 milliseconds. But bi-encoders encode query and document independently. A cross-encoder feeds query and candidate into a full transformer simultaneously, allowing every token to attend to every other token. It is 50 times slower, but immensely more accurate. So we build a two-stage pipeline: fast hybrid retrieval fetches top-50, and a cross-encoder picks the top-5."</w:t>
      </w:r>
    </w:p>
    <w:p>
      <w:pPr>
        <w:pStyle w:val="Heading3"/>
      </w:pPr>
      <w:r>
        <w:t>Slide 15: Context Assembly &amp; 'Lost in the Middle'</w:t>
      </w:r>
    </w:p>
    <w:p>
      <w:r>
        <w:t>**Say:** "Research from Stanford proved that LLMs exhibit a severe U-shaped attention curve. Information at the start of context enjoys primacy; information at the end enjoys recency. Facts buried in the center suffer a 30 to 50% retrieval drop. We position the most relevant chunks at the very top, and anchor the exact instructions and output schemas at the very bottom."</w:t>
      </w:r>
    </w:p>
    <w:p>
      <w:pPr>
        <w:pStyle w:val="Heading3"/>
      </w:pPr>
      <w:r>
        <w:t>Slide 16: Verifiable Grounding &amp; Strict Citations</w:t>
      </w:r>
    </w:p>
    <w:p>
      <w:r>
        <w:t>**Say:** "An enterprise answer without citations is an unverified assertion. Our prompt template requires inline citation brackets for every factual claim. If evidence is absent, the model is strictly commanded to refuse rather than speculate. 'I cannot find evidence in approved company policy' is a successful engineering outcome; an invented allowance is a system incident."</w:t>
      </w:r>
    </w:p>
    <w:p>
      <w:pPr>
        <w:pStyle w:val="Heading3"/>
      </w:pPr>
      <w:r>
        <w:t>Slide 17: RAG vs Long-Context Windows</w:t>
      </w:r>
    </w:p>
    <w:p>
      <w:r>
        <w:t>**Say:** "Students always ask: 'Gemini 1.5 Pro supports 2 million tokens. Why do we still need RAG?' Run the numbers: 1 million input tokens costs several dollars per call and takes 20 seconds to stream. RAG costs fractions of a cent and streams in 800 milliseconds. RAG is the scalable, cost-effective architecture for querying massive knowledge bases across thousands of documents."</w:t>
      </w:r>
    </w:p>
    <w:p>
      <w:pPr>
        <w:pStyle w:val="Heading3"/>
      </w:pPr>
      <w:r>
        <w:t>Slide 18: Vector Database Landscape: Managed vs Self-Hosted</w:t>
      </w:r>
    </w:p>
    <w:p>
      <w:r>
        <w:t>**Say:** "Evaluate your options across operational friction: Pinecone and Azure AI Search provide fully managed serverless operations at higher cloud markup. Qdrant, Milvus, and pgvector give you open-source data ownership and predictable bare-metal costs, but require 24/7 database operations and cluster management."</w:t>
      </w:r>
    </w:p>
    <w:p>
      <w:pPr>
        <w:pStyle w:val="Heading3"/>
      </w:pPr>
      <w:r>
        <w:t>Slide 19: Infrastructure TCO &amp; The Real Bill</w:t>
      </w:r>
    </w:p>
    <w:p>
      <w:r>
        <w:t>**Say:** "Your monthly RAG bill is not just the LLM token cost. It is vector database capacity units, embedding generation per document update, reranker inference compute, and distributed log retention. In low-to-medium traffic apps, the minimum vector database compute floor often exceeds the LLM bill."</w:t>
      </w:r>
    </w:p>
    <w:p>
      <w:pPr>
        <w:pStyle w:val="Heading3"/>
      </w:pPr>
      <w:r>
        <w:t>Slide 20-21: The 7-Stage RAG Failure Taxonomy</w:t>
      </w:r>
    </w:p>
    <w:p>
      <w:r>
        <w:t>**Say:** "When an answer fails, walk this diagnostic tree: Was it an Ingestion gap? A Chunking fracture? A Retrieval miss? A Security filter drop? A Reranking fall? A Context truncation? Or a pure Synthesis hallucination? Diagnosing the exact stage is how engineering teams fix root causes rather than endlessly tweaking prompts."</w:t>
      </w:r>
    </w:p>
    <w:p>
      <w:pPr>
        <w:pStyle w:val="Heading3"/>
      </w:pPr>
      <w:r>
        <w:t>Slide 22-23: Automated Evaluation: Retrieval vs Generation</w:t>
      </w:r>
    </w:p>
    <w:p>
      <w:r>
        <w:t>**Say:** "We evaluate retrieval using Hit Rate, Recall@k, and NDCG against curated golden datasets. We evaluate generation using the Ragas triad: Context Relevance, Groundedness, and Answer Relevance. If your CI/CD pipeline does not run an automated evaluation suite on prompt changes, you are deploying blindly."</w:t>
      </w:r>
    </w:p>
    <w:p>
      <w:pPr>
        <w:pStyle w:val="Heading3"/>
      </w:pPr>
      <w:r>
        <w:t>Slide 24: Production Architecture Reference</w:t>
      </w:r>
    </w:p>
    <w:p>
      <w:r>
        <w:t>**Say:** "This is the complete industrial reference architecture. Notice the caching layer, the PII sanitization boundary, the fallback circuit breakers, and the OTel distributed trace collector. This is the quality standard expected in enterprise engineering."</w:t>
      </w:r>
    </w:p>
    <w:p>
      <w:pPr>
        <w:pStyle w:val="Heading3"/>
      </w:pPr>
      <w:r>
        <w:t>Slide 25-26: Workshop Brief &amp; Production Checklist</w:t>
      </w:r>
    </w:p>
    <w:p>
      <w:r>
        <w:t>**Say:** "For today's workshop and homework, you will build or architect an enterprise policy search engine with access control filtering and strict citation grounding. Verify your design against the 7 production readiness gates on this 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