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Lecture 03 — QA Review Report</w:t>
      </w:r>
    </w:p>
    <w:p>
      <w:r>
        <w:rPr>
          <w:i/>
          <w:color w:val="5F6B7A"/>
          <w:sz w:val="22"/>
        </w:rPr>
        <w:t>Reconciliation, critic findings, fixes and second-pass evidence</w:t>
      </w:r>
    </w:p>
    <w:p>
      <w:r>
        <w:rPr>
          <w:color w:val="5F6B7A"/>
          <w:sz w:val="17"/>
        </w:rPr>
        <w:t>GenAI Basics  •  Module 03  •  Refreshed 2026-09-14</w:t>
      </w:r>
    </w:p>
    <w:p>
      <w:pPr>
        <w:pStyle w:val="Heading1"/>
      </w:pPr>
      <w:r>
        <w:t>Why Module 03 was reopened</w:t>
      </w:r>
    </w:p>
    <w:p>
      <w:r>
        <w:t>The canonical registry previously marked Module 03 DONE, but reconciliation against the Artifact Standard found that the existing artifact package did not satisfy the current definition of DONE. The folder contained a full set of named files, but completeness by filename was not enough.</w:t>
      </w:r>
    </w:p>
    <w:p>
      <w:pPr>
        <w:pStyle w:val="Heading1"/>
      </w:pPr>
      <w:r>
        <w:t>Critic pass 1 — findings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1F33"/>
            <w:tcMar>
              <w:top w:w="100" w:type="dxa"/>
              <w:start w:w="120" w:type="dxa"/>
              <w:bottom w:w="100" w:type="dxa"/>
              <w:end w:w="120" w:type="dxa"/>
            </w:tcMar>
          </w:tcPr>
          <w:p>
            <w:r>
              <w:rPr>
                <w:b/>
                <w:color w:val="FFFFFF"/>
                <w:sz w:val="18"/>
              </w:rPr>
              <w:t>Gate</w:t>
            </w:r>
          </w:p>
        </w:tc>
        <w:tc>
          <w:tcPr>
            <w:tcW w:type="dxa" w:w="3389"/>
            <w:shd w:fill="0B1F33"/>
            <w:tcMar>
              <w:top w:w="100" w:type="dxa"/>
              <w:start w:w="120" w:type="dxa"/>
              <w:bottom w:w="100" w:type="dxa"/>
              <w:end w:w="120" w:type="dxa"/>
            </w:tcMar>
          </w:tcPr>
          <w:p>
            <w:r>
              <w:rPr>
                <w:b/>
                <w:color w:val="FFFFFF"/>
                <w:sz w:val="18"/>
              </w:rPr>
              <w:t>Finding</w:t>
            </w:r>
          </w:p>
        </w:tc>
        <w:tc>
          <w:tcPr>
            <w:tcW w:type="dxa" w:w="3389"/>
            <w:shd w:fill="0B1F33"/>
            <w:tcMar>
              <w:top w:w="100" w:type="dxa"/>
              <w:start w:w="120" w:type="dxa"/>
              <w:bottom w:w="100" w:type="dxa"/>
              <w:end w:w="120" w:type="dxa"/>
            </w:tcMar>
          </w:tcPr>
          <w:p>
            <w:r>
              <w:rPr>
                <w:b/>
                <w:color w:val="FFFFFF"/>
                <w:sz w:val="18"/>
              </w:rPr>
              <w:t>Severity</w:t>
            </w:r>
          </w:p>
        </w:tc>
      </w:tr>
      <w:tr>
        <w:tc>
          <w:tcPr>
            <w:tcW w:type="dxa" w:w="3389"/>
            <w:tcMar>
              <w:top w:w="100" w:type="dxa"/>
              <w:start w:w="120" w:type="dxa"/>
              <w:bottom w:w="100" w:type="dxa"/>
              <w:end w:w="120" w:type="dxa"/>
            </w:tcMar>
            <w:vAlign w:val="center"/>
            <w:shd w:fill="EAF0F6"/>
          </w:tcPr>
          <w:p>
            <w:r>
              <w:rPr>
                <w:sz w:val="17"/>
              </w:rPr>
              <w:t>Source / freshness</w:t>
            </w:r>
          </w:p>
        </w:tc>
        <w:tc>
          <w:tcPr>
            <w:tcW w:type="dxa" w:w="3389"/>
            <w:tcMar>
              <w:top w:w="100" w:type="dxa"/>
              <w:start w:w="120" w:type="dxa"/>
              <w:bottom w:w="100" w:type="dxa"/>
              <w:end w:w="120" w:type="dxa"/>
            </w:tcMar>
            <w:vAlign w:val="center"/>
          </w:tcPr>
          <w:p>
            <w:r>
              <w:rPr>
                <w:sz w:val="17"/>
              </w:rPr>
              <w:t>Source Notes were checked 2026-09-08 and named OpenAI Python 3.8.0 as current. PyPI shows 3.13.0 published 2026-09-10.</w:t>
            </w:r>
          </w:p>
        </w:tc>
        <w:tc>
          <w:tcPr>
            <w:tcW w:type="dxa" w:w="3389"/>
            <w:tcMar>
              <w:top w:w="100" w:type="dxa"/>
              <w:start w:w="120" w:type="dxa"/>
              <w:bottom w:w="100" w:type="dxa"/>
              <w:end w:w="120" w:type="dxa"/>
            </w:tcMar>
            <w:vAlign w:val="center"/>
          </w:tcPr>
          <w:p>
            <w:r>
              <w:rPr>
                <w:sz w:val="17"/>
              </w:rPr>
              <w:t>BLOCKER</w:t>
            </w:r>
          </w:p>
        </w:tc>
      </w:tr>
      <w:tr>
        <w:tc>
          <w:tcPr>
            <w:tcW w:type="dxa" w:w="3389"/>
            <w:tcMar>
              <w:top w:w="100" w:type="dxa"/>
              <w:start w:w="120" w:type="dxa"/>
              <w:bottom w:w="100" w:type="dxa"/>
              <w:end w:w="120" w:type="dxa"/>
            </w:tcMar>
            <w:vAlign w:val="center"/>
            <w:shd w:fill="EAF0F6"/>
          </w:tcPr>
          <w:p>
            <w:r>
              <w:rPr>
                <w:sz w:val="17"/>
              </w:rPr>
              <w:t>Full instructor script</w:t>
            </w:r>
          </w:p>
        </w:tc>
        <w:tc>
          <w:tcPr>
            <w:tcW w:type="dxa" w:w="3389"/>
            <w:tcMar>
              <w:top w:w="100" w:type="dxa"/>
              <w:start w:w="120" w:type="dxa"/>
              <w:bottom w:w="100" w:type="dxa"/>
              <w:end w:w="120" w:type="dxa"/>
            </w:tcMar>
            <w:vAlign w:val="center"/>
          </w:tcPr>
          <w:p>
            <w:r>
              <w:rPr>
                <w:sz w:val="17"/>
              </w:rPr>
              <w:t>Existing file was a timing outline with short presenter cues, not a full teachable spoken script.</w:t>
            </w:r>
          </w:p>
        </w:tc>
        <w:tc>
          <w:tcPr>
            <w:tcW w:type="dxa" w:w="3389"/>
            <w:tcMar>
              <w:top w:w="100" w:type="dxa"/>
              <w:start w:w="120" w:type="dxa"/>
              <w:bottom w:w="100" w:type="dxa"/>
              <w:end w:w="120" w:type="dxa"/>
            </w:tcMar>
            <w:vAlign w:val="center"/>
          </w:tcPr>
          <w:p>
            <w:r>
              <w:rPr>
                <w:sz w:val="17"/>
              </w:rPr>
              <w:t>BLOCKER</w:t>
            </w:r>
          </w:p>
        </w:tc>
      </w:tr>
      <w:tr>
        <w:tc>
          <w:tcPr>
            <w:tcW w:type="dxa" w:w="3389"/>
            <w:tcMar>
              <w:top w:w="100" w:type="dxa"/>
              <w:start w:w="120" w:type="dxa"/>
              <w:bottom w:w="100" w:type="dxa"/>
              <w:end w:w="120" w:type="dxa"/>
            </w:tcMar>
            <w:vAlign w:val="center"/>
            <w:shd w:fill="EAF0F6"/>
          </w:tcPr>
          <w:p>
            <w:r>
              <w:rPr>
                <w:sz w:val="17"/>
              </w:rPr>
              <w:t>Demo assets</w:t>
            </w:r>
          </w:p>
        </w:tc>
        <w:tc>
          <w:tcPr>
            <w:tcW w:type="dxa" w:w="3389"/>
            <w:tcMar>
              <w:top w:w="100" w:type="dxa"/>
              <w:start w:w="120" w:type="dxa"/>
              <w:bottom w:w="100" w:type="dxa"/>
              <w:end w:w="120" w:type="dxa"/>
            </w:tcMar>
            <w:vAlign w:val="center"/>
          </w:tcPr>
          <w:p>
            <w:r>
              <w:rPr>
                <w:sz w:val="17"/>
              </w:rPr>
              <w:t>Repo contained stale “latest checked” text and __pycache__ files; no deterministic local test entry point.</w:t>
            </w:r>
          </w:p>
        </w:tc>
        <w:tc>
          <w:tcPr>
            <w:tcW w:type="dxa" w:w="3389"/>
            <w:tcMar>
              <w:top w:w="100" w:type="dxa"/>
              <w:start w:w="120" w:type="dxa"/>
              <w:bottom w:w="100" w:type="dxa"/>
              <w:end w:w="120" w:type="dxa"/>
            </w:tcMar>
            <w:vAlign w:val="center"/>
          </w:tcPr>
          <w:p>
            <w:r>
              <w:rPr>
                <w:sz w:val="17"/>
              </w:rPr>
              <w:t>MAJOR</w:t>
            </w:r>
          </w:p>
        </w:tc>
      </w:tr>
      <w:tr>
        <w:tc>
          <w:tcPr>
            <w:tcW w:type="dxa" w:w="3389"/>
            <w:tcMar>
              <w:top w:w="100" w:type="dxa"/>
              <w:start w:w="120" w:type="dxa"/>
              <w:bottom w:w="100" w:type="dxa"/>
              <w:end w:w="120" w:type="dxa"/>
            </w:tcMar>
            <w:vAlign w:val="center"/>
            <w:shd w:fill="EAF0F6"/>
          </w:tcPr>
          <w:p>
            <w:r>
              <w:rPr>
                <w:sz w:val="17"/>
              </w:rPr>
              <w:t>Artifact completeness</w:t>
            </w:r>
          </w:p>
        </w:tc>
        <w:tc>
          <w:tcPr>
            <w:tcW w:type="dxa" w:w="3389"/>
            <w:tcMar>
              <w:top w:w="100" w:type="dxa"/>
              <w:start w:w="120" w:type="dxa"/>
              <w:bottom w:w="100" w:type="dxa"/>
              <w:end w:w="120" w:type="dxa"/>
            </w:tcMar>
            <w:vAlign w:val="center"/>
          </w:tcPr>
          <w:p>
            <w:r>
              <w:rPr>
                <w:sz w:val="17"/>
              </w:rPr>
              <w:t>Files existed, but the script and demo evidence did not meet the current standard.</w:t>
            </w:r>
          </w:p>
        </w:tc>
        <w:tc>
          <w:tcPr>
            <w:tcW w:type="dxa" w:w="3389"/>
            <w:tcMar>
              <w:top w:w="100" w:type="dxa"/>
              <w:start w:w="120" w:type="dxa"/>
              <w:bottom w:w="100" w:type="dxa"/>
              <w:end w:w="120" w:type="dxa"/>
            </w:tcMar>
            <w:vAlign w:val="center"/>
          </w:tcPr>
          <w:p>
            <w:r>
              <w:rPr>
                <w:sz w:val="17"/>
              </w:rPr>
              <w:t>BLOCKER</w:t>
            </w:r>
          </w:p>
        </w:tc>
      </w:tr>
      <w:tr>
        <w:tc>
          <w:tcPr>
            <w:tcW w:type="dxa" w:w="3389"/>
            <w:tcMar>
              <w:top w:w="100" w:type="dxa"/>
              <w:start w:w="120" w:type="dxa"/>
              <w:bottom w:w="100" w:type="dxa"/>
              <w:end w:w="120" w:type="dxa"/>
            </w:tcMar>
            <w:vAlign w:val="center"/>
            <w:shd w:fill="EAF0F6"/>
          </w:tcPr>
          <w:p>
            <w:r>
              <w:rPr>
                <w:sz w:val="17"/>
              </w:rPr>
              <w:t>Slide visual QA</w:t>
            </w:r>
          </w:p>
        </w:tc>
        <w:tc>
          <w:tcPr>
            <w:tcW w:type="dxa" w:w="3389"/>
            <w:tcMar>
              <w:top w:w="100" w:type="dxa"/>
              <w:start w:w="120" w:type="dxa"/>
              <w:bottom w:w="100" w:type="dxa"/>
              <w:end w:w="120" w:type="dxa"/>
            </w:tcMar>
            <w:vAlign w:val="center"/>
          </w:tcPr>
          <w:p>
            <w:r>
              <w:rPr>
                <w:sz w:val="17"/>
              </w:rPr>
              <w:t>21-slide deck was dominated by text/card layouts, with too few architecture/process visuals and limited hierarchy.</w:t>
            </w:r>
          </w:p>
        </w:tc>
        <w:tc>
          <w:tcPr>
            <w:tcW w:type="dxa" w:w="3389"/>
            <w:tcMar>
              <w:top w:w="100" w:type="dxa"/>
              <w:start w:w="120" w:type="dxa"/>
              <w:bottom w:w="100" w:type="dxa"/>
              <w:end w:w="120" w:type="dxa"/>
            </w:tcMar>
            <w:vAlign w:val="center"/>
          </w:tcPr>
          <w:p>
            <w:r>
              <w:rPr>
                <w:sz w:val="17"/>
              </w:rPr>
              <w:t>BLOCKER</w:t>
            </w:r>
          </w:p>
        </w:tc>
      </w:tr>
      <w:tr>
        <w:tc>
          <w:tcPr>
            <w:tcW w:type="dxa" w:w="3389"/>
            <w:tcMar>
              <w:top w:w="100" w:type="dxa"/>
              <w:start w:w="120" w:type="dxa"/>
              <w:bottom w:w="100" w:type="dxa"/>
              <w:end w:w="120" w:type="dxa"/>
            </w:tcMar>
            <w:vAlign w:val="center"/>
            <w:shd w:fill="EAF0F6"/>
          </w:tcPr>
          <w:p>
            <w:r>
              <w:rPr>
                <w:sz w:val="17"/>
              </w:rPr>
              <w:t>Pedagogy / practice</w:t>
            </w:r>
          </w:p>
        </w:tc>
        <w:tc>
          <w:tcPr>
            <w:tcW w:type="dxa" w:w="3389"/>
            <w:tcMar>
              <w:top w:w="100" w:type="dxa"/>
              <w:start w:w="120" w:type="dxa"/>
              <w:bottom w:w="100" w:type="dxa"/>
              <w:end w:w="120" w:type="dxa"/>
            </w:tcMar>
            <w:vAlign w:val="center"/>
          </w:tcPr>
          <w:p>
            <w:r>
              <w:rPr>
                <w:sz w:val="17"/>
              </w:rPr>
              <w:t>Core exercise was useful but the expected student artifact and rubric were underspecified.</w:t>
            </w:r>
          </w:p>
        </w:tc>
        <w:tc>
          <w:tcPr>
            <w:tcW w:type="dxa" w:w="3389"/>
            <w:tcMar>
              <w:top w:w="100" w:type="dxa"/>
              <w:start w:w="120" w:type="dxa"/>
              <w:bottom w:w="100" w:type="dxa"/>
              <w:end w:w="120" w:type="dxa"/>
            </w:tcMar>
            <w:vAlign w:val="center"/>
          </w:tcPr>
          <w:p>
            <w:r>
              <w:rPr>
                <w:sz w:val="17"/>
              </w:rPr>
              <w:t>MAJOR</w:t>
            </w:r>
          </w:p>
        </w:tc>
      </w:tr>
    </w:tbl>
    <w:p>
      <w:pPr>
        <w:pStyle w:val="Heading1"/>
      </w:pPr>
      <w:r>
        <w:t>Fixes applied</w:t>
      </w:r>
    </w:p>
    <w:p>
      <w:pPr>
        <w:pStyle w:val="ListBullet"/>
        <w:spacing w:after="40"/>
      </w:pPr>
      <w:r>
        <w:t>Refreshed official source notes to 2026-09-14 and SDK 3.13.0.</w:t>
      </w:r>
    </w:p>
    <w:p>
      <w:pPr>
        <w:pStyle w:val="ListBullet"/>
        <w:spacing w:after="40"/>
      </w:pPr>
      <w:r>
        <w:t>Rewrote the instructor script as a 116-minute delivery path with explicit spoken narrative, transitions, questions, demo fallbacks and a 90-minute compression path.</w:t>
      </w:r>
    </w:p>
    <w:p>
      <w:pPr>
        <w:pStyle w:val="ListBullet"/>
        <w:spacing w:after="40"/>
      </w:pPr>
      <w:r>
        <w:t>Rebuilt demo repo: current SDK range, preflight, path-safe file loading, explicit timeout/retry policy, ambiguous fixture, local contract tests, cleaned caches and reset instructions.</w:t>
      </w:r>
    </w:p>
    <w:p>
      <w:pPr>
        <w:pStyle w:val="ListBullet"/>
        <w:spacing w:after="40"/>
      </w:pPr>
      <w:r>
        <w:t>Rebuilt workshop around a concrete repository artifact and 10-point rubric.</w:t>
      </w:r>
    </w:p>
    <w:p>
      <w:pPr>
        <w:pStyle w:val="ListBullet"/>
        <w:spacing w:after="40"/>
      </w:pPr>
      <w:r>
        <w:t>Rebuilt slide deck around architecture diagrams, event timeline, validation layers, failure matrix, telemetry flow, workshop artifact and compression timeline rather than repeating text cards.</w:t>
      </w:r>
    </w:p>
    <w:p>
      <w:pPr>
        <w:pStyle w:val="ListBullet"/>
        <w:spacing w:after="40"/>
      </w:pPr>
      <w:r>
        <w:t>Re-rendered documents/deck and ran mechanical + visual inspections before changing gates to PASS.</w:t>
      </w:r>
    </w:p>
    <w:p>
      <w:pPr>
        <w:pStyle w:val="Heading1"/>
      </w:pPr>
      <w:r>
        <w:t>Mandatory gate checklist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1F33"/>
            <w:tcMar>
              <w:top w:w="100" w:type="dxa"/>
              <w:start w:w="120" w:type="dxa"/>
              <w:bottom w:w="100" w:type="dxa"/>
              <w:end w:w="120" w:type="dxa"/>
            </w:tcMar>
          </w:tcPr>
          <w:p>
            <w:r>
              <w:rPr>
                <w:b/>
                <w:color w:val="FFFFFF"/>
                <w:sz w:val="18"/>
              </w:rPr>
              <w:t>Gate</w:t>
            </w:r>
          </w:p>
        </w:tc>
        <w:tc>
          <w:tcPr>
            <w:tcW w:type="dxa" w:w="3389"/>
            <w:shd w:fill="0B1F33"/>
            <w:tcMar>
              <w:top w:w="100" w:type="dxa"/>
              <w:start w:w="120" w:type="dxa"/>
              <w:bottom w:w="100" w:type="dxa"/>
              <w:end w:w="120" w:type="dxa"/>
            </w:tcMar>
          </w:tcPr>
          <w:p>
            <w:r>
              <w:rPr>
                <w:b/>
                <w:color w:val="FFFFFF"/>
                <w:sz w:val="18"/>
              </w:rPr>
              <w:t>Status</w:t>
            </w:r>
          </w:p>
        </w:tc>
        <w:tc>
          <w:tcPr>
            <w:tcW w:type="dxa" w:w="3389"/>
            <w:shd w:fill="0B1F33"/>
            <w:tcMar>
              <w:top w:w="100" w:type="dxa"/>
              <w:start w:w="120" w:type="dxa"/>
              <w:bottom w:w="100" w:type="dxa"/>
              <w:end w:w="120" w:type="dxa"/>
            </w:tcMar>
          </w:tcPr>
          <w:p>
            <w:r>
              <w:rPr>
                <w:b/>
                <w:color w:val="FFFFFF"/>
                <w:sz w:val="18"/>
              </w:rPr>
              <w:t>Evidence / note</w:t>
            </w:r>
          </w:p>
        </w:tc>
      </w:tr>
      <w:tr>
        <w:tc>
          <w:tcPr>
            <w:tcW w:type="dxa" w:w="3389"/>
            <w:tcMar>
              <w:top w:w="100" w:type="dxa"/>
              <w:start w:w="120" w:type="dxa"/>
              <w:bottom w:w="100" w:type="dxa"/>
              <w:end w:w="120" w:type="dxa"/>
            </w:tcMar>
            <w:vAlign w:val="center"/>
            <w:shd w:fill="EAF0F6"/>
          </w:tcPr>
          <w:p>
            <w:r>
              <w:rPr>
                <w:sz w:val="17"/>
              </w:rPr>
              <w:t>Source / Freshness</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Official sources refreshed 2026-09-14; PyPI 3.13.0 and Terra capabilities verified.</w:t>
            </w:r>
          </w:p>
        </w:tc>
      </w:tr>
      <w:tr>
        <w:tc>
          <w:tcPr>
            <w:tcW w:type="dxa" w:w="3389"/>
            <w:tcMar>
              <w:top w:w="100" w:type="dxa"/>
              <w:start w:w="120" w:type="dxa"/>
              <w:bottom w:w="100" w:type="dxa"/>
              <w:end w:w="120" w:type="dxa"/>
            </w:tcMar>
            <w:vAlign w:val="center"/>
            <w:shd w:fill="EAF0F6"/>
          </w:tcPr>
          <w:p>
            <w:r>
              <w:rPr>
                <w:sz w:val="17"/>
              </w:rPr>
              <w:t>Subject Accuracy</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API/stream/parse/error semantics cross-checked against current official SDK/model docs.</w:t>
            </w:r>
          </w:p>
        </w:tc>
      </w:tr>
      <w:tr>
        <w:tc>
          <w:tcPr>
            <w:tcW w:type="dxa" w:w="3389"/>
            <w:tcMar>
              <w:top w:w="100" w:type="dxa"/>
              <w:start w:w="120" w:type="dxa"/>
              <w:bottom w:w="100" w:type="dxa"/>
              <w:end w:w="120" w:type="dxa"/>
            </w:tcMar>
            <w:vAlign w:val="center"/>
            <w:shd w:fill="EAF0F6"/>
          </w:tcPr>
          <w:p>
            <w:r>
              <w:rPr>
                <w:sz w:val="17"/>
              </w:rPr>
              <w:t>Logic / Sequence</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Request → stream → schema → validation → failure/evidence; transitions audited.</w:t>
            </w:r>
          </w:p>
        </w:tc>
      </w:tr>
      <w:tr>
        <w:tc>
          <w:tcPr>
            <w:tcW w:type="dxa" w:w="3389"/>
            <w:tcMar>
              <w:top w:w="100" w:type="dxa"/>
              <w:start w:w="120" w:type="dxa"/>
              <w:bottom w:w="100" w:type="dxa"/>
              <w:end w:w="120" w:type="dxa"/>
            </w:tcMar>
            <w:vAlign w:val="center"/>
            <w:shd w:fill="EAF0F6"/>
          </w:tcPr>
          <w:p>
            <w:r>
              <w:rPr>
                <w:sz w:val="17"/>
              </w:rPr>
              <w:t>Beginner Clarity</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One support-ticket thread used across concepts; jargon introduced only when needed.</w:t>
            </w:r>
          </w:p>
        </w:tc>
      </w:tr>
      <w:tr>
        <w:tc>
          <w:tcPr>
            <w:tcW w:type="dxa" w:w="3389"/>
            <w:tcMar>
              <w:top w:w="100" w:type="dxa"/>
              <w:start w:w="120" w:type="dxa"/>
              <w:bottom w:w="100" w:type="dxa"/>
              <w:end w:w="120" w:type="dxa"/>
            </w:tcMar>
            <w:vAlign w:val="center"/>
            <w:shd w:fill="EAF0F6"/>
          </w:tcPr>
          <w:p>
            <w:r>
              <w:rPr>
                <w:sz w:val="17"/>
              </w:rPr>
              <w:t>Voice &amp; Tone</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Engineering language; no brochure/hype framing.</w:t>
            </w:r>
          </w:p>
        </w:tc>
      </w:tr>
      <w:tr>
        <w:tc>
          <w:tcPr>
            <w:tcW w:type="dxa" w:w="3389"/>
            <w:tcMar>
              <w:top w:w="100" w:type="dxa"/>
              <w:start w:w="120" w:type="dxa"/>
              <w:bottom w:w="100" w:type="dxa"/>
              <w:end w:w="120" w:type="dxa"/>
            </w:tcMar>
            <w:vAlign w:val="center"/>
            <w:shd w:fill="EAF0F6"/>
          </w:tcPr>
          <w:p>
            <w:r>
              <w:rPr>
                <w:sz w:val="17"/>
              </w:rPr>
              <w:t>AI-ishness Removed</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Static phrase scan + editorial read found no templated AI-marketing language.</w:t>
            </w:r>
          </w:p>
        </w:tc>
      </w:tr>
      <w:tr>
        <w:tc>
          <w:tcPr>
            <w:tcW w:type="dxa" w:w="3389"/>
            <w:tcMar>
              <w:top w:w="100" w:type="dxa"/>
              <w:start w:w="120" w:type="dxa"/>
              <w:bottom w:w="100" w:type="dxa"/>
              <w:end w:w="120" w:type="dxa"/>
            </w:tcMar>
            <w:vAlign w:val="center"/>
            <w:shd w:fill="EAF0F6"/>
          </w:tcPr>
          <w:p>
            <w:r>
              <w:rPr>
                <w:sz w:val="17"/>
              </w:rPr>
              <w:t>Timing Fit</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116-minute full path and explicit 90-minute compression path both reconcile.</w:t>
            </w:r>
          </w:p>
        </w:tc>
      </w:tr>
      <w:tr>
        <w:tc>
          <w:tcPr>
            <w:tcW w:type="dxa" w:w="3389"/>
            <w:tcMar>
              <w:top w:w="100" w:type="dxa"/>
              <w:start w:w="120" w:type="dxa"/>
              <w:bottom w:w="100" w:type="dxa"/>
              <w:end w:w="120" w:type="dxa"/>
            </w:tcMar>
            <w:vAlign w:val="center"/>
            <w:shd w:fill="EAF0F6"/>
          </w:tcPr>
          <w:p>
            <w:r>
              <w:rPr>
                <w:sz w:val="17"/>
              </w:rPr>
              <w:t>Practice</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In-class schema exercise produces a reviewable repository contract.</w:t>
            </w:r>
          </w:p>
        </w:tc>
      </w:tr>
      <w:tr>
        <w:tc>
          <w:tcPr>
            <w:tcW w:type="dxa" w:w="3389"/>
            <w:tcMar>
              <w:top w:w="100" w:type="dxa"/>
              <w:start w:w="120" w:type="dxa"/>
              <w:bottom w:w="100" w:type="dxa"/>
              <w:end w:w="120" w:type="dxa"/>
            </w:tcMar>
            <w:vAlign w:val="center"/>
            <w:shd w:fill="EAF0F6"/>
          </w:tcPr>
          <w:p>
            <w:r>
              <w:rPr>
                <w:sz w:val="17"/>
              </w:rPr>
              <w:t>Live Demo</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Exact setup/run/fallback path; live call is optional evidence, not single point of failure.</w:t>
            </w:r>
          </w:p>
        </w:tc>
      </w:tr>
      <w:tr>
        <w:tc>
          <w:tcPr>
            <w:tcW w:type="dxa" w:w="3389"/>
            <w:tcMar>
              <w:top w:w="100" w:type="dxa"/>
              <w:start w:w="120" w:type="dxa"/>
              <w:bottom w:w="100" w:type="dxa"/>
              <w:end w:w="120" w:type="dxa"/>
            </w:tcMar>
            <w:vAlign w:val="center"/>
            <w:shd w:fill="EAF0F6"/>
          </w:tcPr>
          <w:p>
            <w:r>
              <w:rPr>
                <w:sz w:val="17"/>
              </w:rPr>
              <w:t>Homework / Student Artifact</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Concrete file tree + 10-point rubric + ambiguity/test/telemetry requirements.</w:t>
            </w:r>
          </w:p>
        </w:tc>
      </w:tr>
      <w:tr>
        <w:tc>
          <w:tcPr>
            <w:tcW w:type="dxa" w:w="3389"/>
            <w:tcMar>
              <w:top w:w="100" w:type="dxa"/>
              <w:start w:w="120" w:type="dxa"/>
              <w:bottom w:w="100" w:type="dxa"/>
              <w:end w:w="120" w:type="dxa"/>
            </w:tcMar>
            <w:vAlign w:val="center"/>
            <w:shd w:fill="EAF0F6"/>
          </w:tcPr>
          <w:p>
            <w:r>
              <w:rPr>
                <w:sz w:val="17"/>
              </w:rPr>
              <w:t>Artifact Completeness</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01–09 canonical package present; demo repo clean and resettable.</w:t>
            </w:r>
          </w:p>
        </w:tc>
      </w:tr>
      <w:tr>
        <w:tc>
          <w:tcPr>
            <w:tcW w:type="dxa" w:w="3389"/>
            <w:tcMar>
              <w:top w:w="100" w:type="dxa"/>
              <w:start w:w="120" w:type="dxa"/>
              <w:bottom w:w="100" w:type="dxa"/>
              <w:end w:w="120" w:type="dxa"/>
            </w:tcMar>
            <w:vAlign w:val="center"/>
            <w:shd w:fill="EAF0F6"/>
          </w:tcPr>
          <w:p>
            <w:r>
              <w:rPr>
                <w:sz w:val="17"/>
              </w:rPr>
              <w:t>Slide Content</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30-slide sequence maps to lecture/script and avoids duplicate prose.</w:t>
            </w:r>
          </w:p>
        </w:tc>
      </w:tr>
      <w:tr>
        <w:tc>
          <w:tcPr>
            <w:tcW w:type="dxa" w:w="3389"/>
            <w:tcMar>
              <w:top w:w="100" w:type="dxa"/>
              <w:start w:w="120" w:type="dxa"/>
              <w:bottom w:w="100" w:type="dxa"/>
              <w:end w:w="120" w:type="dxa"/>
            </w:tcMar>
            <w:vAlign w:val="center"/>
            <w:shd w:fill="EAF0F6"/>
          </w:tcPr>
          <w:p>
            <w:r>
              <w:rPr>
                <w:sz w:val="17"/>
              </w:rPr>
              <w:t>Slide Visual QA</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Full deck rendered; montage and dense slides inspected; slides_test PASS, no overflow.</w:t>
            </w:r>
          </w:p>
        </w:tc>
      </w:tr>
      <w:tr>
        <w:tc>
          <w:tcPr>
            <w:tcW w:type="dxa" w:w="3389"/>
            <w:tcMar>
              <w:top w:w="100" w:type="dxa"/>
              <w:start w:w="120" w:type="dxa"/>
              <w:bottom w:w="100" w:type="dxa"/>
              <w:end w:w="120" w:type="dxa"/>
            </w:tcMar>
            <w:vAlign w:val="center"/>
            <w:shd w:fill="EAF0F6"/>
          </w:tcPr>
          <w:p>
            <w:r>
              <w:rPr>
                <w:sz w:val="17"/>
              </w:rPr>
              <w:t>Diagram Quality</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Architecture, streaming timeline, validation layers, retry loop and telemetry flows are native/editable.</w:t>
            </w:r>
          </w:p>
        </w:tc>
      </w:tr>
      <w:tr>
        <w:tc>
          <w:tcPr>
            <w:tcW w:type="dxa" w:w="3389"/>
            <w:tcMar>
              <w:top w:w="100" w:type="dxa"/>
              <w:start w:w="120" w:type="dxa"/>
              <w:bottom w:w="100" w:type="dxa"/>
              <w:end w:w="120" w:type="dxa"/>
            </w:tcMar>
            <w:vAlign w:val="center"/>
            <w:shd w:fill="EAF0F6"/>
          </w:tcPr>
          <w:p>
            <w:r>
              <w:rPr>
                <w:sz w:val="17"/>
              </w:rPr>
              <w:t>Image Relevance</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One cover image directly depicts API/cloud/validated-output flow; no decorative AI wallpaper.</w:t>
            </w:r>
          </w:p>
        </w:tc>
      </w:tr>
      <w:tr>
        <w:tc>
          <w:tcPr>
            <w:tcW w:type="dxa" w:w="3389"/>
            <w:tcMar>
              <w:top w:w="100" w:type="dxa"/>
              <w:start w:w="120" w:type="dxa"/>
              <w:bottom w:w="100" w:type="dxa"/>
              <w:end w:w="120" w:type="dxa"/>
            </w:tcMar>
            <w:vAlign w:val="center"/>
            <w:shd w:fill="EAF0F6"/>
          </w:tcPr>
          <w:p>
            <w:r>
              <w:rPr>
                <w:sz w:val="17"/>
              </w:rPr>
              <w:t>Critic Pass 1</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Reconciliation blockers documented and fixed.</w:t>
            </w:r>
          </w:p>
        </w:tc>
      </w:tr>
      <w:tr>
        <w:tc>
          <w:tcPr>
            <w:tcW w:type="dxa" w:w="3389"/>
            <w:tcMar>
              <w:top w:w="100" w:type="dxa"/>
              <w:start w:w="120" w:type="dxa"/>
              <w:bottom w:w="100" w:type="dxa"/>
              <w:end w:w="120" w:type="dxa"/>
            </w:tcMar>
            <w:vAlign w:val="center"/>
            <w:shd w:fill="EAF0F6"/>
          </w:tcPr>
          <w:p>
            <w:r>
              <w:rPr>
                <w:sz w:val="17"/>
              </w:rPr>
              <w:t>Audit Pass 2</w:t>
            </w:r>
          </w:p>
        </w:tc>
        <w:tc>
          <w:tcPr>
            <w:tcW w:type="dxa" w:w="3389"/>
            <w:tcMar>
              <w:top w:w="100" w:type="dxa"/>
              <w:start w:w="120" w:type="dxa"/>
              <w:bottom w:w="100" w:type="dxa"/>
              <w:end w:w="120" w:type="dxa"/>
            </w:tcMar>
            <w:vAlign w:val="center"/>
          </w:tcPr>
          <w:p>
            <w:r>
              <w:t>PASS</w:t>
            </w:r>
          </w:p>
        </w:tc>
        <w:tc>
          <w:tcPr>
            <w:tcW w:type="dxa" w:w="3389"/>
            <w:tcMar>
              <w:top w:w="100" w:type="dxa"/>
              <w:start w:w="120" w:type="dxa"/>
              <w:bottom w:w="100" w:type="dxa"/>
              <w:end w:w="120" w:type="dxa"/>
            </w:tcMar>
            <w:vAlign w:val="center"/>
          </w:tcPr>
          <w:p>
            <w:r>
              <w:t>Independent post-fix pass: render, local demo tests, source check, phrase scan, completeness audit PASS.</w:t>
            </w:r>
          </w:p>
        </w:tc>
      </w:tr>
    </w:tbl>
    <w:p>
      <w:pPr>
        <w:pStyle w:val="Heading1"/>
      </w:pPr>
      <w:r>
        <w:t>Known residual delivery risks</w:t>
      </w:r>
    </w:p>
    <w:p>
      <w:pPr>
        <w:pStyle w:val="ListBullet"/>
        <w:spacing w:after="40"/>
      </w:pPr>
      <w:r>
        <w:t>Live provider access depends on an instructor key, account/model access and network availability; the runbook includes a deterministic fallback.</w:t>
      </w:r>
    </w:p>
    <w:p>
      <w:pPr>
        <w:pStyle w:val="ListBullet"/>
        <w:spacing w:after="40"/>
      </w:pPr>
      <w:r>
        <w:t>Model lineup, SDK minor releases and prices are volatile; pre-lecture agent must re-check official sources.</w:t>
      </w:r>
    </w:p>
    <w:p>
      <w:pPr>
        <w:pStyle w:val="ListBullet"/>
        <w:spacing w:after="40"/>
      </w:pPr>
      <w:r>
        <w:t>No automated test can prove semantic correctness of every model classification; workshop explicitly separates schema, semantic and business validation.</w:t>
      </w:r>
    </w:p>
    <w:p>
      <w:pPr>
        <w:pStyle w:val="Heading1"/>
      </w:pPr>
      <w:r>
        <w:t>Second independent audit</w:t>
      </w:r>
    </w:p>
    <w:p>
      <w:r>
        <w:t>Status: PASS. Second pass repeated the checks after fixes: 30-slide deck rendered and visually inspected; slides_test reported no overflow; all seven DOCX artifacts rendered across 25 pages and were inspected; demo repository compiled, local contract checks passed 4/4, cache artifacts were removed from the ZIP; official freshness check was updated to 2026-09-14; artifact names and required contents were reconciled against the Artifact Standard.</w:t>
      </w:r>
    </w:p>
    <w:p>
      <w:pPr>
        <w:pStyle w:val="Heading1"/>
      </w:pPr>
      <w:r>
        <w:t>Final verdict</w:t>
      </w:r>
    </w:p>
    <w:p>
      <w:r>
        <w:rPr>
          <w:b/>
        </w:rPr>
        <w:t>PASS — Module 03 satisfies the mandatory Artifact Standard and quality gates after reconciliation.</w:t>
      </w:r>
      <w:r>
        <w:t xml:space="preserve"> The only residual risks are delivery-day provider/model/SDK drift and live account/network availability, both covered by the preparation and fallback runbooks.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80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8F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F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