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Lecture 03 — Source Notes</w:t>
      </w:r>
    </w:p>
    <w:p>
      <w:r>
        <w:rPr>
          <w:i/>
          <w:color w:val="5F6B7A"/>
          <w:sz w:val="22"/>
        </w:rPr>
        <w:t>Official/current sources and isolated volatile facts — checked 2026-09-14</w:t>
      </w:r>
    </w:p>
    <w:p>
      <w:r>
        <w:rPr>
          <w:color w:val="5F6B7A"/>
          <w:sz w:val="17"/>
        </w:rPr>
        <w:t>GenAI Basics  •  Module 03  •  Refreshed 2026-09-14</w:t>
      </w:r>
    </w:p>
    <w:p>
      <w:pPr>
        <w:pStyle w:val="Heading1"/>
      </w:pPr>
      <w:r>
        <w:t>Official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Checked</w:t>
            </w:r>
          </w:p>
        </w:tc>
        <w:tc>
          <w:tcPr>
            <w:tcW w:type="dxa" w:w="3389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https://pypi.org/project/openai/3.13.0/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Current OpenAI Python SDK release: 3.13.0, published 2026-09-10; Python &gt;=3.10; Responses is primary API in package docs.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https://github.com/openai/openai-python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SDK usage, typed exceptions, request IDs, retries/timeouts, streaming patterns.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https://github.com/openai/openai-python/blob/main/examples/responses/structured_outputs.py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Current Pydantic structured-output pattern with client.responses.parse(..., text_format=...).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https://developers.openai.com/api/docs/models/gpt-5.6-terra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Prepared model capabilities: Responses API, streaming and structured outputs supported; model positioned for balance of intelligence and cost.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https://developers.openai.com/api/docs/models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Model-selection context; model lineup is volatile.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https://docs.pydantic.dev/latest/concepts/models/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2026-09-14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Pydantic BaseModel validation and model constraints.</w:t>
            </w:r>
          </w:p>
        </w:tc>
      </w:tr>
    </w:tbl>
    <w:p>
      <w:pPr>
        <w:pStyle w:val="Heading1"/>
      </w:pPr>
      <w:r>
        <w:t>Volatile facts isolated from the core lesson</w:t>
      </w:r>
    </w:p>
    <w:p>
      <w:pPr>
        <w:pStyle w:val="ListBullet"/>
        <w:spacing w:after="40"/>
      </w:pPr>
      <w:r>
        <w:t>OpenAI Python 3.13.0 is the current package release observed on 2026-09-14; requirements use `openai&gt;=3.13,&lt;4`. Re-check before delivery.</w:t>
      </w:r>
    </w:p>
    <w:p>
      <w:pPr>
        <w:pStyle w:val="ListBullet"/>
        <w:spacing w:after="40"/>
      </w:pPr>
      <w:r>
        <w:t>Prepared default model is gpt-5.6-terra. It is configuration, not a permanent recommendation.</w:t>
      </w:r>
    </w:p>
    <w:p>
      <w:pPr>
        <w:pStyle w:val="ListBullet"/>
        <w:spacing w:after="40"/>
      </w:pPr>
      <w:r>
        <w:t>Official Terra pricing observed on 2026-09-14 is $2.00 / 1M input text tokens and $12.00 / 1M output text tokens, with additional long-context/cache-write rules. These numbers are intentionally not embedded in the core slides.</w:t>
      </w:r>
    </w:p>
    <w:p>
      <w:pPr>
        <w:pStyle w:val="ListBullet"/>
        <w:spacing w:after="40"/>
      </w:pPr>
      <w:r>
        <w:t>The SDK documents selected transient errors as automatically retried; the demo explicitly sets max_retries=2 so the policy is visible. Re-check defaults before presenting them as SDK behavior.</w:t>
      </w:r>
    </w:p>
    <w:p>
      <w:pPr>
        <w:pStyle w:val="ListBullet"/>
        <w:spacing w:after="40"/>
      </w:pPr>
      <w:r>
        <w:t>The structured-output example is shown with `response.output_parsed` for beginner clarity; the official SDK example also demonstrates accessing parsed content items. If SDK behavior changes, update repository and slides as one unit.</w:t>
      </w:r>
    </w:p>
    <w:p>
      <w:pPr>
        <w:pStyle w:val="Heading1"/>
      </w:pPr>
      <w:r>
        <w:t>Source hygiene rule</w:t>
      </w:r>
    </w:p>
    <w:p>
      <w:r>
        <w:t>Use official provider/package documentation for current API shape and capability support. Third-party blog posts may be useful for examples but are not canonical for model IDs, SDK signatures, limits or pricing. Model rankings and prices should never become course facts without a delivery-day check.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8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