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ptos Display" w:hAnsi="Aptos Display"/>
          <w:b/>
          <w:color w:val="282B30"/>
          <w:sz w:val="44"/>
        </w:rPr>
        <w:t>L09 — Agent and Preparation Runbook</w:t>
      </w:r>
    </w:p>
    <w:p>
      <w:r>
        <w:rPr>
          <w:i/>
          <w:color w:val="5F6368"/>
          <w:sz w:val="22"/>
        </w:rPr>
        <w:t>Pre-session checks and artifact-production support</w:t>
      </w:r>
    </w:p>
    <w:p>
      <w:r>
        <w:rPr>
          <w:color w:val="5F6368"/>
          <w:sz w:val="18"/>
        </w:rPr>
        <w:t>GenAI Basics · Module 09 · 2026-09-08</w:t>
      </w:r>
    </w:p>
    <w:p/>
    <w:p>
      <w:pPr>
        <w:pStyle w:val="Heading1"/>
      </w:pPr>
      <w:r>
        <w:t>Purpose</w:t>
      </w:r>
    </w:p>
    <w:p>
      <w:r>
        <w:t>This runbook is for the preparation agent or human assistant who readies Module 09 before delivery. It keeps volatile product facts out of instructor improvisation and makes the live demo resilient.</w:t>
      </w:r>
    </w:p>
    <w:p>
      <w:pPr>
        <w:pStyle w:val="Heading1"/>
      </w:pPr>
      <w:r>
        <w:t>Pre-session checklist</w:t>
      </w:r>
    </w:p>
    <w:p>
      <w:pPr>
        <w:pStyle w:val="ListBullet"/>
      </w:pPr>
      <w:r>
        <w:t>Refresh official Claude Help and Claude Platform pages listed in Source Notes. Update plan availability, artifact enablement steps, sharing semantics, model names, limits and pricing if changed.</w:t>
      </w:r>
    </w:p>
    <w:p>
      <w:pPr>
        <w:pStyle w:val="ListBullet"/>
      </w:pPr>
      <w:r>
        <w:t>Verify that Claude account settings allow code execution and file creation. If not, prepare to run the offline fallback.</w:t>
      </w:r>
    </w:p>
    <w:p>
      <w:pPr>
        <w:pStyle w:val="ListBullet"/>
      </w:pPr>
      <w:r>
        <w:t>Open support_tickets.csv and artifact_prototype.html locally. Confirm the HTML loads with no external dependencies.</w:t>
      </w:r>
    </w:p>
    <w:p>
      <w:pPr>
        <w:pStyle w:val="ListBullet"/>
      </w:pPr>
      <w:r>
        <w:t>Prepare a clean browser profile or incognito window. Avoid showing personal chats, history or private files.</w:t>
      </w:r>
    </w:p>
    <w:p>
      <w:pPr>
        <w:pStyle w:val="ListBullet"/>
      </w:pPr>
      <w:r>
        <w:t>Keep prompts.md open in a side window for fast copy/paste.</w:t>
      </w:r>
    </w:p>
    <w:p>
      <w:pPr>
        <w:pStyle w:val="ListBullet"/>
      </w:pPr>
      <w:r>
        <w:t>Confirm slides 10–11 and the demo runbook match the actual demo files.</w:t>
      </w:r>
    </w:p>
    <w:p>
      <w:pPr>
        <w:pStyle w:val="ListBullet"/>
      </w:pPr>
      <w:r>
        <w:t>Have a 90-minute compression version ready if class starts late.</w:t>
      </w:r>
    </w:p>
    <w:p>
      <w:pPr>
        <w:pStyle w:val="Heading1"/>
      </w:pPr>
      <w:r>
        <w:t>Freshness checks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F3D7CD"/>
          </w:tcPr>
          <w:p>
            <w:r/>
            <w:r>
              <w:rPr>
                <w:b/>
                <w:sz w:val="18"/>
              </w:rPr>
              <w:t>Area</w:t>
            </w:r>
          </w:p>
        </w:tc>
        <w:tc>
          <w:tcPr>
            <w:tcW w:type="dxa" w:w="3456"/>
            <w:vAlign w:val="center"/>
            <w:shd w:fill="F3D7CD"/>
          </w:tcPr>
          <w:p>
            <w:r/>
            <w:r>
              <w:rPr>
                <w:b/>
                <w:sz w:val="18"/>
              </w:rPr>
              <w:t>What to verify</w:t>
            </w:r>
          </w:p>
        </w:tc>
        <w:tc>
          <w:tcPr>
            <w:tcW w:type="dxa" w:w="3456"/>
            <w:vAlign w:val="center"/>
            <w:shd w:fill="F3D7CD"/>
          </w:tcPr>
          <w:p>
            <w:r/>
            <w:r>
              <w:rPr>
                <w:b/>
                <w:sz w:val="18"/>
              </w:rPr>
              <w:t>Action if changed</w:t>
            </w:r>
          </w:p>
        </w:tc>
      </w:tr>
      <w:tr>
        <w:tc>
          <w:tcPr>
            <w:tcW w:type="dxa" w:w="3456"/>
            <w:vAlign w:val="center"/>
          </w:tcPr>
          <w:p>
            <w:r/>
            <w:r>
              <w:rPr>
                <w:b w:val="0"/>
                <w:sz w:val="18"/>
              </w:rPr>
              <w:t>Artifacts</w:t>
            </w:r>
          </w:p>
        </w:tc>
        <w:tc>
          <w:tcPr>
            <w:tcW w:type="dxa" w:w="3456"/>
            <w:vAlign w:val="center"/>
          </w:tcPr>
          <w:p>
            <w:r/>
            <w:r>
              <w:rPr>
                <w:b w:val="0"/>
                <w:sz w:val="18"/>
              </w:rPr>
              <w:t>Availability by plan, enablement path, supported artifact types, sharing flow.</w:t>
            </w:r>
          </w:p>
        </w:tc>
        <w:tc>
          <w:tcPr>
            <w:tcW w:type="dxa" w:w="3456"/>
            <w:vAlign w:val="center"/>
          </w:tcPr>
          <w:p>
            <w:r/>
            <w:r>
              <w:rPr>
                <w:b w:val="0"/>
                <w:sz w:val="18"/>
              </w:rPr>
              <w:t>Update slides 6 and 16, runbook prerequisites, source notes.</w:t>
            </w:r>
          </w:p>
        </w:tc>
      </w:tr>
      <w:tr>
        <w:tc>
          <w:tcPr>
            <w:tcW w:type="dxa" w:w="3456"/>
            <w:vAlign w:val="center"/>
          </w:tcPr>
          <w:p>
            <w:r/>
            <w:r>
              <w:rPr>
                <w:b w:val="0"/>
                <w:sz w:val="18"/>
              </w:rPr>
              <w:t>Claude Platform</w:t>
            </w:r>
          </w:p>
        </w:tc>
        <w:tc>
          <w:tcPr>
            <w:tcW w:type="dxa" w:w="3456"/>
            <w:vAlign w:val="center"/>
          </w:tcPr>
          <w:p>
            <w:r/>
            <w:r>
              <w:rPr>
                <w:b w:val="0"/>
                <w:sz w:val="18"/>
              </w:rPr>
              <w:t>Current developer surfaces, API parameters, tool-use mechanics, file handling.</w:t>
            </w:r>
          </w:p>
        </w:tc>
        <w:tc>
          <w:tcPr>
            <w:tcW w:type="dxa" w:w="3456"/>
            <w:vAlign w:val="center"/>
          </w:tcPr>
          <w:p>
            <w:r/>
            <w:r>
              <w:rPr>
                <w:b w:val="0"/>
                <w:sz w:val="18"/>
              </w:rPr>
              <w:t>Update lecture section 6 and slide 12.</w:t>
            </w:r>
          </w:p>
        </w:tc>
      </w:tr>
      <w:tr>
        <w:tc>
          <w:tcPr>
            <w:tcW w:type="dxa" w:w="3456"/>
            <w:vAlign w:val="center"/>
          </w:tcPr>
          <w:p>
            <w:r/>
            <w:r>
              <w:rPr>
                <w:b w:val="0"/>
                <w:sz w:val="18"/>
              </w:rPr>
              <w:t>Prompt caching</w:t>
            </w:r>
          </w:p>
        </w:tc>
        <w:tc>
          <w:tcPr>
            <w:tcW w:type="dxa" w:w="3456"/>
            <w:vAlign w:val="center"/>
          </w:tcPr>
          <w:p>
            <w:r/>
            <w:r>
              <w:rPr>
                <w:b w:val="0"/>
                <w:sz w:val="18"/>
              </w:rPr>
              <w:t>TTL, cache metrics, supported models, pricing multipliers, invalidation rules.</w:t>
            </w:r>
          </w:p>
        </w:tc>
        <w:tc>
          <w:tcPr>
            <w:tcW w:type="dxa" w:w="3456"/>
            <w:vAlign w:val="center"/>
          </w:tcPr>
          <w:p>
            <w:r/>
            <w:r>
              <w:rPr>
                <w:b w:val="0"/>
                <w:sz w:val="18"/>
              </w:rPr>
              <w:t>Avoid numeric pricing in class unless refreshed.</w:t>
            </w:r>
          </w:p>
        </w:tc>
      </w:tr>
      <w:tr>
        <w:tc>
          <w:tcPr>
            <w:tcW w:type="dxa" w:w="3456"/>
            <w:vAlign w:val="center"/>
          </w:tcPr>
          <w:p>
            <w:r/>
            <w:r>
              <w:rPr>
                <w:b w:val="0"/>
                <w:sz w:val="18"/>
              </w:rPr>
              <w:t>Skills</w:t>
            </w:r>
          </w:p>
        </w:tc>
        <w:tc>
          <w:tcPr>
            <w:tcW w:type="dxa" w:w="3456"/>
            <w:vAlign w:val="center"/>
          </w:tcPr>
          <w:p>
            <w:r/>
            <w:r>
              <w:rPr>
                <w:b w:val="0"/>
                <w:sz w:val="18"/>
              </w:rPr>
              <w:t>Availability across claude.ai/API/Code, enterprise management and data-retention status.</w:t>
            </w:r>
          </w:p>
        </w:tc>
        <w:tc>
          <w:tcPr>
            <w:tcW w:type="dxa" w:w="3456"/>
            <w:vAlign w:val="center"/>
          </w:tcPr>
          <w:p>
            <w:r/>
            <w:r>
              <w:rPr>
                <w:b w:val="0"/>
                <w:sz w:val="18"/>
              </w:rPr>
              <w:t>Update slides 15–16 and governance checklist.</w:t>
            </w:r>
          </w:p>
        </w:tc>
      </w:tr>
      <w:tr>
        <w:tc>
          <w:tcPr>
            <w:tcW w:type="dxa" w:w="3456"/>
            <w:vAlign w:val="center"/>
          </w:tcPr>
          <w:p>
            <w:r/>
            <w:r>
              <w:rPr>
                <w:b w:val="0"/>
                <w:sz w:val="18"/>
              </w:rPr>
              <w:t>Cloud platforms</w:t>
            </w:r>
          </w:p>
        </w:tc>
        <w:tc>
          <w:tcPr>
            <w:tcW w:type="dxa" w:w="3456"/>
            <w:vAlign w:val="center"/>
          </w:tcPr>
          <w:p>
            <w:r/>
            <w:r>
              <w:rPr>
                <w:b w:val="0"/>
                <w:sz w:val="18"/>
              </w:rPr>
              <w:t>Feature parity on Bedrock, Google Cloud, Microsoft Foundry.</w:t>
            </w:r>
          </w:p>
        </w:tc>
        <w:tc>
          <w:tcPr>
            <w:tcW w:type="dxa" w:w="3456"/>
            <w:vAlign w:val="center"/>
          </w:tcPr>
          <w:p>
            <w:r/>
            <w:r>
              <w:rPr>
                <w:b w:val="0"/>
                <w:sz w:val="18"/>
              </w:rPr>
              <w:t>Keep platform caveats broad if uncertain.</w:t>
            </w:r>
          </w:p>
        </w:tc>
      </w:tr>
    </w:tbl>
    <w:p/>
    <w:p>
      <w:pPr>
        <w:pStyle w:val="Heading1"/>
      </w:pPr>
      <w:r>
        <w:t>Demo reset procedure</w:t>
      </w:r>
    </w:p>
    <w:p>
      <w:pPr>
        <w:pStyle w:val="ListNumber"/>
      </w:pPr>
      <w:r>
        <w:t>Copy demo_assets folder to a clean local directory.</w:t>
      </w:r>
    </w:p>
    <w:p>
      <w:pPr>
        <w:pStyle w:val="ListNumber"/>
      </w:pPr>
      <w:r>
        <w:t>Open artifact_prototype.html; verify KPI cards and table render.</w:t>
      </w:r>
    </w:p>
    <w:p>
      <w:pPr>
        <w:pStyle w:val="ListNumber"/>
      </w:pPr>
      <w:r>
        <w:t>Run python api_tool_loop_mock.py and confirm it prints a tool_use/tool_result simulation.</w:t>
      </w:r>
    </w:p>
    <w:p>
      <w:pPr>
        <w:pStyle w:val="ListNumber"/>
      </w:pPr>
      <w:r>
        <w:t>Do not publish or share a live Claude Artifact unless the class specifically discusses a sanitized example.</w:t>
      </w:r>
    </w:p>
    <w:p>
      <w:pPr>
        <w:pStyle w:val="ListNumber"/>
      </w:pPr>
      <w:r>
        <w:t>After class, remove any generated artifacts containing student names or private data.</w:t>
      </w:r>
    </w:p>
    <w:p>
      <w:pPr>
        <w:pStyle w:val="Heading1"/>
      </w:pPr>
      <w:r>
        <w:t>Instructor warnings to preserve</w:t>
      </w:r>
    </w:p>
    <w:p>
      <w:pPr>
        <w:pStyle w:val="ListBullet"/>
      </w:pPr>
      <w:r>
        <w:t>Do not claim plan availability, model limits or pricing from memory. Refresh first.</w:t>
      </w:r>
    </w:p>
    <w:p>
      <w:pPr>
        <w:pStyle w:val="ListBullet"/>
      </w:pPr>
      <w:r>
        <w:t>Do not show public publishing as a harmless share operation.</w:t>
      </w:r>
    </w:p>
    <w:p>
      <w:pPr>
        <w:pStyle w:val="ListBullet"/>
      </w:pPr>
      <w:r>
        <w:t>Do not make Skills sound like safe plugins. Treat them as reviewed dependencies.</w:t>
      </w:r>
    </w:p>
    <w:p>
      <w:pPr>
        <w:pStyle w:val="ListBullet"/>
      </w:pPr>
      <w:r>
        <w:t>Do not let the demo become UI admiration; keep returning to acceptance tests.</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282B3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282B3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282B3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