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GenAI - Module 03: Vector Stores and RAG</w:t>
      </w:r>
    </w:p>
    <w:p>
      <w:pPr>
        <w:pStyle w:val="Heading1"/>
      </w:pPr>
      <w:r>
        <w:t>Lecture Text FINAL: From Embeddings and Indexes to Grounded, Measurable Retrieval</w:t>
      </w:r>
    </w:p>
    <w:p>
      <w:pPr>
        <w:pStyle w:val="Heading2"/>
      </w:pPr>
      <w:r>
        <w:t>1. Purpose of the Lesson and Engineering Mental Model</w:t>
      </w:r>
    </w:p>
    <w:p>
      <w:r>
        <w:t>This lecture equips senior engineering students and system architects with the algorithmic foundations, mathematical formulations, and systems design principles necessary to build production-grade Retrieval-Augmented Generation (RAG) platforms.</w:t>
      </w:r>
    </w:p>
    <w:p>
      <w:r>
        <w:t>The central thesis of enterprise RAG is simple: **Large Language Models are probabilistic reasoning engines, not deterministic databases.** A model's internal parametric weights reflect generalized world knowledge and linguistic grammar learned during training. When an enterprise system requires factual accuracy regarding proprietary policies, dynamic customer records, real-time inventory, or changing legal statutes, delegating factual storage to the model's weights causes catastrophic hallucinations.</w:t>
      </w:r>
    </w:p>
    <w:p>
      <w:r>
        <w:t>RAG decouples reasoning from memory. The external vector store and search index function as the system's deterministic factual memory, while the LLM functions as the working-memory synthesis engine.</w:t>
      </w:r>
    </w:p>
    <w:p>
      <w:pPr>
        <w:pStyle w:val="Heading2"/>
      </w:pPr>
      <w:r>
        <w:t>2. The Hook: The Model Can Be Innocent</w:t>
      </w:r>
    </w:p>
    <w:p>
      <w:r>
        <w:t>In production post-mortems, software teams frequently blame model hallucinations on "LLM stupidity" or prompt phrasing. In reality, empirical analysis reveals that over 75% of production RAG errors originate in the retrieval and context-assembly pipeline, rather than in the generative model.</w:t>
      </w:r>
    </w:p>
    <w:p>
      <w:r>
        <w:t>Consider an IT assistant query: *"How many days can an employee borrow an emergency replacement laptop?"*</w:t>
      </w:r>
    </w:p>
    <w:p>
      <w:pPr>
        <w:pStyle w:val="ListBullet"/>
      </w:pPr>
      <w:r>
        <w:t>If the retrieval system passes an outdated policy document (Version 1.2, stating 7 days), the model will fluently and confidently state 7 days.</w:t>
      </w:r>
    </w:p>
    <w:p>
      <w:pPr>
        <w:pStyle w:val="ListBullet"/>
      </w:pPr>
      <w:r>
        <w:t>If the retrieval system passes the current policy (Version 2.4, stating 14 days), the exact same model with identical temperature will state 14 days.</w:t>
      </w:r>
    </w:p>
    <w:p>
      <w:pPr>
        <w:pStyle w:val="ListBullet"/>
      </w:pPr>
      <w:r>
        <w:t>If the retrieval system fails to find any policy and returns an unrelated software installation guide, a poorly constrained model will extrapolate from general web training data, inventing an arbitrary number.</w:t>
      </w:r>
    </w:p>
    <w:p>
      <w:r>
        <w:t>The model is innocent: generation faithfully reflects the quality, precision, and boundaries of the retrieved evidence context.</w:t>
      </w:r>
    </w:p>
    <w:p>
      <w:pPr>
        <w:pStyle w:val="Heading2"/>
      </w:pPr>
      <w:r>
        <w:t>3. End-to-End System Topology: The Two-Lane Rule</w:t>
      </w:r>
    </w:p>
    <w:p>
      <w:r>
        <w:t>A production RAG architecture must be strictly split into two decoupled operational lanes:</w:t>
      </w:r>
    </w:p>
    <w:p>
      <w:r>
        <w:t>```</w:t>
      </w:r>
    </w:p>
    <w:p>
      <w:r>
        <w:t>[Offline Ingestion Lane]</w:t>
      </w:r>
    </w:p>
    <w:p>
      <w:r>
        <w:t>Document Sources (PDFs, Markdown, Wikis, SQL)</w:t>
      </w:r>
    </w:p>
    <w:p>
      <w:r>
        <w:t xml:space="preserve">  --&gt; Document Layout Parser &amp; OCR</w:t>
      </w:r>
    </w:p>
    <w:p>
      <w:r>
        <w:t xml:space="preserve">  --&gt; Structure-Aware Chunking Engine</w:t>
      </w:r>
    </w:p>
    <w:p>
      <w:r>
        <w:t xml:space="preserve">  --&gt; Metadata &amp; ACL Extractor</w:t>
      </w:r>
    </w:p>
    <w:p>
      <w:r>
        <w:t xml:space="preserve">  --&gt; Embedding Model (Dense Vectors) &amp; BM25 Inverted Index (Sparse Tokens)</w:t>
      </w:r>
    </w:p>
    <w:p>
      <w:r>
        <w:t xml:space="preserve">  --&gt; Vector Database &amp; Hybrid Index Storage</w:t>
      </w:r>
    </w:p>
    <w:p>
      <w:r>
        <w:t>[Online Request Lane]</w:t>
      </w:r>
    </w:p>
    <w:p>
      <w:r>
        <w:t>User Query</w:t>
      </w:r>
    </w:p>
    <w:p>
      <w:r>
        <w:t xml:space="preserve">  --&gt; Identity &amp; Authorization Service (Extract User Role / ACLs)</w:t>
      </w:r>
    </w:p>
    <w:p>
      <w:r>
        <w:t xml:space="preserve">  --&gt; Metadata Pre-Filtering Gate (Remove Unauthorized Chunks)</w:t>
      </w:r>
    </w:p>
    <w:p>
      <w:r>
        <w:t xml:space="preserve">  --&gt; Hybrid Candidate Retrieval (Dense Cosine Similarity + Sparse BM25)</w:t>
      </w:r>
    </w:p>
    <w:p>
      <w:r>
        <w:t xml:space="preserve">  --&gt; Reciprocal Rank Fusion (RRF) &amp; Cross-Encoder Reranking</w:t>
      </w:r>
    </w:p>
    <w:p>
      <w:r>
        <w:t xml:space="preserve">  --&gt; Context Assembly &amp; Lost-in-the-Middle Positioning</w:t>
      </w:r>
    </w:p>
    <w:p>
      <w:r>
        <w:t xml:space="preserve">  --&gt; Grounded Prompt Synthesis with Strict Citation Constraints</w:t>
      </w:r>
    </w:p>
    <w:p>
      <w:r>
        <w:t xml:space="preserve">  --&gt; LLM Inference Engine</w:t>
      </w:r>
    </w:p>
    <w:p>
      <w:r>
        <w:t xml:space="preserve">  --&gt; Citation Verification &amp; Anti-Hallucination Output Guardrail</w:t>
      </w:r>
    </w:p>
    <w:p>
      <w:r>
        <w:t xml:space="preserve">  --&gt; User Response with Verifiable Inline Citations</w:t>
      </w:r>
    </w:p>
    <w:p>
      <w:r>
        <w:t>```</w:t>
      </w:r>
    </w:p>
    <w:p>
      <w:r>
        <w:t>Never mix document parsing and indexing with the real-time query path. Ingestion is an asynchronous, high-throughput, batch or event-driven pipeline. Query retrieval is a synchronous, sub-second, low-latency microservice.</w:t>
      </w:r>
    </w:p>
    <w:p>
      <w:pPr>
        <w:pStyle w:val="Heading2"/>
      </w:pPr>
      <w:r>
        <w:t>4. Text Embeddings and Vector Space Geometry</w:t>
      </w:r>
    </w:p>
    <w:p>
      <w:r>
        <w:t>Text embeddings project unstructured natural language strings into continuous, high-dimensional vector spaces:</w:t>
      </w:r>
    </w:p>
    <w:p>
      <w:r>
        <w:t>$$\mathbf{e} = f_{</w:t>
        <w:tab/>
        <w:t>heta}(\text{text}) \in \mathbb{R}^d$$</w:t>
      </w:r>
    </w:p>
    <w:p>
      <w:r>
        <w:t>where $d$ typically ranges from 384 (compact models like MiniLM) to 1536 (OpenAI text-embedding-3-small) or 3072 (text-embedding-3-large).</w:t>
      </w:r>
    </w:p>
    <w:p>
      <w:r>
        <w:t>In this geometric space, semantic proximity corresponds to geometric distance. The primary similarity metric in production search is **Cosine Similarity**:</w:t>
      </w:r>
    </w:p>
    <w:p>
      <w:r>
        <w:t>$$\text{CosineSimilarity}(\mathbf{u}, \mathbf{v}) = \frac{\mathbf{u} \cdot \mathbf{v}}{\|\mathbf{u}\|_2 \|\mathbf{v}\|_2} = \frac{\sum_{i=1}^d u_i v_i}{\sqrt{\sum_{i=1}^d u_i^2} \sqrt{\sum_{i=1}^d v_i^2}}$$</w:t>
      </w:r>
    </w:p>
    <w:p>
      <w:r>
        <w:t>When embeddings are normalized to unit length during ingestion ($\|\mathbf{u}\|_2 = 1.0, \|\mathbf{v}\|_2 = 1.0$), the denominator evaluates to 1.0, and Cosine Similarity simplifies to the **Dot Product**:</w:t>
      </w:r>
    </w:p>
    <w:p>
      <w:r>
        <w:t>$$\text{CosineSimilarity}(\mathbf{u}, \mathbf{v}) = \mathbf{u} \cdot \mathbf{v} = \sum_{i=1}^d u_i v_i$$</w:t>
      </w:r>
    </w:p>
    <w:p>
      <w:r>
        <w:t>This simplification reduces computational overhead from square roots and divisions to a single hardware-accelerated matrix multiplication (GEMV / GEMM on AVX-512 or Tensor Cores).</w:t>
      </w:r>
    </w:p>
    <w:p>
      <w:pPr>
        <w:pStyle w:val="Heading2"/>
      </w:pPr>
      <w:r>
        <w:t>5. Chunking Strategies and Boundary Engineering</w:t>
      </w:r>
    </w:p>
    <w:p>
      <w:r>
        <w:t>Chunking defines the atomic unit of retrieval. If chunking is flawed, no downstream model can rescue the answer:</w:t>
      </w:r>
    </w:p>
    <w:p>
      <w:pPr>
        <w:pStyle w:val="ListNumber"/>
      </w:pPr>
      <w:r>
        <w:t>**Naive Fixed-Size Character Chunking**: Splits text every $N$ characters (e.g., 500 chars with 50 char overlap). Highly fragile: cuts sentences mid-thought, separates table rows from column headers, and destroys paragraph context.</w:t>
      </w:r>
    </w:p>
    <w:p>
      <w:pPr>
        <w:pStyle w:val="ListNumber"/>
      </w:pPr>
      <w:r>
        <w:t>**Structure-Aware Markdown Chunking**: Splits on structural document tokens (headings `#`, `##`, list boundaries, tables). Keeps entire logical sections intact. Prepend the document title and heading path (e.g., `Document: IT Policy &gt; Section 2: Laptop Loans`) to each chunk so the embedding model captures semantic context even if the chunk content uses generic language.</w:t>
      </w:r>
    </w:p>
    <w:p>
      <w:pPr>
        <w:pStyle w:val="ListNumber"/>
      </w:pPr>
      <w:r>
        <w:t>**Semantic Boundary Chunking**: Computes rolling sentence-level embeddings and places chunk splits where adjacent sentence cosine similarity drops below an empirical threshold. Best for unstructured narrative text without clear headings.</w:t>
      </w:r>
    </w:p>
    <w:p>
      <w:pPr>
        <w:pStyle w:val="Heading2"/>
      </w:pPr>
      <w:r>
        <w:t>6. Metadata Filtering and the Security Boundary</w:t>
      </w:r>
    </w:p>
    <w:p>
      <w:r>
        <w:t>Semantic similarity alone cannot enforce hard enterprise constraints. If an employee asks: *"What are the executive hardware allowances?"*, a pure vector search will happily match the most semantically relevant text, even if that text is marked **Confidential - Executive Eyes Only**.</w:t>
      </w:r>
    </w:p>
    <w:p>
      <w:r>
        <w:t>Metadata filters apply deterministic boolean constraints to the search space:</w:t>
      </w:r>
    </w:p>
    <w:p>
      <w:pPr>
        <w:pStyle w:val="ListBullet"/>
      </w:pPr>
      <w:r>
        <w:t>**Pre-Filtering**: The query engine evaluates metadata predicates (`tenant_id == 'alpha' AND access_role IN ['employee', 'public']`) to prune the index *before* performing nearest-neighbor vector traversal. Guarantees 100% security boundary enforcement and faster vector search over the filtered subset.</w:t>
      </w:r>
    </w:p>
    <w:p>
      <w:pPr>
        <w:pStyle w:val="ListBullet"/>
      </w:pPr>
      <w:r>
        <w:t>**Post-Filtering**: The system retrieves the top-100 nearest neighbors and then drops unauthorized chunks. **Warning**: Post-filtering introduces severe recall risk. If all top-50 results belong to an unauthorized category, post-filtering leaves the application with zero usable results. Production enterprise RAG must always implement pre-filtering.</w:t>
      </w:r>
    </w:p>
    <w:p>
      <w:pPr>
        <w:pStyle w:val="Heading2"/>
      </w:pPr>
      <w:r>
        <w:t>7. Approximate Nearest Neighbors (ANN): HNSW, IVF, and Quantization</w:t>
      </w:r>
    </w:p>
    <w:p>
      <w:r>
        <w:t>Exhaustive nearest-neighbor search requires comparing query vector $\mathbf{q}$ against all $N$ vectors in the corpus:</w:t>
      </w:r>
    </w:p>
    <w:p>
      <w:r>
        <w:t>$$\text{Complexity: } O(N \cdot d)$$</w:t>
      </w:r>
    </w:p>
    <w:p>
      <w:r>
        <w:t>For $N = 10,000,000$ vectors at $d=1536$, a single query requires 15.3 billion floating-point operations, introducing prohibitive multi-second latency.</w:t>
      </w:r>
    </w:p>
    <w:p>
      <w:r>
        <w:t>Production vector databases use **Approximate Nearest Neighbors (ANN)** algorithms that trade a 1-2% drop in recall for orders-of-magnitude latency reduction:</w:t>
      </w:r>
    </w:p>
    <w:p>
      <w:pPr>
        <w:pStyle w:val="ListNumber"/>
      </w:pPr>
      <w:r>
        <w:t>**Hierarchical Navigable Small World (HNSW)**:</w:t>
      </w:r>
    </w:p>
    <w:p>
      <w:r>
        <w:t xml:space="preserve">   - Multi-layer graph structure inspired by probabilistic skip-lists.</w:t>
      </w:r>
    </w:p>
    <w:p>
      <w:r>
        <w:t xml:space="preserve">   - The top layers have sparse nodes with long-range edges for rapid coarse-grained routing across vector space.</w:t>
      </w:r>
    </w:p>
    <w:p>
      <w:r>
        <w:t xml:space="preserve">   - Bottom layers have dense nodes with short-range edges for fine-grained local neighborhood exploration.</w:t>
      </w:r>
    </w:p>
    <w:p>
      <w:r>
        <w:t xml:space="preserve">   - Search complexity: $O(\log N)$ with query latency typically under 10 milliseconds.</w:t>
      </w:r>
    </w:p>
    <w:p>
      <w:pPr>
        <w:pStyle w:val="ListNumber"/>
      </w:pPr>
      <w:r>
        <w:t>**Inverted File Index (IVF)**:</w:t>
      </w:r>
    </w:p>
    <w:p>
      <w:r>
        <w:t xml:space="preserve">   - Partitions vector space into $K$ Voronoi cells using k-means clustering.</w:t>
      </w:r>
    </w:p>
    <w:p>
      <w:r>
        <w:t xml:space="preserve">   - During search, only the centroids nearest to the query vector are inspected (`nprobe` parameter).</w:t>
      </w:r>
    </w:p>
    <w:p>
      <w:pPr>
        <w:pStyle w:val="ListNumber"/>
      </w:pPr>
      <w:r>
        <w:t>**Quantization (SQ8 and PQ)**:</w:t>
      </w:r>
    </w:p>
    <w:p>
      <w:r>
        <w:t xml:space="preserve">   - **Scalar Quantization (SQ8)**: Compresses 32-bit floating-point numbers into 8-bit integers, reducing memory footprint by 75% with under 1% accuracy degradation.</w:t>
      </w:r>
    </w:p>
    <w:p>
      <w:r>
        <w:t xml:space="preserve">   - **Product Quantization (PQ)**: Deconstructs high-dimensional vectors into $M$ sub-vectors and quantizes them into cluster centroids, achieving up to 95% memory reduction.</w:t>
      </w:r>
    </w:p>
    <w:p>
      <w:pPr>
        <w:pStyle w:val="Heading2"/>
      </w:pPr>
      <w:r>
        <w:t>8. Vector Database Sizing and RAM Calculation</w:t>
      </w:r>
    </w:p>
    <w:p>
      <w:r>
        <w:t>System architects must calculate memory requirements before deploying vector infrastructure.</w:t>
      </w:r>
    </w:p>
    <w:p>
      <w:r>
        <w:t>For $N = 1,000,000$ vectors at $d=1536$ dimensions:</w:t>
      </w:r>
    </w:p>
    <w:p>
      <w:pPr>
        <w:pStyle w:val="ListBullet"/>
      </w:pPr>
      <w:r>
        <w:t>**Raw float32 storage**:</w:t>
      </w:r>
    </w:p>
    <w:p>
      <w:r>
        <w:t xml:space="preserve">  $$1,000,000 </w:t>
        <w:tab/>
        <w:t xml:space="preserve">imes 1536 </w:t>
        <w:tab/>
        <w:t>imes 4 \text{ bytes} = 6,144,000,000 \text{ bytes} \approx 6.14 \text{ GB}$$</w:t>
      </w:r>
    </w:p>
    <w:p>
      <w:pPr>
        <w:pStyle w:val="ListBullet"/>
      </w:pPr>
      <w:r>
        <w:t>**HNSW Graph Index Overhead**:</w:t>
      </w:r>
    </w:p>
    <w:p>
      <w:r>
        <w:t xml:space="preserve">  Graph connectivity edges ($M=16$ to $32$ neighbors per node) add an additional 1.5x to 2.0x memory overhead:</w:t>
      </w:r>
    </w:p>
    <w:p>
      <w:r>
        <w:t xml:space="preserve">  $$6.14 \text{ GB} </w:t>
        <w:tab/>
        <w:t>imes 1.75 \approx 10.75 \text{ GB RAM}$$</w:t>
      </w:r>
    </w:p>
    <w:p>
      <w:pPr>
        <w:pStyle w:val="ListBullet"/>
      </w:pPr>
      <w:r>
        <w:t>**Metadata and Payload Storage**:</w:t>
      </w:r>
    </w:p>
    <w:p>
      <w:r>
        <w:t xml:space="preserve">  Text content, document IDs, timestamps, and ACL strings typically consume 2 to 5 KB per chunk:</w:t>
      </w:r>
    </w:p>
    <w:p>
      <w:r>
        <w:t xml:space="preserve">  $$1,000,000 </w:t>
        <w:tab/>
        <w:t>imes 3 \text{ KB} = 3.0 \text{ GB}$$</w:t>
      </w:r>
    </w:p>
    <w:p>
      <w:pPr>
        <w:pStyle w:val="ListBullet"/>
      </w:pPr>
      <w:r>
        <w:t>**Total Required Memory**: $\approx 14 \text{ to } 16 \text{ GB RAM}$ for 1 million unquantized vectors.</w:t>
      </w:r>
    </w:p>
    <w:p>
      <w:pPr>
        <w:pStyle w:val="ListBullet"/>
      </w:pPr>
      <w:r>
        <w:t>**With SQ8 Quantization (int8)**: The raw vector footprint shrinks to $1.54 \text{ GB}$, fitting the entire vector index comfortably into under $4 \text{ GB}$ of RAM.</w:t>
      </w:r>
    </w:p>
    <w:p>
      <w:pPr>
        <w:pStyle w:val="Heading2"/>
      </w:pPr>
      <w:r>
        <w:t>9. Lexical, Dense, and Hybrid Retrieval Fusion</w:t>
      </w:r>
    </w:p>
    <w:p>
      <w:r>
        <w:t>Dense bi-encoder embeddings excel at conceptual paraphrasing (matching *"laptop replacement"* to *"emergency hardware loan"*), but fail on exact alphanumeric strings, error codes (`ERR-404-B12`), model numbers (`Phoenix-7000`), or personal names.</w:t>
      </w:r>
    </w:p>
    <w:p>
      <w:r>
        <w:t>Production systems implement **Hybrid Retrieval**:</w:t>
      </w:r>
    </w:p>
    <w:p>
      <w:pPr>
        <w:pStyle w:val="ListBullet"/>
      </w:pPr>
      <w:r>
        <w:t>**Dense Vector Search**: Captures high-level semantic intent.</w:t>
      </w:r>
    </w:p>
    <w:p>
      <w:pPr>
        <w:pStyle w:val="ListBullet"/>
      </w:pPr>
      <w:r>
        <w:t>**Sparse BM25 Inverted Index**: Captures exact keyword presence, terminology, and unique identifiers.</w:t>
      </w:r>
    </w:p>
    <w:p>
      <w:pPr>
        <w:pStyle w:val="ListBullet"/>
      </w:pPr>
      <w:r>
        <w:t>**Reciprocal Rank Fusion (RRF)**: Combines disparate score distributions without needing score calibration:</w:t>
      </w:r>
    </w:p>
    <w:p>
      <w:r>
        <w:t xml:space="preserve">  $$\text{RRF\_Score}(d) = \sum_{m \in \{\text{dense}, \text{sparse}\}} \frac{1}{k + \text{Rank}_m(d)}$$</w:t>
      </w:r>
    </w:p>
    <w:p>
      <w:r>
        <w:t xml:space="preserve">  where $k$ is an empirical smoothing constant (typically $k=60$). RRF ensures that items ranking well across both dense and sparse pipelines are boosted to the top.</w:t>
      </w:r>
    </w:p>
    <w:p>
      <w:pPr>
        <w:pStyle w:val="Heading2"/>
      </w:pPr>
      <w:r>
        <w:t>10. Cross-Encoder Reranking</w:t>
      </w:r>
    </w:p>
    <w:p>
      <w:r>
        <w:t>First-stage retrieval (bi-encoder + BM25) prioritizes high recall across millions of documents at low latency (10-20ms). However, bi-encoders compute document embeddings independently of the query.</w:t>
      </w:r>
    </w:p>
    <w:p>
      <w:r>
        <w:t>A **Cross-Encoder Reranker** (such as BGE-Reranker or Cohere Rerank) accepts query and candidate text concatenated as a single input sequence:</w:t>
      </w:r>
    </w:p>
    <w:p>
      <w:r>
        <w:t>$$\text{Score} = \text{CrossEncoder}([\text{Query} \,;\, \text{Document}])$$</w:t>
      </w:r>
    </w:p>
    <w:p>
      <w:r>
        <w:t>This allows full multi-head cross-attention across every query token and document token simultaneously, delivering significantly higher relevance precision. Because cross-encoders are compute-intensive, production systems use a two-stage retrieval pipeline:</w:t>
      </w:r>
    </w:p>
    <w:p>
      <w:pPr>
        <w:pStyle w:val="ListNumber"/>
      </w:pPr>
      <w:r>
        <w:t>First Stage: Hybrid search retrieves top-50 candidates ($15\text{ms}$).</w:t>
      </w:r>
    </w:p>
    <w:p>
      <w:pPr>
        <w:pStyle w:val="ListNumber"/>
      </w:pPr>
      <w:r>
        <w:t>Second Stage: Cross-encoder reranks top-50 down to the top-5 highest-confidence chunks ($40\text{ms}$).</w:t>
      </w:r>
    </w:p>
    <w:p>
      <w:pPr>
        <w:pStyle w:val="Heading2"/>
      </w:pPr>
      <w:r>
        <w:t>11. Context Assembly and the "Lost in the Middle" Phenomenon</w:t>
      </w:r>
    </w:p>
    <w:p>
      <w:r>
        <w:t>Research by Liu et al. (Stanford) revealed that transformer attention exhibits a pronounced U-shaped curve over long context windows:</w:t>
      </w:r>
    </w:p>
    <w:p>
      <w:pPr>
        <w:pStyle w:val="ListBullet"/>
      </w:pPr>
      <w:r>
        <w:t>Information at the beginning of the context enjoys high attention (**Primacy effect**).</w:t>
      </w:r>
    </w:p>
    <w:p>
      <w:pPr>
        <w:pStyle w:val="ListBullet"/>
      </w:pPr>
      <w:r>
        <w:t>Information at the very end of the context enjoys high attention (**Recency effect**).</w:t>
      </w:r>
    </w:p>
    <w:p>
      <w:pPr>
        <w:pStyle w:val="ListBullet"/>
      </w:pPr>
      <w:r>
        <w:t>Information buried in the center suffers a 30-50% degradation in retrieval accuracy.</w:t>
      </w:r>
    </w:p>
    <w:p>
      <w:r>
        <w:t>**Engineering Mitigations**:</w:t>
      </w:r>
    </w:p>
    <w:p>
      <w:pPr>
        <w:pStyle w:val="ListNumber"/>
      </w:pPr>
      <w:r>
        <w:t>**Boundary Positioning**: Place the highest-scoring evidence chunks at the top of the prompt.</w:t>
      </w:r>
    </w:p>
    <w:p>
      <w:pPr>
        <w:pStyle w:val="ListNumber"/>
      </w:pPr>
      <w:r>
        <w:t>**Task Recency**: Repeat the exact query, required output schema, and citation instructions at the very bottom of the prompt, immediately preceding the generation token.</w:t>
      </w:r>
    </w:p>
    <w:p>
      <w:pPr>
        <w:pStyle w:val="ListNumber"/>
      </w:pPr>
      <w:r>
        <w:t>**Context Budgeting**: Trim irrelevant peripheral tokens rather than stuffing context windows to their maximum limit.</w:t>
      </w:r>
    </w:p>
    <w:p>
      <w:pPr>
        <w:pStyle w:val="Heading2"/>
      </w:pPr>
      <w:r>
        <w:t>12. Grounding, Verifiable Citations, and Anti-Hallucination</w:t>
      </w:r>
    </w:p>
    <w:p>
      <w:r>
        <w:t>A response without verifiable citations is merely an unvetted assertion.</w:t>
      </w:r>
    </w:p>
    <w:p>
      <w:r>
        <w:t>Production systems enforce three citation invariants:</w:t>
      </w:r>
    </w:p>
    <w:p>
      <w:pPr>
        <w:pStyle w:val="ListNumber"/>
      </w:pPr>
      <w:r>
        <w:t>**Explicit Granularity**: Citations must specify document ID, revision version, and section/table identifier: `[Source: POL-IT-101 § Section 2: Temporary Hardware Loans]`.</w:t>
      </w:r>
    </w:p>
    <w:p>
      <w:pPr>
        <w:pStyle w:val="ListNumber"/>
      </w:pPr>
      <w:r>
        <w:t>**Verifiable Claim Attribution**: Every distinct factual clause must be immediately followed by its supporting citation tag.</w:t>
      </w:r>
    </w:p>
    <w:p>
      <w:pPr>
        <w:pStyle w:val="ListNumber"/>
      </w:pPr>
      <w:r>
        <w:t>**Mandatory Refusal Boundary**: The system prompt must explicitly state: *"If the provided evidence context does not contain sufficient facts to answer the question, state: 'Insufficient evidence in approved policy' and do not extrapolate."*</w:t>
      </w:r>
    </w:p>
    <w:p>
      <w:pPr>
        <w:pStyle w:val="Heading2"/>
      </w:pPr>
      <w:r>
        <w:t>13. RAG vs Million-Token Context Windows</w:t>
      </w:r>
    </w:p>
    <w:p>
      <w:r>
        <w:t>Modern frontier models (e.g., Gemini 1.5 Pro) offer context windows of 1,000,000 to 2,000,000 tokens. Why not eliminate RAG and dump entire company archives directly into the prompt?</w:t>
      </w:r>
    </w:p>
    <w:p>
      <w:pPr>
        <w:pStyle w:val="ListNumber"/>
      </w:pPr>
      <w:r>
        <w:t>**Cost Economics**: Processing 1,000,000 input tokens on every user query costs $3.50 to $7.00 per query. A hybrid RAG query with 2,000 context tokens costs under $0.005 (a 700x cost differential).</w:t>
      </w:r>
    </w:p>
    <w:p>
      <w:pPr>
        <w:pStyle w:val="ListNumber"/>
      </w:pPr>
      <w:r>
        <w:t>**Time to First Token (TTFT)**: Processing 1M tokens through transformer prefill takes 15 to 30 seconds of latency before the first output word streams. RAG responds in under 1 second.</w:t>
      </w:r>
    </w:p>
    <w:p>
      <w:pPr>
        <w:pStyle w:val="ListNumber"/>
      </w:pPr>
      <w:r>
        <w:t>**Attention Degradation**: In-context needle-in-a-haystack accuracy degrades when multiple conflicting, outdated, or noisy documents are crammed into prompt memory.</w:t>
      </w:r>
    </w:p>
    <w:p>
      <w:r>
        <w:t>**Conclusion**: Ultra-long context is optimal for single-document deep analysis (analyzing an entire 500-page SEC filing); RAG remains the mandatory architectural pattern for enterprise-scale knowledge bases across thousands of documents.</w:t>
      </w:r>
    </w:p>
    <w:p>
      <w:pPr>
        <w:pStyle w:val="Heading2"/>
      </w:pPr>
      <w:r>
        <w:t>14. The 7-Stage RAG Failure Taxonomy</w:t>
      </w:r>
    </w:p>
    <w:p>
      <w:r>
        <w:t>When a RAG system answers incorrectly, engineers must diagnose the exact failure stage:</w:t>
      </w:r>
    </w:p>
    <w:p>
      <w:pPr>
        <w:pStyle w:val="ListNumber"/>
      </w:pPr>
      <w:r>
        <w:t>**Ingestion Gap**: Critical content was corrupted by OCR, ignored by the scraper, or truncated.</w:t>
      </w:r>
    </w:p>
    <w:p>
      <w:pPr>
        <w:pStyle w:val="ListNumber"/>
      </w:pPr>
      <w:r>
        <w:t>**Chunking Fracture**: Relevant text was split across chunk boundaries, severing the subject from the predicate.</w:t>
      </w:r>
    </w:p>
    <w:p>
      <w:pPr>
        <w:pStyle w:val="ListNumber"/>
      </w:pPr>
      <w:r>
        <w:t>**Retrieval Miss**: Query terms had zero overlap with sparse index and semantic embedding similarity was too low.</w:t>
      </w:r>
    </w:p>
    <w:p>
      <w:pPr>
        <w:pStyle w:val="ListNumber"/>
      </w:pPr>
      <w:r>
        <w:t>**Security Filter Exclusion**: Overly aggressive ACL metadata filter dropped the valid chunk.</w:t>
      </w:r>
    </w:p>
    <w:p>
      <w:pPr>
        <w:pStyle w:val="ListNumber"/>
      </w:pPr>
      <w:r>
        <w:t>**Reranking Fall**: Legitimate chunk was ranked outside top-k due to noisy candidate competition.</w:t>
      </w:r>
    </w:p>
    <w:p>
      <w:r>
        <w:t>6. **Context Truncation / Lost in the Middle**: Chunk was placed in the middle of context and model attention overlooked it.</w:t>
      </w:r>
    </w:p>
    <w:p>
      <w:r>
        <w:t>7. **Synthesis Hallucination / Unfaithful Generation**: Model ignored retrieved context and generated plausible falsehood from pre-trained weights.</w:t>
      </w:r>
    </w:p>
    <w:p>
      <w:pPr>
        <w:pStyle w:val="Heading2"/>
      </w:pPr>
      <w:r>
        <w:t>15. The Dual-Track Evaluation Framework</w:t>
      </w:r>
    </w:p>
    <w:p>
      <w:r>
        <w:t>Production RAG systems cannot be evaluated by subjective human inspection. Teams must implement automated evaluation pipelines (e.g., Ragas, TruLens):</w:t>
      </w:r>
    </w:p>
    <w:p>
      <w:pPr>
        <w:pStyle w:val="ListNumber"/>
      </w:pPr>
      <w:r>
        <w:t>**Retrieval-Track Metrics** (Evaluated against curated golden Q&amp;A datasets):</w:t>
      </w:r>
    </w:p>
    <w:p>
      <w:r>
        <w:t xml:space="preserve">   - **Hit Rate**: Percentage of queries where at least one ground-truth document is present in top-k.</w:t>
      </w:r>
    </w:p>
    <w:p>
      <w:r>
        <w:t xml:space="preserve">   - **Recall@k**: Fraction of all relevant ground-truth chunks retrieved in top-k.</w:t>
      </w:r>
    </w:p>
    <w:p>
      <w:r>
        <w:t xml:space="preserve">   - **Mean Reciprocal Rank (MRR)**: Evaluates whether the primary correct chunk is ranked at #1 vs lower.</w:t>
      </w:r>
    </w:p>
    <w:p>
      <w:r>
        <w:t xml:space="preserve">   - **NDCG@k (Normalized Discounted Cumulative Gain)**: Measures grading quality across ranked candidates.</w:t>
      </w:r>
    </w:p>
    <w:p>
      <w:pPr>
        <w:pStyle w:val="ListNumber"/>
      </w:pPr>
      <w:r>
        <w:t>**Generation-Track Metrics** (Evaluated via LLM-as-a-Judge):</w:t>
      </w:r>
    </w:p>
    <w:p>
      <w:r>
        <w:t xml:space="preserve">   - **Context Relevance**: Measures noise-to-signal ratio within retrieved chunks.</w:t>
      </w:r>
    </w:p>
    <w:p>
      <w:r>
        <w:t xml:space="preserve">   - **Groundedness / Faithfulness**: Percentage of claims in the generated response that can be mathematically verified against the provided context.</w:t>
      </w:r>
    </w:p>
    <w:p>
      <w:r>
        <w:t xml:space="preserve">   - **Answer Relevance**: Measures whether the generated response directly answers the user's specific query.</w:t>
      </w:r>
    </w:p>
    <w:p>
      <w:pPr>
        <w:pStyle w:val="Heading2"/>
      </w:pPr>
      <w:r>
        <w:t>16. Production Readiness Checklist</w:t>
      </w:r>
    </w:p>
    <w:p>
      <w:r>
        <w:t>Before any RAG pipeline is released to production, verify:</w:t>
      </w:r>
    </w:p>
    <w:p>
      <w:pPr>
        <w:pStyle w:val="ListBullet"/>
      </w:pPr>
      <w:r>
        <w:t>[ ] Offline document parsing pipeline preserves headings and table structures.</w:t>
      </w:r>
    </w:p>
    <w:p>
      <w:pPr>
        <w:pStyle w:val="ListBullet"/>
      </w:pPr>
      <w:r>
        <w:t>[ ] Security access control (ACL) tags are attached to every chunk and enforced via pre-filtering.</w:t>
      </w:r>
    </w:p>
    <w:p>
      <w:pPr>
        <w:pStyle w:val="ListBullet"/>
      </w:pPr>
      <w:r>
        <w:t>[ ] Hybrid search (Dense + BM25) is configured with Reciprocal Rank Fusion.</w:t>
      </w:r>
    </w:p>
    <w:p>
      <w:pPr>
        <w:pStyle w:val="ListBullet"/>
      </w:pPr>
      <w:r>
        <w:t>[ ] Cross-encoder reranking is benchmarked for top-5 candidates.</w:t>
      </w:r>
    </w:p>
    <w:p>
      <w:pPr>
        <w:pStyle w:val="ListBullet"/>
      </w:pPr>
      <w:r>
        <w:t>[ ] Prompt context positions primary evidence at boundaries and enforces strict inline citations.</w:t>
      </w:r>
    </w:p>
    <w:p>
      <w:pPr>
        <w:pStyle w:val="ListBullet"/>
      </w:pPr>
      <w:r>
        <w:t>[ ] Automated CI/CD regression evaluation suite tests at least 50 representative queries on every prompt or index update.</w:t>
      </w:r>
    </w:p>
    <w:p>
      <w:pPr>
        <w:pStyle w:val="ListBullet"/>
      </w:pPr>
      <w:r>
        <w:t>[ ] Distributed tracing captures latency and token usage across ingestion, retrieval, reranking, and generation spans.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