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D6DEE6" w:sz="4"/>
          <w:left w:val="single" w:color="D6DEE6" w:sz="4"/>
          <w:bottom w:val="single" w:color="D6DEE6" w:sz="4"/>
          <w:right w:val="single" w:color="D6DEE6" w:sz="4"/>
          <w:insideH w:val="single" w:color="D6DEE6" w:sz="4"/>
          <w:insideV w:val="single" w:color="D6DEE6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60" w:before="0" w:line="276"/>
            </w:pPr>
            <w:r>
              <w:rPr>
                <w:b/>
                <w:bCs/>
                <w:color w:val="5C6B78"/>
                <w:sz w:val="18"/>
                <w:szCs w:val="18"/>
              </w:rPr>
              <w:t xml:space="preserve">СОГЛАСОВАНО</w:t>
            </w:r>
          </w:p>
          <w:p>
            <w:pPr>
              <w:spacing w:after="40" w:before="0" w:line="276"/>
            </w:pPr>
            <w:r>
              <w:rPr>
                <w:sz w:val="21"/>
                <w:szCs w:val="21"/>
              </w:rPr>
              <w:t xml:space="preserve">______________ / </w:t>
            </w:r>
            <w:r>
              <w:rPr>
                <w:b/>
                <w:bCs/>
                <w:color w:val="B4231F"/>
                <w:sz w:val="21"/>
                <w:szCs w:val="21"/>
              </w:rPr>
              <w:t xml:space="preserve">[должность, Ф.И.О.]</w:t>
            </w:r>
          </w:p>
          <w:p>
            <w:pPr>
              <w:spacing w:after="120" w:before="0" w:line="276"/>
            </w:pPr>
            <w:r>
              <w:rPr>
                <w:color w:val="5C6B78"/>
                <w:sz w:val="18"/>
                <w:szCs w:val="18"/>
              </w:rPr>
              <w:t xml:space="preserve">«___» __________ 20__ г.</w:t>
            </w:r>
          </w:p>
        </w:tc>
        <w:tc>
          <w:tcPr>
            <w:tcW w:type="dxa" w:w="468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60" w:before="0" w:line="276"/>
            </w:pPr>
            <w:r>
              <w:rPr>
                <w:b/>
                <w:bCs/>
                <w:color w:val="5C6B78"/>
                <w:sz w:val="18"/>
                <w:szCs w:val="18"/>
              </w:rPr>
              <w:t xml:space="preserve">УТВЕРЖДАЮ</w:t>
            </w:r>
          </w:p>
          <w:p>
            <w:pPr>
              <w:spacing w:after="40" w:before="0" w:line="276"/>
            </w:pPr>
            <w:r>
              <w:rPr>
                <w:sz w:val="21"/>
                <w:szCs w:val="21"/>
              </w:rPr>
              <w:t xml:space="preserve">______________ / </w:t>
            </w:r>
            <w:r>
              <w:rPr>
                <w:b/>
                <w:bCs/>
                <w:color w:val="B4231F"/>
                <w:sz w:val="21"/>
                <w:szCs w:val="21"/>
              </w:rPr>
              <w:t xml:space="preserve">[руководитель заказчика]</w:t>
            </w:r>
          </w:p>
          <w:p>
            <w:pPr>
              <w:spacing w:after="120" w:before="0" w:line="276"/>
            </w:pPr>
            <w:r>
              <w:rPr>
                <w:color w:val="5C6B78"/>
                <w:sz w:val="18"/>
                <w:szCs w:val="18"/>
              </w:rPr>
              <w:t xml:space="preserve">«___» __________ 20__ г.</w:t>
            </w:r>
          </w:p>
        </w:tc>
      </w:tr>
    </w:tbl>
    <w:p>
      <w:pPr>
        <w:spacing w:after="120" w:before="0" w:line="276"/>
      </w:pPr>
      <w:r>
        <w:rPr>
          <w:sz w:val="21"/>
          <w:szCs w:val="21"/>
        </w:rPr>
        <w:t xml:space="preserve"/>
      </w:r>
    </w:p>
    <w:p>
      <w:pPr>
        <w:spacing w:after="60" w:before="0" w:line="276"/>
        <w:jc w:val="center"/>
      </w:pPr>
      <w:r>
        <w:rPr>
          <w:color w:val="5C6B78"/>
          <w:sz w:val="18"/>
          <w:szCs w:val="18"/>
        </w:rPr>
        <w:t xml:space="preserve">Приложение к документам о закупке</w:t>
      </w:r>
    </w:p>
    <w:p>
      <w:pPr>
        <w:pBdr>
          <w:bottom w:val="single" w:color="17212B" w:sz="12" w:space="6"/>
        </w:pBdr>
        <w:spacing w:after="60"/>
        <w:jc w:val="center"/>
      </w:pPr>
      <w:r>
        <w:rPr>
          <w:b/>
          <w:bCs/>
          <w:color w:val="17212B"/>
          <w:sz w:val="28"/>
          <w:szCs w:val="28"/>
        </w:rPr>
        <w:t xml:space="preserve">ТЕХНИЧЕСКОЕ ЗАДАНИЕ (ТЕХНИЧЕСКАЯ СПЕЦИФИКАЦИЯ)</w:t>
      </w:r>
    </w:p>
    <w:p>
      <w:pPr>
        <w:spacing w:after="200" w:before="0" w:line="276"/>
        <w:jc w:val="center"/>
      </w:pPr>
      <w:r>
        <w:rPr>
          <w:color w:val="5C6B78"/>
          <w:sz w:val="22"/>
          <w:szCs w:val="22"/>
        </w:rPr>
        <w:t xml:space="preserve">на поставку, монтаж и пусконаладку программно-аппаратного комплекса профилактической направленности «Хакер»</w:t>
      </w:r>
    </w:p>
    <w:tbl>
      <w:tblPr>
        <w:tblW w:type="dxa" w:w="9360"/>
        <w:tblBorders>
          <w:top w:val="single" w:color="D6DEE6" w:sz="4"/>
          <w:left w:val="single" w:color="D6DEE6" w:sz="4"/>
          <w:bottom w:val="single" w:color="D6DEE6" w:sz="4"/>
          <w:right w:val="single" w:color="D6DEE6" w:sz="4"/>
          <w:insideH w:val="single" w:color="D6DEE6" w:sz="4"/>
          <w:insideV w:val="single" w:color="D6DEE6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Реквизит</w:t>
            </w:r>
          </w:p>
        </w:tc>
        <w:tc>
          <w:tcPr>
            <w:tcW w:type="dxa" w:w="636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Заказчик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B4231F"/>
                <w:sz w:val="21"/>
                <w:szCs w:val="21"/>
              </w:rPr>
              <w:t xml:space="preserve">[полное наименование, УНП, адрес]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Предмет закупки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Программно-аппаратный комплекс «Хакер» — поставка оборудования, разработка и передача ПО, монтаж, пусконаладка, обучение персонала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Код ОКРБ 007-2012 (ТН ВЭД)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B4231F"/>
                <w:sz w:val="21"/>
                <w:szCs w:val="21"/>
              </w:rPr>
              <w:t xml:space="preserve">[заполняется заказчиком]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Количество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 (один) комплекс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Место поставки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</w:pPr>
            <w:r>
              <w:rPr>
                <w:sz w:val="21"/>
                <w:szCs w:val="21"/>
              </w:rPr>
              <w:t xml:space="preserve">Мемориальный комплекс «Брестская крепость-герой», </w:t>
            </w:r>
            <w:r>
              <w:rPr>
                <w:b/>
                <w:bCs/>
                <w:color w:val="B4231F"/>
                <w:sz w:val="21"/>
                <w:szCs w:val="21"/>
              </w:rPr>
              <w:t xml:space="preserve">[адрес/помещение]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Вид процедуры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B4231F"/>
                <w:sz w:val="21"/>
                <w:szCs w:val="21"/>
              </w:rPr>
              <w:t xml:space="preserve">[определяется заказчиком согласно Закону № 419-З]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Источник финансирования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B4231F"/>
                <w:sz w:val="21"/>
                <w:szCs w:val="21"/>
              </w:rPr>
              <w:t xml:space="preserve">[бюджетные/внебюджетные средства]</w:t>
            </w:r>
          </w:p>
        </w:tc>
      </w:tr>
    </w:tbl>
    <w:p>
      <w:pPr>
        <w:spacing w:after="120" w:before="0" w:line="276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1E5FA8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5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Принцип составления. </w:t>
            </w:r>
            <w:r>
              <w:rPr>
                <w:sz w:val="21"/>
                <w:szCs w:val="21"/>
              </w:rPr>
              <w:t xml:space="preserve">Технические характеристики изложены через функциональные и эксплуатационные параметры и не содержат указаний на конкретных производителей, товарные знаки или модели. Где приведение примера неизбежно, оно сопровождается словами «или эквивалент» с равнозначными параметрами, в соответствии с Законом Республики Беларусь от 13.07.2012 № 419-З «О государственных закупках товаров (работ, услуг)».</w:t>
            </w:r>
          </w:p>
        </w:tc>
      </w:tr>
    </w:tbl>
    <w:p>
      <w:pPr>
        <w:spacing w:after="120" w:before="0" w:line="276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B4231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5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Назначение и этическая рамка. </w:t>
            </w:r>
            <w:r>
              <w:rPr>
                <w:sz w:val="21"/>
                <w:szCs w:val="21"/>
              </w:rPr>
              <w:t xml:space="preserve">Комплекс является средством профилактики правонарушений в сфере информационной безопасности. Весь «хакерский» контент является художественной имитацией и не содержит работоспособных методик совершения правонарушений (конкретных программных средств, способов обхода защиты, подмены идентификаторов, компрометации платёжных инструментов). Данное требование является существенным условием договора.</w:t>
            </w:r>
          </w:p>
        </w:tc>
      </w:tr>
    </w:tbl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1. Общие сведения</w:t>
      </w:r>
    </w:p>
    <w:p>
      <w:pPr>
        <w:spacing w:after="120" w:before="0" w:line="276"/>
      </w:pPr>
      <w:r>
        <w:rPr>
          <w:sz w:val="21"/>
          <w:szCs w:val="21"/>
        </w:rPr>
        <w:t xml:space="preserve">Комплекс «Хакер» — стационарная интерактивная экспозиционная установка для одного посетителя. Посетитель в игровой форме проходит сценарий, демонстрирующий путь киберпреступника и его неизбежные правовые и жизненные последствия, принимая в ключевых точках решения морального выбора. Комплекс работает автономно, без подключения к сети Интернет.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2. Назначение и цели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Формирование у посетителей (в первую очередь 12–25 лет) устойчивого неприятия киберпреступлений.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Наглядная демонстрация составов преступлений и мер ответственности по Уголовному кодексу Республики Беларусь.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Демонстрация неотвратимости наказания и долгосрочных последствий судимости.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Поддержка профилактической и воспитательной работы учреждения.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3. Состав поставляемого комплекса</w:t>
      </w:r>
    </w:p>
    <w:tbl>
      <w:tblPr>
        <w:tblW w:type="dxa" w:w="9360"/>
        <w:tblBorders>
          <w:top w:val="single" w:color="D6DEE6" w:sz="4"/>
          <w:left w:val="single" w:color="D6DEE6" w:sz="4"/>
          <w:bottom w:val="single" w:color="D6DEE6" w:sz="4"/>
          <w:right w:val="single" w:color="D6DEE6" w:sz="4"/>
          <w:insideH w:val="single" w:color="D6DEE6" w:sz="4"/>
          <w:insideV w:val="single" w:color="D6DEE6" w:sz="4"/>
        </w:tblBorders>
      </w:tblPr>
      <w:tblGrid>
        <w:gridCol w:w="700"/>
        <w:gridCol w:w="7360"/>
        <w:gridCol w:w="1300"/>
      </w:tblGrid>
      <w:tr>
        <w:trPr>
          <w:tblHeader/>
        </w:trPr>
        <w:tc>
          <w:tcPr>
            <w:tcW w:type="dxa" w:w="70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№</w:t>
            </w:r>
          </w:p>
        </w:tc>
        <w:tc>
          <w:tcPr>
            <w:tcW w:type="dxa" w:w="736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Наименование</w:t>
            </w:r>
          </w:p>
        </w:tc>
        <w:tc>
          <w:tcPr>
            <w:tcW w:type="dxa" w:w="130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Кол-во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3.1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Вычислительный модуль (ПК) в защищённом исполнении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3.2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Монитор большой диагонали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3.3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Видеокамера (веб-камера) с механической шторкой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3.4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Устройства ввода (защищённые)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 компл.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3.5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Аудиоподсистема (наушники; опц. направленный излучатель)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 компл.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3.6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Антуражный стол с кабель-менеджментом и антивандальным креплением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3.7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Программное обеспечение комплекса (с правами использования)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3.8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Комплект эксплуатационной документации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3.9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Монтаж, пусконаладка, обучение персонала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4. Требования к аппаратной части</w:t>
      </w:r>
    </w:p>
    <w:p>
      <w:pPr>
        <w:spacing w:after="120" w:before="0" w:line="276"/>
      </w:pPr>
      <w:r>
        <w:rPr>
          <w:sz w:val="21"/>
          <w:szCs w:val="21"/>
        </w:rPr>
        <w:t xml:space="preserve">Параметры приведены как минимально допустимые («не хуже»). Допускается эквивалент с равнозначными или лучшими характеристиками.</w:t>
      </w:r>
    </w:p>
    <w:tbl>
      <w:tblPr>
        <w:tblW w:type="dxa" w:w="9360"/>
        <w:tblBorders>
          <w:top w:val="single" w:color="D6DEE6" w:sz="4"/>
          <w:left w:val="single" w:color="D6DEE6" w:sz="4"/>
          <w:bottom w:val="single" w:color="D6DEE6" w:sz="4"/>
          <w:right w:val="single" w:color="D6DEE6" w:sz="4"/>
          <w:insideH w:val="single" w:color="D6DEE6" w:sz="4"/>
          <w:insideV w:val="single" w:color="D6DEE6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Узел</w:t>
            </w:r>
          </w:p>
        </w:tc>
        <w:tc>
          <w:tcPr>
            <w:tcW w:type="dxa" w:w="746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Минимальные требования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ПК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Процессор не ниже уровня 4 ядра; ОЗУ ≥ 8 ГБ; накопитель SSD ≥ 256 ГБ; графика с аппаратным ускорением; малошумное исполнение; поддержка режима «киоск»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Монитор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Диагональ ≥ 32″; разрешение ≥ 1920×1080; матовое покрытие; антивандальное крепление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Видеокамера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USB; разрешение ≥ 2 Мп; фиксированное крепление; обязательна механическая шторка объектива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Устройства ввода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Мышь и защищённая клавиатура либо сенсорный моноблок/панель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Аудио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Наушники накладные износостойкие; опц. направленный излучатель с ограничением громкости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Стол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Устойчивая конструкция; скрытая прокладка кабелей; защита ПК от доступа посетителя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Электропитание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220 В; устройство управляемого включения/выключения по расписанию; защита от перепадов напряжения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Соответствие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Оборудование новое, не бывшее в эксплуатации; документы о соответствии (ТР ТС/ЕАС) согласно законодательству</w:t>
            </w:r>
          </w:p>
        </w:tc>
      </w:tr>
    </w:tbl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5. Требования к программному обеспечению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Исполнение — </w:t>
      </w:r>
      <w:r>
        <w:rPr>
          <w:b/>
          <w:bCs/>
          <w:sz w:val="21"/>
          <w:szCs w:val="21"/>
        </w:rPr>
        <w:t xml:space="preserve">настольное приложение</w:t>
      </w:r>
      <w:r>
        <w:rPr>
          <w:sz w:val="21"/>
          <w:szCs w:val="21"/>
        </w:rPr>
        <w:t xml:space="preserve"> для ОС семейства Windows (актуальная поддерживаемая версия) </w:t>
      </w:r>
      <w:r>
        <w:rPr>
          <w:b/>
          <w:bCs/>
          <w:color w:val="B4231F"/>
          <w:sz w:val="21"/>
          <w:szCs w:val="21"/>
        </w:rPr>
        <w:t xml:space="preserve">[или иная ОС по согласованию]</w:t>
      </w:r>
      <w:r>
        <w:rPr>
          <w:sz w:val="21"/>
          <w:szCs w:val="21"/>
        </w:rPr>
        <w:t xml:space="preserve">, полноэкранный режим «киоск».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sz w:val="21"/>
          <w:szCs w:val="21"/>
        </w:rPr>
        <w:t xml:space="preserve">Полностью автономная работа</w:t>
      </w:r>
      <w:r>
        <w:rPr>
          <w:sz w:val="21"/>
          <w:szCs w:val="21"/>
        </w:rPr>
        <w:t xml:space="preserve"> без подключения к сети Интернет и без передачи данных во внешние системы.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Автозапуск при включении, автоматическое восстановление после сбоя, блокировка выхода из приложения и системных сочетаний клавиш.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Автоматический сброс сеанса по завершении сценария и по тайм-ауту простоя.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Все тексты, суммы, реплики и правовые сведения вынесены во внешние редактируемые ресурсы (без пересборки ПО).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Поддержка русского языка; возможность добавления белорусского языка.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Передача заказчику </w:t>
      </w:r>
      <w:r>
        <w:rPr>
          <w:b/>
          <w:bCs/>
          <w:sz w:val="21"/>
          <w:szCs w:val="21"/>
        </w:rPr>
        <w:t xml:space="preserve">неисключительных прав</w:t>
      </w:r>
      <w:r>
        <w:rPr>
          <w:sz w:val="21"/>
          <w:szCs w:val="21"/>
        </w:rPr>
        <w:t xml:space="preserve"> на использование ПО без ограничения срока на территории Республики Беларусь, с правом установки на оборудование комплекса, а также исходных материалов контента </w:t>
      </w:r>
      <w:r>
        <w:rPr>
          <w:b/>
          <w:bCs/>
          <w:color w:val="B4231F"/>
          <w:sz w:val="21"/>
          <w:szCs w:val="21"/>
        </w:rPr>
        <w:t xml:space="preserve">[объём прав уточняется договором]</w:t>
      </w:r>
      <w:r>
        <w:rPr>
          <w:sz w:val="21"/>
          <w:szCs w:val="21"/>
        </w:rPr>
        <w:t xml:space="preserve">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6. Функциональные требования (сценарий)</w:t>
      </w:r>
    </w:p>
    <w:p>
      <w:pPr>
        <w:spacing w:after="120" w:before="0" w:line="276"/>
      </w:pPr>
      <w:r>
        <w:rPr>
          <w:sz w:val="21"/>
          <w:szCs w:val="21"/>
        </w:rPr>
        <w:t xml:space="preserve">ПО реализует связный интерактивный сценарий длительностью 6–10 минут. Управление — выбором посетителем реплик и вариантов на экранах морального выбора.</w:t>
      </w:r>
    </w:p>
    <w:tbl>
      <w:tblPr>
        <w:tblW w:type="dxa" w:w="9360"/>
        <w:tblBorders>
          <w:top w:val="single" w:color="D6DEE6" w:sz="4"/>
          <w:left w:val="single" w:color="D6DEE6" w:sz="4"/>
          <w:bottom w:val="single" w:color="D6DEE6" w:sz="4"/>
          <w:right w:val="single" w:color="D6DEE6" w:sz="4"/>
          <w:insideH w:val="single" w:color="D6DEE6" w:sz="4"/>
          <w:insideV w:val="single" w:color="D6DEE6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№</w:t>
            </w:r>
          </w:p>
        </w:tc>
        <w:tc>
          <w:tcPr>
            <w:tcW w:type="dxa" w:w="866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Функция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6.1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Имитация «рабочего стола» с несколькими одновременными окнами (терминал имитации взлома; переписка с «подельником»; «разводной» чат с жертвой; витрина «интернет-магазина»; счётчик «похищенного»; декоративная панель «сокрытия следа»).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6.2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Визуальная имитация взлома в эстетике «цифрового дождя» (чёрный экран, зелёные символы) с индикатором прогресса. Без реальных команд и инструментов.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6.3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Интерактивная переписка: выбор реплик в двух параллельных чатах; периодические титры-напоминания о противоправности действий.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6.4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Развилка 1: предложение начать противоправное действие с выводом правовой плашки (статья, часть, наказание). Выбор «остановиться» / «совершить».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6.5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Позитивный исход («остановиться»): «зелёный экран» с одобрением и разъяснением, что своевременный отказ позволяет избежать ответственности.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6.6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Негативный ход («совершить»): ускоренная имитация перебора платёжных данных с заведомо недействительными (бутафорскими) значениями; рост счётчика «похищенного».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6.7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Развилка 2: получение «кода» от жертвы и повторный моральный выбор с правовой плашкой.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6.8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Перелом: имитация компрометации самого преступника — обнуление и блокировка «счёта», сообщение о сохранении данных правоохранительными органами.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6.9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Финал: анимация фотофиксации посетителя (вспышка, звук затвора) с выводом кадра; имитация прибытия подразделения правопорядка со звуковым сопровождением.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6.10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Эпилог: «чёрный экран» с текстом о неотвратимости наказания и пожизненных последствиях судимости; благодарность и автосброс.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6.11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Независимо от «успеха», сценарий кражи всегда завершается задержанием: демонстрация отсутствия «безнаказанного» исхода.</w:t>
            </w:r>
          </w:p>
        </w:tc>
      </w:tr>
    </w:tbl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7. Требования к правовому контенту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В точках выбора выводятся сведения о применимых статьях УК РБ (в т.ч. ст. 209, 212, 222, 349, 354) с указанием части и предусмотренного наказания.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Правовые формулировки должны </w:t>
      </w:r>
      <w:r>
        <w:rPr>
          <w:b/>
          <w:bCs/>
          <w:sz w:val="21"/>
          <w:szCs w:val="21"/>
        </w:rPr>
        <w:t xml:space="preserve">соответствовать действующей редакции</w:t>
      </w:r>
      <w:r>
        <w:rPr>
          <w:sz w:val="21"/>
          <w:szCs w:val="21"/>
        </w:rPr>
        <w:t xml:space="preserve"> УК РБ на дату сдачи и быть согласованы с заказчиком (при необходимости — с юридической экспертизой). Эталонные источники — pravo.by и etalonline.by.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Исполнитель обеспечивает возможность обновления правовых текстов силами заказчика.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8. Требования к защите персональных данных</w:t>
      </w:r>
    </w:p>
    <w:tbl>
      <w:tblPr>
        <w:tblW w:type="dxa" w:w="9360"/>
        <w:tblBorders>
          <w:top w:val="none"/>
          <w:left w:val="single" w:color="8A6400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5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Существенное условие. </w:t>
            </w:r>
            <w:r>
              <w:rPr>
                <w:sz w:val="21"/>
                <w:szCs w:val="21"/>
              </w:rPr>
              <w:t xml:space="preserve">Обработка изображения посетителя допускается исключительно в целях сценария и в минимальном объёме, в соответствии с Законом Республики Беларусь от 07.05.2021 № 99-З «О защите персональных данных».</w:t>
            </w:r>
          </w:p>
        </w:tc>
      </w:tr>
    </w:tbl>
    <w:p>
      <w:pPr>
        <w:spacing w:after="120" w:before="0" w:line="276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Кадр с видеокамеры обрабатывается </w:t>
      </w:r>
      <w:r>
        <w:rPr>
          <w:b/>
          <w:bCs/>
          <w:sz w:val="21"/>
          <w:szCs w:val="21"/>
        </w:rPr>
        <w:t xml:space="preserve">только в оперативной памяти</w:t>
      </w:r>
      <w:r>
        <w:rPr>
          <w:sz w:val="21"/>
          <w:szCs w:val="21"/>
        </w:rPr>
        <w:t xml:space="preserve">, отображается в рамках сеанса и безвозвратно уничтожается при сбросе/выходе.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sz w:val="21"/>
          <w:szCs w:val="21"/>
        </w:rPr>
        <w:t xml:space="preserve">Запрещены</w:t>
      </w:r>
      <w:r>
        <w:rPr>
          <w:sz w:val="21"/>
          <w:szCs w:val="21"/>
        </w:rPr>
        <w:t xml:space="preserve"> сохранение изображения на носитель, копирование, передача по сети, формирование архива.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Обязательны информирование посетителей и механическая шторка объектива при отключённой функции.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Предусматривается режим без реальной съёмки (замена кадра обезличенным изображением), активируемый администратором.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Исполнитель передаёт заказчику описание потоков обработки данных.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9. Требования к безопасности контента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Весь «противоправный» контент — художественная имитация. </w:t>
      </w:r>
      <w:r>
        <w:rPr>
          <w:b/>
          <w:bCs/>
          <w:sz w:val="21"/>
          <w:szCs w:val="21"/>
        </w:rPr>
        <w:t xml:space="preserve">Запрещается</w:t>
      </w:r>
      <w:r>
        <w:rPr>
          <w:sz w:val="21"/>
          <w:szCs w:val="21"/>
        </w:rPr>
        <w:t xml:space="preserve"> включать работоспособные команды, названия реальных инструментов, рабочие алгоритмы проверки/генерации платёжных данных, действительные реквизиты, методики обхода защиты, подмены идентификаторов или сокрытия трафика.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Платёжные реквизиты, коды и «системы списания» — заведомо недействительная бутафория.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«Интернет-магазин» и иные объекты — вымышленные; без реальных товарных знаков без согласования.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Соблюдение требований подтверждается при приёмке (раздел 15).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10. Требования к монтажу и пусконаладке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Доставка, сборка, размещение, подключение, настройка режима «киоск», проверка всех сцен и функций.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Настройка расписания включения/выключения по режиму работы учреждения.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Уборка монтажного мусора; приведение зоны в экспозиционный вид.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Работы — в согласованные сроки, с соблюдением правил учреждения и охраны труда.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11. Требования к документации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Руководство администратора (настройки, режимы камеры, расписание, редактирование контента, устранение неисправностей).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Руководство по эксплуатации для персонала.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Паспорт/спецификация оборудования, документы о соответствии.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Описание обработки персональных данных (раздел 8).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Документация — на русском языке, в печатном и электронном виде.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12. Обучение персонала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Инструктаж не менее </w:t>
      </w:r>
      <w:r>
        <w:rPr>
          <w:b/>
          <w:bCs/>
          <w:color w:val="B4231F"/>
          <w:sz w:val="21"/>
          <w:szCs w:val="21"/>
        </w:rPr>
        <w:t xml:space="preserve">[N]</w:t>
      </w:r>
      <w:r>
        <w:rPr>
          <w:sz w:val="21"/>
          <w:szCs w:val="21"/>
        </w:rPr>
        <w:t xml:space="preserve"> сотрудников заказчика по эксплуатации и администрированию.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Передача контактов технической поддержки и регламента обращения.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13. Гарантия и сопровождение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Гарантийный срок на оборудование и ПО — не менее </w:t>
      </w:r>
      <w:r>
        <w:rPr>
          <w:b/>
          <w:bCs/>
          <w:sz w:val="21"/>
          <w:szCs w:val="21"/>
        </w:rPr>
        <w:t xml:space="preserve">12 месяцев</w:t>
      </w:r>
      <w:r>
        <w:rPr>
          <w:sz w:val="21"/>
          <w:szCs w:val="21"/>
        </w:rPr>
        <w:t xml:space="preserve"> с даты акта приёмки </w:t>
      </w:r>
      <w:r>
        <w:rPr>
          <w:b/>
          <w:bCs/>
          <w:color w:val="B4231F"/>
          <w:sz w:val="21"/>
          <w:szCs w:val="21"/>
        </w:rPr>
        <w:t xml:space="preserve">[уточняется заказчиком]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Устранение неисправностей в гарантийный период — за счёт исполнителя; срок реакции — не более </w:t>
      </w:r>
      <w:r>
        <w:rPr>
          <w:b/>
          <w:bCs/>
          <w:color w:val="B4231F"/>
          <w:sz w:val="21"/>
          <w:szCs w:val="21"/>
        </w:rPr>
        <w:t xml:space="preserve">[N]</w:t>
      </w:r>
      <w:r>
        <w:rPr>
          <w:sz w:val="21"/>
          <w:szCs w:val="21"/>
        </w:rPr>
        <w:t xml:space="preserve"> рабочих дней.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Бесплатные корректирующие обновления ПО в гарантийный период.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Возможность постгарантийного сопровождения </w:t>
      </w:r>
      <w:r>
        <w:rPr>
          <w:b/>
          <w:bCs/>
          <w:color w:val="B4231F"/>
          <w:sz w:val="21"/>
          <w:szCs w:val="21"/>
        </w:rPr>
        <w:t xml:space="preserve">[опционально]</w:t>
      </w:r>
      <w:r>
        <w:rPr>
          <w:sz w:val="21"/>
          <w:szCs w:val="21"/>
        </w:rPr>
        <w:t xml:space="preserve">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14. Сроки и порядок поставки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Срок выполнения (поставка, монтаж, пусконаладка, обучение) — не более </w:t>
      </w:r>
      <w:r>
        <w:rPr>
          <w:b/>
          <w:bCs/>
          <w:color w:val="B4231F"/>
          <w:sz w:val="21"/>
          <w:szCs w:val="21"/>
        </w:rPr>
        <w:t xml:space="preserve">[N]</w:t>
      </w:r>
      <w:r>
        <w:rPr>
          <w:sz w:val="21"/>
          <w:szCs w:val="21"/>
        </w:rPr>
        <w:t xml:space="preserve"> календарных дней с даты заключения договора.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Поэтапная сдача: (1) согласование сценария и правового контента; (2) демонстрация прототипа экранов; (3) поставка и монтаж; (4) пусконаладка и обучение; (5) итоговая приёмка.</w:t>
      </w:r>
    </w:p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15. Порядок приёмки</w:t>
      </w:r>
    </w:p>
    <w:p>
      <w:pPr>
        <w:spacing w:after="120" w:before="0" w:line="276"/>
      </w:pPr>
      <w:r>
        <w:rPr>
          <w:sz w:val="21"/>
          <w:szCs w:val="21"/>
        </w:rPr>
        <w:t xml:space="preserve">Приёмка оформляется актом. Комплекс считается принятым при одновременном выполнении критериев:</w:t>
      </w:r>
    </w:p>
    <w:tbl>
      <w:tblPr>
        <w:tblW w:type="dxa" w:w="9360"/>
        <w:tblBorders>
          <w:top w:val="single" w:color="D6DEE6" w:sz="4"/>
          <w:left w:val="single" w:color="D6DEE6" w:sz="4"/>
          <w:bottom w:val="single" w:color="D6DEE6" w:sz="4"/>
          <w:right w:val="single" w:color="D6DEE6" w:sz="4"/>
          <w:insideH w:val="single" w:color="D6DEE6" w:sz="4"/>
          <w:insideV w:val="single" w:color="D6DEE6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№</w:t>
            </w:r>
          </w:p>
        </w:tc>
        <w:tc>
          <w:tcPr>
            <w:tcW w:type="dxa" w:w="8460"/>
            <w:shd w:fill="EEF2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5C6B78"/>
                <w:sz w:val="19"/>
                <w:szCs w:val="19"/>
              </w:rPr>
              <w:t xml:space="preserve">Критерий приёмки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15.1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Комплектность поставки соответствует разделу 3.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15.2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Аппаратная часть соответствует разделу 4; оборудование новое, работоспособное.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15.3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ПО работает в режиме «киоск», автономно, корректно отрабатывает все сцены и обе развилки, выполняет автосброс.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15.4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Правовой контент согласован и соответствует действующей редакции УК РБ.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15.5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Подтверждено соблюдение требований по защите персональных данных (раздел 8).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15.6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Подтверждено соблюдение требований к безопасности контента (раздел 9).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15.7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Предоставлена документация (раздел 11), проведено обучение (раздел 12).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15.8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Оформлены гарантийные обязательства (раздел 13).</w:t>
            </w:r>
          </w:p>
        </w:tc>
      </w:tr>
    </w:tbl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16. Требования к участнику (поставщику)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Соответствие требованиям законодательства Республики Беларусь о государственных закупках (Закон № 419-З).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Опыт разработки и/или поставки интерактивных мультимедийных/экспозиционных решений </w:t>
      </w:r>
      <w:r>
        <w:rPr>
          <w:b/>
          <w:bCs/>
          <w:color w:val="B4231F"/>
          <w:sz w:val="21"/>
          <w:szCs w:val="21"/>
        </w:rPr>
        <w:t xml:space="preserve">[критерий устанавливается заказчиком]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Наличие ресурсов для монтажа, пусконаладки, обучения и гарантийного обслуживания.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Отсутствие в реестре поставщиков, временно не допускаемых к закупкам </w:t>
      </w:r>
      <w:r>
        <w:rPr>
          <w:b/>
          <w:bCs/>
          <w:color w:val="B4231F"/>
          <w:sz w:val="21"/>
          <w:szCs w:val="21"/>
        </w:rPr>
        <w:t xml:space="preserve">[проверяется заказчиком]</w:t>
      </w:r>
      <w:r>
        <w:rPr>
          <w:sz w:val="21"/>
          <w:szCs w:val="21"/>
        </w:rPr>
        <w:t xml:space="preserve">.</w:t>
      </w:r>
    </w:p>
    <w:p>
      <w:pPr>
        <w:spacing w:after="120" w:before="0" w:line="276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1E5FA8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5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Примечание. </w:t>
            </w:r>
            <w:r>
              <w:rPr>
                <w:sz w:val="21"/>
                <w:szCs w:val="21"/>
              </w:rPr>
              <w:t xml:space="preserve">Квалификационные требования, критерии оценки предложений и их весовые доли устанавливаются заказчиком в документах о закупке согласно выбранному виду процедуры и не являются частью настоящей технической спецификации.</w:t>
            </w:r>
          </w:p>
        </w:tc>
      </w:tr>
    </w:tbl>
    <w:p>
      <w:pPr>
        <w:pStyle w:val="Heading1"/>
        <w:pBdr>
          <w:bottom w:val="single" w:color="D6DEE6" w:sz="6" w:space="4"/>
        </w:pBdr>
        <w:spacing w:after="140" w:before="280"/>
      </w:pPr>
      <w:r>
        <w:rPr>
          <w:b/>
          <w:bCs/>
          <w:color w:val="17212B"/>
          <w:sz w:val="26"/>
          <w:szCs w:val="26"/>
        </w:rPr>
        <w:t xml:space="preserve">17. Нормативные ссылки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Закон Республики Беларусь от 13.07.2012 № 419-З «О государственных закупках товаров (работ, услуг)».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Уголовный кодекс Республики Беларусь от 09.07.1999 № 275-З (действующая редакция) — ст. 209, 212, 222, 349, 354 и примечание к главе 24.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Закон Республики Беларусь от 07.05.2021 № 99-З «О защите персональных данных».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Эталонные источники правовых текстов: pravo.by, etalonline.by.</w:t>
      </w:r>
    </w:p>
    <w:p>
      <w:pPr>
        <w:spacing w:after="120" w:before="0" w:line="276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B4231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5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Важно для заказчика. </w:t>
            </w:r>
            <w:r>
              <w:rPr>
                <w:sz w:val="21"/>
                <w:szCs w:val="21"/>
              </w:rPr>
              <w:t xml:space="preserve">Конкретные значения сроков, гарантий, квалификации, вид процедуры и критерии оценки заполняются заказчиком (отмечены красным). Правовой блок (раздел 7) подлежит обязательной сверке с действующей редакцией УК РБ и юридическому согласованию до публикации документов о закупке.</w:t>
            </w:r>
          </w:p>
        </w:tc>
      </w:tr>
    </w:tbl>
    <w:p>
      <w:pPr>
        <w:spacing w:after="120" w:before="0" w:line="276"/>
      </w:pPr>
      <w:r>
        <w:rPr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i/>
          <w:iCs/>
          <w:color w:val="5C6B78"/>
          <w:sz w:val="17"/>
          <w:szCs w:val="17"/>
        </w:rPr>
        <w:t xml:space="preserve">Документ является проектом технического задания (технической спецификации) для включения в состав документов о государственной закупке. Комплекс носит профилактический характер и не содержит работоспособных методик совершения правонарушений. Редакция от 01.10.2026.</w:t>
      </w:r>
    </w:p>
    <w:sectPr>
      <w:pgSz w:w="11906" w:h="16838" w:orient="portrait"/>
      <w:pgMar w:top="1134" w:right="1276" w:bottom="1134" w:left="127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7212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2026-10-01T07:41:29.808Z</dcterms:created>
  <dcterms:modified xsi:type="dcterms:W3CDTF">2026-10-01T07:41:29.809Z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