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0"/>
        </w:rPr>
        <w:t xml:space="preserve">Приложение № </w:t>
      </w:r>
      <w:r>
        <w:rPr>
          <w:sz w:val="20"/>
          <w:highlight w:val="yellow"/>
        </w:rPr>
        <w:t>__</w:t>
      </w:r>
      <w:r>
        <w:rPr>
          <w:sz w:val="20"/>
        </w:rPr>
        <w:t xml:space="preserve"> к </w:t>
      </w:r>
      <w:r>
        <w:rPr>
          <w:sz w:val="20"/>
          <w:highlight w:val="yellow"/>
        </w:rPr>
        <w:t>конкурсным / аукционным документам</w:t>
      </w:r>
      <w:r>
        <w:br/>
      </w:r>
      <w:r>
        <w:rPr>
          <w:sz w:val="20"/>
        </w:rPr>
        <w:t>Проект от 01.10.2026</w:t>
      </w:r>
    </w:p>
    <w:p>
      <w:pPr>
        <w:spacing w:after="0"/>
        <w:jc w:val="center"/>
      </w:pPr>
      <w:r>
        <w:rPr>
          <w:b/>
          <w:sz w:val="28"/>
        </w:rPr>
        <w:t>ТЕХНИЧЕСКОЕ ЗАДАНИЕ</w:t>
      </w:r>
    </w:p>
    <w:p>
      <w:pPr>
        <w:spacing w:after="280"/>
        <w:jc w:val="center"/>
      </w:pPr>
      <w:r>
        <w:rPr/>
        <w:t>на поставку, разработку и ввод в эксплуатацию интерактивного обучающего комплекса по профилактике наркопреступлений «Допрос»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2CC"/>
          </w:tcPr>
          <w:p>
            <w:r>
              <w:rPr>
                <w:b/>
                <w:sz w:val="21"/>
              </w:rPr>
              <w:t>Служебные пометки (удалить перед публикацией).</w:t>
            </w:r>
            <w:r>
              <w:rPr>
                <w:sz w:val="21"/>
              </w:rPr>
              <w:t xml:space="preserve"> Жёлтые блоки и поля </w:t>
            </w:r>
            <w:r>
              <w:rPr>
                <w:sz w:val="21"/>
                <w:highlight w:val="yellow"/>
              </w:rPr>
              <w:t>в рамке</w:t>
            </w:r>
            <w:r>
              <w:rPr>
                <w:sz w:val="21"/>
              </w:rPr>
              <w:t xml:space="preserve"> заполняет заказчик или проверяет юрист. При печати жёлтые блоки скрываются автоматически.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>1. Общие сведения</w:t>
      </w:r>
    </w:p>
    <w:p>
      <w:pPr>
        <w:ind w:left="680" w:hanging="680"/>
        <w:jc w:val="both"/>
      </w:pPr>
      <w:r>
        <w:rPr>
          <w:b/>
        </w:rPr>
        <w:t>1.1</w:t>
      </w:r>
      <w:r>
        <w:t xml:space="preserve">  </w:t>
      </w:r>
      <w:r>
        <w:rPr>
          <w:b/>
        </w:rPr>
        <w:t>Наименование объекта закупки:</w:t>
      </w:r>
      <w:r>
        <w:rPr/>
        <w:t xml:space="preserve"> интерактивный обучающий комплекс «Допрос» (далее — Комплекс), включая оборудование, программное обеспечение, аудиовизуальный контент, монтаж, пусконаладку и обучение персонала.</w:t>
      </w:r>
    </w:p>
    <w:p>
      <w:pPr>
        <w:ind w:left="680" w:hanging="680"/>
        <w:jc w:val="both"/>
      </w:pPr>
      <w:r>
        <w:rPr>
          <w:b/>
        </w:rPr>
        <w:t>1.2</w:t>
      </w:r>
      <w:r>
        <w:t xml:space="preserve">  </w:t>
      </w:r>
      <w:r>
        <w:rPr>
          <w:b/>
        </w:rPr>
        <w:t>Заказчик:</w:t>
      </w:r>
      <w:r>
        <w:rPr/>
        <w:t xml:space="preserve"> </w:t>
      </w:r>
      <w:r>
        <w:rPr>
          <w:highlight w:val="yellow"/>
        </w:rPr>
        <w:t>наименование, УНП/ИНН</w:t>
      </w:r>
      <w:r>
        <w:rPr/>
        <w:t>.</w:t>
      </w:r>
    </w:p>
    <w:p>
      <w:pPr>
        <w:ind w:left="680" w:hanging="680"/>
        <w:jc w:val="both"/>
      </w:pPr>
      <w:r>
        <w:rPr>
          <w:b/>
        </w:rPr>
        <w:t>1.3</w:t>
      </w:r>
      <w:r>
        <w:t xml:space="preserve">  </w:t>
      </w:r>
      <w:r>
        <w:rPr>
          <w:b/>
        </w:rPr>
        <w:t>Место поставки и монтажа:</w:t>
      </w:r>
      <w:r>
        <w:rPr/>
        <w:t xml:space="preserve"> </w:t>
      </w:r>
      <w:r>
        <w:rPr>
          <w:highlight w:val="yellow"/>
        </w:rPr>
        <w:t>адрес, помещение</w:t>
      </w:r>
      <w:r>
        <w:rPr/>
        <w:t>.</w:t>
      </w:r>
    </w:p>
    <w:p>
      <w:pPr>
        <w:ind w:left="680" w:hanging="680"/>
        <w:jc w:val="both"/>
      </w:pPr>
      <w:r>
        <w:rPr>
          <w:b/>
        </w:rPr>
        <w:t>1.4</w:t>
      </w:r>
      <w:r>
        <w:t xml:space="preserve">  </w:t>
      </w:r>
      <w:r>
        <w:rPr>
          <w:b/>
        </w:rPr>
        <w:t>Код по классификатору:</w:t>
      </w:r>
      <w:r>
        <w:rPr/>
        <w:t xml:space="preserve"> </w:t>
      </w:r>
      <w:r>
        <w:rPr>
          <w:highlight w:val="yellow"/>
        </w:rPr>
        <w:t>ОКРБ 007-2012 / ОКПД2 / КТРУ</w:t>
      </w:r>
      <w:r>
        <w:rPr/>
        <w:t>.</w:t>
      </w:r>
    </w:p>
    <w:p>
      <w:pPr>
        <w:ind w:left="680" w:hanging="680"/>
        <w:jc w:val="both"/>
      </w:pPr>
      <w:r>
        <w:rPr>
          <w:b/>
        </w:rPr>
        <w:t>1.5</w:t>
      </w:r>
      <w:r>
        <w:t xml:space="preserve">  </w:t>
      </w:r>
      <w:r>
        <w:rPr>
          <w:b/>
        </w:rPr>
        <w:t>Цель:</w:t>
      </w:r>
      <w:r>
        <w:rPr/>
        <w:t xml:space="preserve"> формирование у детей и подростков представления о правовых последствиях приобретения и распространения наркотических средств через интерактивную игровую форму: участник в роли следователя проводит допрос задержанного.</w:t>
      </w:r>
    </w:p>
    <w:p>
      <w:pPr>
        <w:ind w:left="680" w:hanging="680"/>
        <w:jc w:val="both"/>
      </w:pPr>
      <w:r>
        <w:rPr>
          <w:b/>
        </w:rPr>
        <w:t>1.6</w:t>
      </w:r>
      <w:r>
        <w:t xml:space="preserve">  </w:t>
      </w:r>
      <w:r>
        <w:rPr>
          <w:b/>
        </w:rPr>
        <w:t>Целевая аудитория:</w:t>
      </w:r>
      <w:r>
        <w:rPr/>
        <w:t xml:space="preserve"> учащиеся </w:t>
      </w:r>
      <w:r>
        <w:rPr>
          <w:highlight w:val="yellow"/>
        </w:rPr>
        <w:t>__–__</w:t>
      </w:r>
      <w:r>
        <w:rPr/>
        <w:t xml:space="preserve"> лет; группы до 4 человек; длительность одного сеанса — не более 11 минут.</w:t>
      </w:r>
    </w:p>
    <w:p>
      <w:pPr>
        <w:ind w:left="680" w:hanging="680"/>
        <w:jc w:val="both"/>
      </w:pPr>
      <w:r>
        <w:rPr>
          <w:b/>
        </w:rPr>
        <w:t>1.7</w:t>
      </w:r>
      <w:r>
        <w:t xml:space="preserve">  </w:t>
      </w:r>
      <w:r>
        <w:rPr>
          <w:b/>
        </w:rPr>
        <w:t>Срок исполнения:</w:t>
      </w:r>
      <w:r>
        <w:rPr/>
        <w:t xml:space="preserve"> не более </w:t>
      </w:r>
      <w:r>
        <w:rPr>
          <w:highlight w:val="yellow"/>
        </w:rPr>
        <w:t>___</w:t>
      </w:r>
      <w:r>
        <w:rPr/>
        <w:t xml:space="preserve"> календарных дней с даты заключения договора, по этапам раздела 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2CC"/>
          </w:tcPr>
          <w:p>
            <w:r>
              <w:rPr>
                <w:b/>
                <w:sz w:val="21"/>
              </w:rPr>
              <w:t>Право.</w:t>
            </w:r>
            <w:r>
              <w:rPr>
                <w:sz w:val="21"/>
              </w:rPr>
              <w:t xml:space="preserve"> Описание объекта закупки не должно содержать товарных знаков, наименований производителей и иных требований, ограничивающих конкуренцию. Исключение — случаи, когда иначе невозможно точно описать предмет закупки; тогда указывается «или эквивалент». Это требование есть и в законодательстве Беларуси (</w:t>
            </w:r>
            <w:r>
              <w:rPr>
                <w:sz w:val="21"/>
              </w:rPr>
              <w:t>Закон РБ № 419-З</w:t>
            </w:r>
            <w:r>
              <w:rPr>
                <w:sz w:val="21"/>
              </w:rPr>
              <w:t>), и в законодательстве России (</w:t>
            </w:r>
            <w:r>
              <w:rPr>
                <w:sz w:val="21"/>
              </w:rPr>
              <w:t>ст. 33 Закона № 44-ФЗ</w:t>
            </w:r>
            <w:r>
              <w:rPr>
                <w:sz w:val="21"/>
              </w:rPr>
              <w:t>). Поэтому характеристики ниже даны функционально, через значения «не менее / не более».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>2. Состав Комплекса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2339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Наименование</w:t>
            </w:r>
          </w:p>
        </w:tc>
        <w:tc>
          <w:tcPr>
            <w:tcW w:type="dxa" w:w="2339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Ед.</w:t>
            </w:r>
          </w:p>
        </w:tc>
        <w:tc>
          <w:tcPr>
            <w:tcW w:type="dxa" w:w="2339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Кол-во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Панель отображения (телевизор/профессиональный дисплей)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Вычислительный блок (компьютер)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Планшетный компьютер — пульт управления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 xml:space="preserve">1 (+1 резервный — </w:t>
            </w:r>
            <w:r>
              <w:rPr>
                <w:sz w:val="22"/>
                <w:highlight w:val="yellow"/>
              </w:rPr>
              <w:t>по решению</w:t>
            </w:r>
            <w:r>
              <w:rPr>
                <w:sz w:val="22"/>
              </w:rPr>
              <w:t>)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Защитный чехол-держатель с антивандальным креплением для планшета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Беспроводной маршрутизатор (локальная сеть)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6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Акустическая система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компл.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7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Источник бесперебойного питания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8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Программное обеспечение Комплекса (раздел 4)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экз.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9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Аудиовизуальный контент: 2 интерактивных сценария (раздел 5)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компл.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10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Монтажные работы, пусконаладка, обучение персонала (раздел 7)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усл.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</w:tbl>
    <w:p>
      <w:pPr>
        <w:spacing w:after="0"/>
      </w:pPr>
    </w:p>
    <w:p>
      <w:pPr>
        <w:ind w:left="680" w:hanging="680"/>
        <w:jc w:val="both"/>
      </w:pPr>
      <w:r>
        <w:rPr>
          <w:b/>
        </w:rPr>
        <w:t>2.1</w:t>
      </w:r>
      <w:r>
        <w:t xml:space="preserve">  </w:t>
      </w:r>
      <w:r>
        <w:rPr/>
        <w:t xml:space="preserve">Всё оборудование новое, не бывшее в эксплуатации, не восстановленное, год выпуска — не ранее </w:t>
      </w:r>
      <w:r>
        <w:rPr>
          <w:highlight w:val="yellow"/>
        </w:rPr>
        <w:t>2025</w:t>
      </w:r>
      <w:r>
        <w:rPr/>
        <w:t>. Оборудование сертифицировано (декларировано) в соответствии с законодательством страны поставки.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2CC"/>
          </w:tcPr>
          <w:p>
            <w:r>
              <w:rPr>
                <w:b/>
                <w:sz w:val="21"/>
              </w:rPr>
              <w:t>Лоты.</w:t>
            </w:r>
            <w:r>
              <w:rPr>
                <w:sz w:val="21"/>
              </w:rPr>
              <w:t xml:space="preserve"> Если сочетание оборудования, разработки ПО, видеопроизводства и строительно-монтажных работ в одном предмете закупки может быть сочтено ограничением конкуренции, рассмотрите разделение на лоты: (1) оборудование; (2) ПО + контент + пусконаладка. Монтаж в стену можно отдать подрядчику по отделке помещения. Решение — за юристом заказчика.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>3. Технические требования к оборудованию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Позиция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Характеристика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3118"/>
            <w:vMerge w:val="restart"/>
          </w:tcPr>
          <w:p>
            <w:pPr>
              <w:spacing w:after="0"/>
            </w:pPr>
            <w:r>
              <w:rPr>
                <w:sz w:val="22"/>
              </w:rPr>
              <w:t>1. Панель отображения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Диагональ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не менее 65″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Разрешение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не менее 3840×2160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Яркость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не менее 350 кд/м²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Интерфейсы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HDMI — не менее 2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Режим работы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допускает непрерывную работу не менее 16 ч/сутки (по документации производителя)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Включение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автоматическое включение при подаче питания либо по сигналу HDMI-CEC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Крепление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VESA; толщина корпуса позволяет встройку в нишу заподлицо с отделкой стены (раздел 7)</w:t>
            </w:r>
          </w:p>
        </w:tc>
      </w:tr>
      <w:tr>
        <w:tc>
          <w:tcPr>
            <w:tcW w:type="dxa" w:w="3118"/>
            <w:vMerge w:val="restart"/>
          </w:tcPr>
          <w:p>
            <w:pPr>
              <w:spacing w:after="0"/>
            </w:pPr>
            <w:r>
              <w:rPr>
                <w:sz w:val="22"/>
              </w:rPr>
              <w:t>2. Вычислительный блок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Процессор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не менее 8 ядер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Оперативная память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не менее 16 ГБ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Накопитель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SSD не менее 512 ГБ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Графическая подсистема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аппаратное декодирование видео 4K (H.264/H.265); при реализации персонажей в 3D-графике — дискретный видеоадаптер с видеопамятью не менее 8 ГБ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Сетевые интерфейсы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Ethernet 1 Гбит/с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Прочее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автоматическое включение после восстановления питания (настройка BIOS/UEFI); лицензионная операционная система</w:t>
            </w:r>
          </w:p>
        </w:tc>
      </w:tr>
      <w:tr>
        <w:tc>
          <w:tcPr>
            <w:tcW w:type="dxa" w:w="3118"/>
            <w:vMerge w:val="restart"/>
          </w:tcPr>
          <w:p>
            <w:pPr>
              <w:spacing w:after="0"/>
            </w:pPr>
            <w:r>
              <w:rPr>
                <w:sz w:val="22"/>
              </w:rPr>
              <w:t>3. Планшет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Диагональ экрана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не менее 10″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Беспроводная связь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Wi-Fi стандарта не ниже IEEE 802.11ac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Работа от батареи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не менее 8 ч (по документации производителя)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Режим киоска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поддержка блокировки в одном приложении</w:t>
            </w:r>
          </w:p>
        </w:tc>
      </w:tr>
      <w:tr>
        <w:tc>
          <w:tcPr>
            <w:tcW w:type="dxa" w:w="3118"/>
            <w:vMerge w:val="restart"/>
          </w:tcPr>
          <w:p>
            <w:pPr>
              <w:spacing w:after="0"/>
            </w:pPr>
            <w:r>
              <w:rPr>
                <w:sz w:val="22"/>
              </w:rPr>
              <w:t>5. Маршрутизатор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Стандарт Wi-Fi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не ниже IEEE 802.11ac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Безопасность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WPA2 или WPA3</w:t>
            </w:r>
          </w:p>
        </w:tc>
      </w:tr>
      <w:tr>
        <w:tc>
          <w:tcPr>
            <w:tcW w:type="dxa" w:w="3118"/>
            <w:vMerge w:val="restart"/>
          </w:tcPr>
          <w:p>
            <w:pPr>
              <w:spacing w:after="0"/>
            </w:pPr>
            <w:r>
              <w:rPr>
                <w:sz w:val="22"/>
              </w:rPr>
              <w:t>6. Акустика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Тип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активная, 2 канала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Размещение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скрытая установка у панели отображения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7. ИБП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Время автономной работы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2"/>
              </w:rPr>
              <w:t>не менее 10 минут при нагрузке вычислительного блока и панели — для корректного завершения работы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>4. Требования к программному обеспечению</w:t>
      </w:r>
    </w:p>
    <w:p>
      <w:pPr>
        <w:pStyle w:val="Heading2"/>
      </w:pPr>
      <w:r>
        <w:rPr/>
        <w:t>4.1. Архитектура</w:t>
      </w:r>
    </w:p>
    <w:p>
      <w:pPr>
        <w:ind w:left="680" w:hanging="680"/>
        <w:jc w:val="both"/>
      </w:pPr>
      <w:r>
        <w:rPr>
          <w:b/>
        </w:rPr>
        <w:t>4.1.1</w:t>
      </w:r>
      <w:r>
        <w:t xml:space="preserve">  </w:t>
      </w:r>
      <w:r>
        <w:rPr/>
        <w:t>ПО работает автономно в локальной сети Комплекса, без подключения к сети Интернет.</w:t>
      </w:r>
    </w:p>
    <w:p>
      <w:pPr>
        <w:ind w:left="680" w:hanging="680"/>
        <w:jc w:val="both"/>
      </w:pPr>
      <w:r>
        <w:rPr>
          <w:b/>
        </w:rPr>
        <w:t>4.1.2</w:t>
      </w:r>
      <w:r>
        <w:t xml:space="preserve">  </w:t>
      </w:r>
      <w:r>
        <w:rPr/>
        <w:t>Вычислительный блок выводит изображение на панель отображения. Планшет — пульт управления. Обмен данными — по Wi-Fi в реальном времени.</w:t>
      </w:r>
    </w:p>
    <w:p>
      <w:pPr>
        <w:ind w:left="680" w:hanging="680"/>
        <w:jc w:val="both"/>
      </w:pPr>
      <w:r>
        <w:rPr>
          <w:b/>
        </w:rPr>
        <w:t>4.1.3</w:t>
      </w:r>
      <w:r>
        <w:t xml:space="preserve">  </w:t>
      </w:r>
      <w:r>
        <w:rPr/>
        <w:t>Задержка от действия на пульте до реакции на панели — не более 0,5 с.</w:t>
      </w:r>
    </w:p>
    <w:p>
      <w:pPr>
        <w:ind w:left="680" w:hanging="680"/>
        <w:jc w:val="both"/>
      </w:pPr>
      <w:r>
        <w:rPr>
          <w:b/>
        </w:rPr>
        <w:t>4.1.4</w:t>
      </w:r>
      <w:r>
        <w:t xml:space="preserve">  </w:t>
      </w:r>
      <w:r>
        <w:rPr/>
        <w:t>При потере связи пульт переподключается автоматически, игровой сеанс ставится на паузу и продолжается без потери состояния.</w:t>
      </w:r>
    </w:p>
    <w:p>
      <w:pPr>
        <w:ind w:left="680" w:hanging="680"/>
        <w:jc w:val="both"/>
      </w:pPr>
      <w:r>
        <w:rPr>
          <w:b/>
        </w:rPr>
        <w:t>4.1.5</w:t>
      </w:r>
      <w:r>
        <w:t xml:space="preserve">  </w:t>
      </w:r>
      <w:r>
        <w:rPr/>
        <w:t>После подачи питания Комплекс сам загружается в экран ожидания, без участия оператора.</w:t>
      </w:r>
    </w:p>
    <w:p>
      <w:pPr>
        <w:ind w:left="680" w:hanging="680"/>
        <w:jc w:val="both"/>
      </w:pPr>
      <w:r>
        <w:rPr>
          <w:b/>
        </w:rPr>
        <w:t>4.1.6</w:t>
      </w:r>
      <w:r>
        <w:t xml:space="preserve">  </w:t>
      </w:r>
      <w:r>
        <w:rPr/>
        <w:t>Игровая логика (вопросы, реплики, условия, параметры баланса) хранится в файлах данных, отдельно от программного кода, и редактируется без перекомпиляции.</w:t>
      </w:r>
    </w:p>
    <w:p>
      <w:pPr>
        <w:ind w:left="680" w:hanging="680"/>
        <w:jc w:val="both"/>
      </w:pPr>
      <w:r>
        <w:rPr>
          <w:b/>
        </w:rPr>
        <w:t>4.1.7</w:t>
      </w:r>
      <w:r>
        <w:t xml:space="preserve">  </w:t>
      </w:r>
      <w:r>
        <w:rPr/>
        <w:t>Непрерывная работа — не менее 8 часов без перезапуска, зависаний и деградации производительности.</w:t>
      </w:r>
    </w:p>
    <w:p>
      <w:pPr>
        <w:pStyle w:val="Heading2"/>
      </w:pPr>
      <w:r>
        <w:rPr/>
        <w:t>4.2. Режимы отображения</w:t>
      </w:r>
    </w:p>
    <w:p>
      <w:pPr>
        <w:ind w:left="680" w:hanging="680"/>
        <w:jc w:val="both"/>
      </w:pPr>
      <w:r>
        <w:rPr>
          <w:b/>
        </w:rPr>
        <w:t>4.2.1</w:t>
      </w:r>
      <w:r>
        <w:t xml:space="preserve">  </w:t>
      </w:r>
      <w:r>
        <w:rPr>
          <w:b/>
        </w:rPr>
        <w:t>«Стекло»</w:t>
      </w:r>
      <w:r>
        <w:rPr/>
        <w:t xml:space="preserve"> — изображение воспринимается как вид через окно в допросную: наложение бликов, отражений, неравномерности стекла. Интенсивность каждого эффекта регулируется.</w:t>
      </w:r>
    </w:p>
    <w:p>
      <w:pPr>
        <w:ind w:left="680" w:hanging="680"/>
        <w:jc w:val="both"/>
      </w:pPr>
      <w:r>
        <w:rPr>
          <w:b/>
        </w:rPr>
        <w:t>4.2.2</w:t>
      </w:r>
      <w:r>
        <w:t xml:space="preserve">  </w:t>
      </w:r>
      <w:r>
        <w:rPr>
          <w:b/>
        </w:rPr>
        <w:t>«Камера наблюдения»</w:t>
      </w:r>
      <w:r>
        <w:rPr/>
        <w:t xml:space="preserve"> — изображение воспринимается как трансляция с камеры видеонаблюдения: индикатор записи, номер камеры, дата и идущее время, индикатор уровня звука, цифровой шум, артефакты сжатия, кратковременные помехи.</w:t>
      </w:r>
    </w:p>
    <w:p>
      <w:pPr>
        <w:ind w:left="680" w:hanging="680"/>
        <w:jc w:val="both"/>
      </w:pPr>
      <w:r>
        <w:rPr>
          <w:b/>
        </w:rPr>
        <w:t>4.2.3</w:t>
      </w:r>
      <w:r>
        <w:t xml:space="preserve">  </w:t>
      </w:r>
      <w:r>
        <w:rPr/>
        <w:t>Режим переключается из меню администратора без перезапуска ПО.</w:t>
      </w:r>
    </w:p>
    <w:p>
      <w:pPr>
        <w:pStyle w:val="Heading2"/>
      </w:pPr>
      <w:r>
        <w:rPr/>
        <w:t>4.3. Игровая механика</w:t>
      </w:r>
    </w:p>
    <w:p>
      <w:pPr>
        <w:ind w:left="680" w:hanging="680"/>
        <w:jc w:val="both"/>
      </w:pPr>
      <w:r>
        <w:rPr>
          <w:b/>
        </w:rPr>
        <w:t>4.3.1</w:t>
      </w:r>
      <w:r>
        <w:t xml:space="preserve">  </w:t>
      </w:r>
      <w:r>
        <w:rPr/>
        <w:t>На каждом ходе участник выбирает на пульте тему вопроса и манеру поведения следователя (не менее 5 вариантов: давление, дружелюбие, поддержка, логические доводы, молчание) либо предъявляет улику.</w:t>
      </w:r>
    </w:p>
    <w:p>
      <w:pPr>
        <w:ind w:left="680" w:hanging="680"/>
        <w:jc w:val="both"/>
      </w:pPr>
      <w:r>
        <w:rPr>
          <w:b/>
        </w:rPr>
        <w:t>4.3.2</w:t>
      </w:r>
      <w:r>
        <w:t xml:space="preserve">  </w:t>
      </w:r>
      <w:r>
        <w:rPr/>
        <w:t>У персонажа-задержанного есть не менее 3 параметров эмоционального состояния (например, стресс, доверие, осознание). Каждый выбор участника меняет их по правилам, заданным в файлах данных.</w:t>
      </w:r>
    </w:p>
    <w:p>
      <w:pPr>
        <w:ind w:left="680" w:hanging="680"/>
        <w:jc w:val="both"/>
      </w:pPr>
      <w:r>
        <w:rPr>
          <w:b/>
        </w:rPr>
        <w:t>4.3.3</w:t>
      </w:r>
      <w:r>
        <w:t xml:space="preserve">  </w:t>
      </w:r>
      <w:r>
        <w:rPr/>
        <w:t>Реакция персонажа (ответ, правдивость, готовность давать показания) зависит от текущих значений параметров.</w:t>
      </w:r>
    </w:p>
    <w:p>
      <w:pPr>
        <w:ind w:left="680" w:hanging="680"/>
        <w:jc w:val="both"/>
      </w:pPr>
      <w:r>
        <w:rPr>
          <w:b/>
        </w:rPr>
        <w:t>4.3.4</w:t>
      </w:r>
      <w:r>
        <w:t xml:space="preserve">  </w:t>
      </w:r>
      <w:r>
        <w:rPr/>
        <w:t>Сведения (показания) открываются по условиям, зависящим от состояния персонажа и действий участника, а не от фиксированной последовательности. К каждой концовке уровня «отлично» и выше ведут не менее 2 различных путей прохождения.</w:t>
      </w:r>
    </w:p>
    <w:p>
      <w:pPr>
        <w:ind w:left="680" w:hanging="680"/>
        <w:jc w:val="both"/>
      </w:pPr>
      <w:r>
        <w:rPr>
          <w:b/>
        </w:rPr>
        <w:t>4.3.5</w:t>
      </w:r>
      <w:r>
        <w:t xml:space="preserve">  </w:t>
      </w:r>
      <w:r>
        <w:rPr/>
        <w:t>Полученные сведения отображаются на пульте сразу после получения, а в режиме «Камера наблюдения» — и на панели отображения.</w:t>
      </w:r>
    </w:p>
    <w:p>
      <w:pPr>
        <w:ind w:left="680" w:hanging="680"/>
        <w:jc w:val="both"/>
      </w:pPr>
      <w:r>
        <w:rPr>
          <w:b/>
        </w:rPr>
        <w:t>4.3.6</w:t>
      </w:r>
      <w:r>
        <w:t xml:space="preserve">  </w:t>
      </w:r>
      <w:r>
        <w:rPr/>
        <w:t>Предусмотрен режим смены участников: после заданного числа ходов управление передаётся следующему участнику с сохранением полученных сведений.</w:t>
      </w:r>
    </w:p>
    <w:p>
      <w:pPr>
        <w:ind w:left="680" w:hanging="680"/>
        <w:jc w:val="both"/>
      </w:pPr>
      <w:r>
        <w:rPr>
          <w:b/>
        </w:rPr>
        <w:t>4.3.7</w:t>
      </w:r>
      <w:r>
        <w:t xml:space="preserve">  </w:t>
      </w:r>
      <w:r>
        <w:rPr/>
        <w:t>Ход ограничен таймером. Если вариант не выбран, засчитывается действие «молчание».</w:t>
      </w:r>
    </w:p>
    <w:p>
      <w:pPr>
        <w:ind w:left="680" w:hanging="680"/>
        <w:jc w:val="both"/>
      </w:pPr>
      <w:r>
        <w:rPr>
          <w:b/>
        </w:rPr>
        <w:t>4.3.8</w:t>
      </w:r>
      <w:r>
        <w:t xml:space="preserve">  </w:t>
      </w:r>
      <w:r>
        <w:rPr/>
        <w:t>По завершении сценария на панели отображения выводится схема прохождения (древо развилок). Схема различает: пройденные в текущем сеансе узлы; узлы, открытые в предыдущих сеансах; неоткрытые узлы — те показываются без раскрытия содержания. Также выводится процент исследованности сценария.</w:t>
      </w:r>
    </w:p>
    <w:p>
      <w:pPr>
        <w:ind w:left="680" w:hanging="680"/>
        <w:jc w:val="both"/>
      </w:pPr>
      <w:r>
        <w:rPr>
          <w:b/>
        </w:rPr>
        <w:t>4.3.9</w:t>
      </w:r>
      <w:r>
        <w:t xml:space="preserve">  </w:t>
      </w:r>
      <w:r>
        <w:rPr/>
        <w:t>Данные об открытых узлах и статистике концовок накапливаются между сеансами и сбрасываются администратором.</w:t>
      </w:r>
    </w:p>
    <w:p>
      <w:pPr>
        <w:pStyle w:val="Heading2"/>
      </w:pPr>
      <w:r>
        <w:rPr/>
        <w:t>4.4. Меню администратора</w:t>
      </w:r>
    </w:p>
    <w:p>
      <w:pPr>
        <w:ind w:left="680" w:hanging="680"/>
        <w:jc w:val="both"/>
      </w:pPr>
      <w:r>
        <w:rPr>
          <w:b/>
        </w:rPr>
        <w:t>4.4.1</w:t>
      </w:r>
      <w:r>
        <w:t xml:space="preserve">  </w:t>
      </w:r>
      <w:r>
        <w:rPr/>
        <w:t>Доступ — с пульта по PIN-коду, через неочевидный для посетителей жест.</w:t>
      </w:r>
    </w:p>
    <w:p>
      <w:pPr>
        <w:ind w:left="680" w:hanging="680"/>
        <w:jc w:val="both"/>
      </w:pPr>
      <w:r>
        <w:rPr>
          <w:b/>
        </w:rPr>
        <w:t>4.4.2</w:t>
      </w:r>
      <w:r>
        <w:t xml:space="preserve">  </w:t>
      </w:r>
      <w:r>
        <w:rPr/>
        <w:t>Настройки: режим отображения; интенсивность эффектов; громкость; включение субтитров; число ходов на участника; число участников; длительность таймера хода; коэффициенты сложности; запуск отдельного сценария; сброс сеанса; сброс накопленной статистики.</w:t>
      </w:r>
    </w:p>
    <w:p>
      <w:pPr>
        <w:ind w:left="680" w:hanging="680"/>
        <w:jc w:val="both"/>
      </w:pPr>
      <w:r>
        <w:rPr>
          <w:b/>
        </w:rPr>
        <w:t>4.4.3</w:t>
      </w:r>
      <w:r>
        <w:t xml:space="preserve">  </w:t>
      </w:r>
      <w:r>
        <w:rPr/>
        <w:t>Журнал сеансов (дата, время, длительность, достигнутые концовки) с выгрузкой в формате CSV.</w:t>
      </w:r>
    </w:p>
    <w:p>
      <w:pPr>
        <w:pStyle w:val="Heading2"/>
      </w:pPr>
      <w:r>
        <w:rPr/>
        <w:t>4.5. Интерфейс</w:t>
      </w:r>
    </w:p>
    <w:p>
      <w:pPr>
        <w:ind w:left="680" w:hanging="680"/>
        <w:jc w:val="both"/>
      </w:pPr>
      <w:r>
        <w:rPr>
          <w:b/>
        </w:rPr>
        <w:t>4.5.1</w:t>
      </w:r>
      <w:r>
        <w:t xml:space="preserve">  </w:t>
      </w:r>
      <w:r>
        <w:rPr/>
        <w:t xml:space="preserve">Язык интерфейса и контента — </w:t>
      </w:r>
      <w:r>
        <w:rPr>
          <w:highlight w:val="yellow"/>
        </w:rPr>
        <w:t>русский / белорусский</w:t>
      </w:r>
      <w:r>
        <w:rPr/>
        <w:t>.</w:t>
      </w:r>
    </w:p>
    <w:p>
      <w:pPr>
        <w:ind w:left="680" w:hanging="680"/>
        <w:jc w:val="both"/>
      </w:pPr>
      <w:r>
        <w:rPr>
          <w:b/>
        </w:rPr>
        <w:t>4.5.2</w:t>
      </w:r>
      <w:r>
        <w:t xml:space="preserve">  </w:t>
      </w:r>
      <w:r>
        <w:rPr/>
        <w:t>Перед первым сеансом участникам выводится инструктаж (не более 30 с).</w:t>
      </w:r>
    </w:p>
    <w:p>
      <w:pPr>
        <w:ind w:left="680" w:hanging="680"/>
        <w:jc w:val="both"/>
      </w:pPr>
      <w:r>
        <w:rPr>
          <w:b/>
        </w:rPr>
        <w:t>4.5.3</w:t>
      </w:r>
      <w:r>
        <w:t xml:space="preserve">  </w:t>
      </w:r>
      <w:r>
        <w:rPr/>
        <w:t>Интерфейс пульта понятен участникам целевого возраста без помощи оператора. Подтверждается на испытаниях (п. 9.3).</w:t>
      </w:r>
    </w:p>
    <w:p>
      <w:pPr>
        <w:pStyle w:val="Heading1"/>
      </w:pPr>
      <w:r>
        <w:rPr/>
        <w:t>5. Требования к сценариям и аудиовизуальному контенту</w:t>
      </w:r>
    </w:p>
    <w:p>
      <w:pPr>
        <w:pStyle w:val="Heading2"/>
      </w:pPr>
      <w:r>
        <w:rPr/>
        <w:t>5.1. Сценарии</w:t>
      </w:r>
    </w:p>
    <w:p>
      <w:pPr>
        <w:ind w:left="680" w:hanging="680"/>
        <w:jc w:val="both"/>
      </w:pPr>
      <w:r>
        <w:rPr>
          <w:b/>
        </w:rPr>
        <w:t>5.1.1</w:t>
      </w:r>
      <w:r>
        <w:t xml:space="preserve">  </w:t>
      </w:r>
      <w:r>
        <w:rPr>
          <w:b/>
        </w:rPr>
        <w:t>Сценарий 1 (базовый уровень сложности):</w:t>
      </w:r>
      <w:r>
        <w:rPr/>
        <w:t xml:space="preserve"> допрос лица, задержанного при извлечении тайника с наркотическим средством для личного потребления.</w:t>
      </w:r>
    </w:p>
    <w:p>
      <w:pPr>
        <w:ind w:left="680" w:hanging="680"/>
        <w:jc w:val="both"/>
      </w:pPr>
      <w:r>
        <w:rPr>
          <w:b/>
        </w:rPr>
        <w:t>5.1.2</w:t>
      </w:r>
      <w:r>
        <w:t xml:space="preserve">  </w:t>
      </w:r>
      <w:r>
        <w:rPr>
          <w:b/>
        </w:rPr>
        <w:t>Сценарий 2 (повышенный уровень сложности):</w:t>
      </w:r>
      <w:r>
        <w:rPr/>
        <w:t xml:space="preserve"> допрос лица, задержанного при оборудовании тайников (закладчика).</w:t>
      </w:r>
    </w:p>
    <w:p>
      <w:pPr>
        <w:ind w:left="680" w:hanging="680"/>
        <w:jc w:val="both"/>
      </w:pPr>
      <w:r>
        <w:rPr>
          <w:b/>
        </w:rPr>
        <w:t>5.1.3</w:t>
      </w:r>
      <w:r>
        <w:t xml:space="preserve">  </w:t>
      </w:r>
      <w:r>
        <w:rPr/>
        <w:t>Сценарии связаны между собой: сведения, полученные в сценарии 1, используются как улики в сценарии 2.</w:t>
      </w:r>
    </w:p>
    <w:p>
      <w:pPr>
        <w:ind w:left="680" w:hanging="680"/>
        <w:jc w:val="both"/>
      </w:pPr>
      <w:r>
        <w:rPr>
          <w:b/>
        </w:rPr>
        <w:t>5.1.4</w:t>
      </w:r>
      <w:r>
        <w:t xml:space="preserve">  </w:t>
      </w:r>
      <w:r>
        <w:rPr/>
        <w:t>У каждого сценария не менее 4 концовок: «неудача», «удовлетворительно», «отлично», «превосходно».</w:t>
      </w:r>
    </w:p>
    <w:p>
      <w:pPr>
        <w:pStyle w:val="ListBullet"/>
      </w:pPr>
      <w:r>
        <w:rPr/>
        <w:t>Сценарий 1, «превосходно»: задержанный искренне раскаивается и добровольно просит о лечении.</w:t>
      </w:r>
    </w:p>
    <w:p>
      <w:pPr>
        <w:pStyle w:val="ListBullet"/>
      </w:pPr>
      <w:r>
        <w:rPr/>
        <w:t>Сценарий 2, «превосходно»: задержанный сообщает сведения об изготовителе наркотических средств, которые до этого скрывал.</w:t>
      </w:r>
    </w:p>
    <w:p>
      <w:pPr>
        <w:ind w:left="680" w:hanging="680"/>
        <w:jc w:val="both"/>
      </w:pPr>
      <w:r>
        <w:rPr>
          <w:b/>
        </w:rPr>
        <w:t>5.1.5</w:t>
      </w:r>
      <w:r>
        <w:t xml:space="preserve">  </w:t>
      </w:r>
      <w:r>
        <w:rPr/>
        <w:t>Общая длительность сеанса (инструктаж, два сценария, итоговая схема) при стандартных настройках — 10 ± 1 минута.</w:t>
      </w:r>
    </w:p>
    <w:p>
      <w:pPr>
        <w:ind w:left="680" w:hanging="680"/>
        <w:jc w:val="both"/>
      </w:pPr>
      <w:r>
        <w:rPr>
          <w:b/>
        </w:rPr>
        <w:t>5.1.6</w:t>
      </w:r>
      <w:r>
        <w:t xml:space="preserve">  </w:t>
      </w:r>
      <w:r>
        <w:rPr/>
        <w:t>Исполнитель разрабатывает сценарии и согласует их с Заказчиком до начала производства контента.</w:t>
      </w:r>
    </w:p>
    <w:p>
      <w:pPr>
        <w:pStyle w:val="Heading2"/>
      </w:pPr>
      <w:r>
        <w:rPr/>
        <w:t>5.2. Ограничения содержания</w:t>
      </w:r>
    </w:p>
    <w:p>
      <w:pPr>
        <w:ind w:left="680" w:hanging="680"/>
        <w:jc w:val="both"/>
      </w:pPr>
      <w:r>
        <w:rPr>
          <w:b/>
        </w:rPr>
        <w:t>5.2.1</w:t>
      </w:r>
      <w:r>
        <w:t xml:space="preserve">  </w:t>
      </w:r>
      <w:r>
        <w:rPr/>
        <w:t>Контент не содержит сведений о способах приобретения, изготовления, оплаты и распространения наркотических средств; реальных наименований интернет-ресурсов, сервисов, веществ; иной информации, распространение которой запрещено законодательством.</w:t>
      </w:r>
    </w:p>
    <w:p>
      <w:pPr>
        <w:ind w:left="680" w:hanging="680"/>
        <w:jc w:val="both"/>
      </w:pPr>
      <w:r>
        <w:rPr>
          <w:b/>
        </w:rPr>
        <w:t>5.2.2</w:t>
      </w:r>
      <w:r>
        <w:t xml:space="preserve">  </w:t>
      </w:r>
      <w:r>
        <w:rPr/>
        <w:t>Действия персонажа-следователя соответствуют закону. Угрозы насилием, физическое воздействие и унижение не изображаются.</w:t>
      </w:r>
    </w:p>
    <w:p>
      <w:pPr>
        <w:ind w:left="680" w:hanging="680"/>
        <w:jc w:val="both"/>
      </w:pPr>
      <w:r>
        <w:rPr>
          <w:b/>
        </w:rPr>
        <w:t>5.2.3</w:t>
      </w:r>
      <w:r>
        <w:t xml:space="preserve">  </w:t>
      </w:r>
      <w:r>
        <w:rPr/>
        <w:t>Сценарии проходят экспертизу у юриста (соответствие формулировок об ответственности действующему законодательству) и у специалиста в области профилактики зависимостей или детской психологии. Заключения передаются Заказчику.</w:t>
      </w:r>
    </w:p>
    <w:p>
      <w:pPr>
        <w:ind w:left="680" w:hanging="680"/>
        <w:jc w:val="both"/>
      </w:pPr>
      <w:r>
        <w:rPr>
          <w:b/>
        </w:rPr>
        <w:t>5.2.4</w:t>
      </w:r>
      <w:r>
        <w:t xml:space="preserve">  </w:t>
      </w:r>
      <w:r>
        <w:rPr/>
        <w:t xml:space="preserve">Контент соответствует требованиям законодательства о защите детей от информации, причиняющей вред их здоровью и развитию. Возрастная категория — </w:t>
      </w:r>
      <w:r>
        <w:rPr>
          <w:highlight w:val="yellow"/>
        </w:rPr>
        <w:t>__+</w:t>
      </w:r>
      <w:r>
        <w:rPr/>
        <w:t>.</w:t>
      </w:r>
    </w:p>
    <w:p>
      <w:pPr>
        <w:pStyle w:val="Heading2"/>
      </w:pPr>
      <w:r>
        <w:rPr/>
        <w:t>5.3. Способ визуализации персонажей</w:t>
      </w:r>
    </w:p>
    <w:p>
      <w:pPr>
        <w:ind w:left="680" w:hanging="680"/>
        <w:jc w:val="both"/>
      </w:pPr>
      <w:r>
        <w:rPr>
          <w:b/>
        </w:rPr>
        <w:t>5.3.1</w:t>
      </w:r>
      <w:r>
        <w:t xml:space="preserve">  </w:t>
      </w:r>
      <w:r>
        <w:rPr/>
        <w:t>Способ визуализации указывает участник в своём предложении: (а) трёхмерная компьютерная графика либо (б) видеосъёмка актёров. Выбранный способ фиксируется в договоре. Программная часть в обоих случаях соответствует разделу 4.</w:t>
      </w:r>
    </w:p>
    <w:p>
      <w:pPr>
        <w:ind w:left="680" w:hanging="680"/>
        <w:jc w:val="both"/>
      </w:pPr>
      <w:r>
        <w:rPr>
          <w:b/>
        </w:rPr>
        <w:t>5.3.2</w:t>
      </w:r>
      <w:r>
        <w:t xml:space="preserve">  </w:t>
      </w:r>
      <w:r>
        <w:rPr/>
        <w:t>Общие требования к результату для любого способа:</w:t>
      </w:r>
    </w:p>
    <w:p>
      <w:pPr>
        <w:pStyle w:val="ListBullet"/>
      </w:pPr>
      <w:r>
        <w:rPr/>
        <w:t>реалистичное изображение персонажей с выраженной мимикой, соответствующей эмоциональному состоянию;</w:t>
      </w:r>
    </w:p>
    <w:p>
      <w:pPr>
        <w:pStyle w:val="ListBullet"/>
      </w:pPr>
      <w:r>
        <w:rPr/>
        <w:t>не менее 4 состояний покоя (idle) на персонажа, соответствующих уровням эмоционального состояния;</w:t>
      </w:r>
    </w:p>
    <w:p>
      <w:pPr>
        <w:pStyle w:val="ListBullet"/>
      </w:pPr>
      <w:r>
        <w:rPr/>
        <w:t>переходы между фрагментами без видимых склеек, чёрных кадров и рывков;</w:t>
      </w:r>
    </w:p>
    <w:p>
      <w:pPr>
        <w:pStyle w:val="ListBullet"/>
      </w:pPr>
      <w:r>
        <w:rPr/>
        <w:t>разрешение итогового изображения не менее 1920×1080, частота не менее 25 кадров/с;</w:t>
      </w:r>
    </w:p>
    <w:p>
      <w:pPr>
        <w:pStyle w:val="ListBullet"/>
      </w:pPr>
      <w:r>
        <w:rPr/>
        <w:t>речь персонажей синхронна с артикуляцией.</w:t>
      </w:r>
    </w:p>
    <w:p>
      <w:pPr>
        <w:ind w:left="680" w:hanging="680"/>
        <w:jc w:val="both"/>
      </w:pPr>
      <w:r>
        <w:rPr>
          <w:b/>
        </w:rPr>
        <w:t>5.3.3</w:t>
      </w:r>
      <w:r>
        <w:t xml:space="preserve">  </w:t>
      </w:r>
      <w:r>
        <w:rPr/>
        <w:t>При способе (а): озвучивание выполняют профессиональные актёры озвучивания. Синтез речи не допускается.</w:t>
      </w:r>
    </w:p>
    <w:p>
      <w:pPr>
        <w:ind w:left="680" w:hanging="680"/>
        <w:jc w:val="both"/>
      </w:pPr>
      <w:r>
        <w:rPr>
          <w:b/>
        </w:rPr>
        <w:t>5.3.4</w:t>
      </w:r>
      <w:r>
        <w:t xml:space="preserve">  </w:t>
      </w:r>
      <w:r>
        <w:rPr/>
        <w:t>При способе (б):</w:t>
      </w:r>
    </w:p>
    <w:p>
      <w:pPr>
        <w:pStyle w:val="ListBullet"/>
      </w:pPr>
      <w:r>
        <w:rPr/>
        <w:t>роли исполняют профессиональные актёры — с профессиональным образованием в области актёрского искусства или подтверждённым опытом работы в театре, кино или на телевидении — с профессиональной постановкой речи;</w:t>
      </w:r>
    </w:p>
    <w:p>
      <w:pPr>
        <w:pStyle w:val="ListBullet"/>
      </w:pPr>
      <w:r>
        <w:rPr/>
        <w:t>съёмка ведётся в студии или павильоне с декорацией допросной; в составе группы есть режиссёр-постановщик, оператор, звукорежиссёр и гримёр;</w:t>
      </w:r>
    </w:p>
    <w:p>
      <w:pPr>
        <w:pStyle w:val="ListBullet"/>
      </w:pPr>
      <w:r>
        <w:rPr/>
        <w:t>с исполнителями заключены договоры, предусматривающие оплату и согласие на использование изображения и голоса в составе Комплекса без ограничения срока.</w:t>
      </w:r>
    </w:p>
    <w:p>
      <w:pPr>
        <w:ind w:left="680" w:hanging="680"/>
        <w:jc w:val="both"/>
      </w:pPr>
      <w:r>
        <w:rPr>
          <w:b/>
        </w:rPr>
        <w:t>5.3.5</w:t>
      </w:r>
      <w:r>
        <w:t xml:space="preserve">  </w:t>
      </w:r>
      <w:r>
        <w:rPr/>
        <w:t>Перед началом производства Исполнитель представляет на согласование кастинг (пробы) или 3D-модели персонажей.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2CC"/>
          </w:tcPr>
          <w:p>
            <w:r>
              <w:rPr>
                <w:b/>
                <w:sz w:val="21"/>
              </w:rPr>
              <w:t>Требования к актёрам.</w:t>
            </w:r>
            <w:r>
              <w:rPr>
                <w:sz w:val="21"/>
              </w:rPr>
              <w:t xml:space="preserve"> Требования к квалификации исполнителей и составу съёмочной группы могут быть оспорены как ограничивающие конкуренцию. Безопаснее сформулировать их как требования к результату и оформлять их приёмку по пробам (п. 5.3.5) с правом Заказчика отклонить. Требование «достойной оплаты» в госзакупке проверить нельзя. Его заменяет обязательное наличие договоров с исполнителями (п. 5.3.4), которые подтверждают передачу прав. Формулировку утверждает юрист.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>6. Права на результаты</w:t>
      </w:r>
    </w:p>
    <w:p>
      <w:pPr>
        <w:ind w:left="680" w:hanging="680"/>
        <w:jc w:val="both"/>
      </w:pPr>
      <w:r>
        <w:rPr>
          <w:b/>
        </w:rPr>
        <w:t>6.1</w:t>
      </w:r>
      <w:r>
        <w:t xml:space="preserve">  </w:t>
      </w:r>
      <w:r>
        <w:rPr/>
        <w:t xml:space="preserve">К Заказчику переходят исключительные права на ПО, сценарии, аудиовизуальный контент, графические материалы и файлы данных — либо предоставляется бессрочная неисключительная лицензия на территории </w:t>
      </w:r>
      <w:r>
        <w:rPr>
          <w:highlight w:val="yellow"/>
        </w:rPr>
        <w:t>страна</w:t>
      </w:r>
      <w:r>
        <w:rPr/>
        <w:t xml:space="preserve"> без ограничения числа инсталляций на объектах Заказчика (</w:t>
      </w:r>
      <w:r>
        <w:rPr>
          <w:highlight w:val="yellow"/>
        </w:rPr>
        <w:t>выбрать</w:t>
      </w:r>
      <w:r>
        <w:rPr/>
        <w:t>).</w:t>
      </w:r>
    </w:p>
    <w:p>
      <w:pPr>
        <w:ind w:left="680" w:hanging="680"/>
        <w:jc w:val="both"/>
      </w:pPr>
      <w:r>
        <w:rPr>
          <w:b/>
        </w:rPr>
        <w:t>6.2</w:t>
      </w:r>
      <w:r>
        <w:t xml:space="preserve">  </w:t>
      </w:r>
      <w:r>
        <w:rPr/>
        <w:t>Исполнитель передаёт: исходный код ПО, проект в формате используемого движка, исходные видеофайлы/3D-сцены в максимальном качестве, файлы данных сценариев, тексты сценариев.</w:t>
      </w:r>
    </w:p>
    <w:p>
      <w:pPr>
        <w:ind w:left="680" w:hanging="680"/>
        <w:jc w:val="both"/>
      </w:pPr>
      <w:r>
        <w:rPr>
          <w:b/>
        </w:rPr>
        <w:t>6.3</w:t>
      </w:r>
      <w:r>
        <w:t xml:space="preserve">  </w:t>
      </w:r>
      <w:r>
        <w:rPr/>
        <w:t>Исполнитель подтверждает наличие прав на все использованные сторонние компоненты (шрифты, звуки, библиотеки, 3D-модели), а также согласия лиц, чьё изображение и голос использованы.</w:t>
      </w:r>
    </w:p>
    <w:p>
      <w:pPr>
        <w:pStyle w:val="Heading1"/>
      </w:pPr>
      <w:r>
        <w:rPr/>
        <w:t>7. Монтаж, пусконаладка, обучение</w:t>
      </w:r>
    </w:p>
    <w:p>
      <w:pPr>
        <w:ind w:left="680" w:hanging="680"/>
        <w:jc w:val="both"/>
      </w:pPr>
      <w:r>
        <w:rPr>
          <w:b/>
        </w:rPr>
        <w:t>7.1</w:t>
      </w:r>
      <w:r>
        <w:t xml:space="preserve">  </w:t>
      </w:r>
      <w:r>
        <w:rPr>
          <w:b/>
        </w:rPr>
        <w:t>Вариант размещения:</w:t>
      </w:r>
      <w:r>
        <w:rPr/>
        <w:t xml:space="preserve"> </w:t>
      </w:r>
      <w:r>
        <w:rPr>
          <w:highlight w:val="yellow"/>
        </w:rPr>
        <w:t>«окно» — встройка в стену / «пост наблюдения» — на столе</w:t>
      </w:r>
      <w:r>
        <w:rPr/>
        <w:t>.</w:t>
      </w:r>
    </w:p>
    <w:p>
      <w:pPr>
        <w:ind w:left="680" w:hanging="680"/>
        <w:jc w:val="both"/>
      </w:pPr>
      <w:r>
        <w:rPr>
          <w:b/>
        </w:rPr>
        <w:t>7.2</w:t>
      </w:r>
      <w:r>
        <w:t xml:space="preserve">  </w:t>
      </w:r>
      <w:r>
        <w:rPr/>
        <w:t>При встройке в стену панель монтируется заподлицо с отделкой (панели ПВХ с декоративным покрытием); виден только активный экран. Ниша обеспечивает вентиляцию в соответствии с требованиями производителя панели и сервисный доступ без демонтажа отделки.</w:t>
      </w:r>
    </w:p>
    <w:p>
      <w:pPr>
        <w:ind w:left="680" w:hanging="680"/>
        <w:jc w:val="both"/>
      </w:pPr>
      <w:r>
        <w:rPr>
          <w:b/>
        </w:rPr>
        <w:t>7.3</w:t>
      </w:r>
      <w:r>
        <w:t xml:space="preserve">  </w:t>
      </w:r>
      <w:r>
        <w:rPr/>
        <w:t>Вычислительный блок, маршрутизатор и ИБП размещаются скрыто, с вентиляцией и сервисным доступом.</w:t>
      </w:r>
    </w:p>
    <w:p>
      <w:pPr>
        <w:ind w:left="680" w:hanging="680"/>
        <w:jc w:val="both"/>
      </w:pPr>
      <w:r>
        <w:rPr>
          <w:b/>
        </w:rPr>
        <w:t>7.4</w:t>
      </w:r>
      <w:r>
        <w:t xml:space="preserve">  </w:t>
      </w:r>
      <w:r>
        <w:rPr/>
        <w:t>Кабельные линии прокладываются скрыто.</w:t>
      </w:r>
    </w:p>
    <w:p>
      <w:pPr>
        <w:ind w:left="680" w:hanging="680"/>
        <w:jc w:val="both"/>
      </w:pPr>
      <w:r>
        <w:rPr>
          <w:b/>
        </w:rPr>
        <w:t>7.5</w:t>
      </w:r>
      <w:r>
        <w:t xml:space="preserve">  </w:t>
      </w:r>
      <w:r>
        <w:rPr/>
        <w:t>Пусконаладка включает калибровку яркости и звука под освещение помещения.</w:t>
      </w:r>
    </w:p>
    <w:p>
      <w:pPr>
        <w:ind w:left="680" w:hanging="680"/>
        <w:jc w:val="both"/>
      </w:pPr>
      <w:r>
        <w:rPr>
          <w:b/>
        </w:rPr>
        <w:t>7.6</w:t>
      </w:r>
      <w:r>
        <w:t xml:space="preserve">  </w:t>
      </w:r>
      <w:r>
        <w:rPr/>
        <w:t xml:space="preserve">Обучение: не менее </w:t>
      </w:r>
      <w:r>
        <w:rPr>
          <w:highlight w:val="yellow"/>
        </w:rPr>
        <w:t>2</w:t>
      </w:r>
      <w:r>
        <w:rPr/>
        <w:t xml:space="preserve"> сотрудников Заказчика, не менее 2 академических часов. Содержание: включение и выключение, меню администратора, сброс, базовая диагностика.</w:t>
      </w:r>
    </w:p>
    <w:p>
      <w:pPr>
        <w:pStyle w:val="Heading1"/>
      </w:pPr>
      <w:r>
        <w:rPr/>
        <w:t>8. Документация</w:t>
      </w:r>
    </w:p>
    <w:p>
      <w:pPr>
        <w:pStyle w:val="ListBullet"/>
      </w:pPr>
      <w:r>
        <w:rPr/>
        <w:t>руководство администратора;</w:t>
      </w:r>
    </w:p>
    <w:p>
      <w:pPr>
        <w:pStyle w:val="ListBullet"/>
      </w:pPr>
      <w:r>
        <w:rPr/>
        <w:t>краткая инструкция оператора (1 лист, на русском языке);</w:t>
      </w:r>
    </w:p>
    <w:p>
      <w:pPr>
        <w:pStyle w:val="ListBullet"/>
      </w:pPr>
      <w:r>
        <w:rPr/>
        <w:t>описание структуры файлов данных и порядка редактирования сценариев;</w:t>
      </w:r>
    </w:p>
    <w:p>
      <w:pPr>
        <w:pStyle w:val="ListBullet"/>
      </w:pPr>
      <w:r>
        <w:rPr/>
        <w:t>схема подключений;</w:t>
      </w:r>
    </w:p>
    <w:p>
      <w:pPr>
        <w:pStyle w:val="ListBullet"/>
      </w:pPr>
      <w:r>
        <w:rPr/>
        <w:t>паспорта и гарантийные талоны на оборудование;</w:t>
      </w:r>
    </w:p>
    <w:p>
      <w:pPr>
        <w:pStyle w:val="ListBullet"/>
      </w:pPr>
      <w:r>
        <w:rPr/>
        <w:t>экспертные заключения по п. 5.2.3.</w:t>
      </w:r>
    </w:p>
    <w:p>
      <w:pPr>
        <w:pStyle w:val="Heading1"/>
      </w:pPr>
      <w:r>
        <w:rPr/>
        <w:t>9. Этапы, сроки, приёмка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type="dxa" w:w="2339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Содержание</w:t>
            </w:r>
          </w:p>
        </w:tc>
        <w:tc>
          <w:tcPr>
            <w:tcW w:type="dxa" w:w="2339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type="dxa" w:w="2339"/>
            <w:shd w:val="clear" w:color="auto" w:fill="D9D9D9"/>
          </w:tcPr>
          <w:p>
            <w:pPr>
              <w:spacing w:after="0"/>
            </w:pPr>
            <w:r>
              <w:rPr>
                <w:b/>
                <w:sz w:val="22"/>
              </w:rPr>
              <w:t>Срок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Разработка сценариев и игровой механики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Согласованные сценарии, таблица баланса, экспертные заключения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  <w:highlight w:val="yellow"/>
              </w:rPr>
              <w:t>__</w:t>
            </w:r>
            <w:r>
              <w:rPr>
                <w:sz w:val="22"/>
              </w:rPr>
              <w:t xml:space="preserve"> дн.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Прототип ПО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Работающий прототип с упрощёнными материалами, демонстрация Заказчику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  <w:highlight w:val="yellow"/>
              </w:rPr>
              <w:t>__</w:t>
            </w:r>
            <w:r>
              <w:rPr>
                <w:sz w:val="22"/>
              </w:rPr>
              <w:t xml:space="preserve"> дн.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Производство контента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Согласованные пробы/модели (п. 5.3.5), готовый контент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  <w:highlight w:val="yellow"/>
              </w:rPr>
              <w:t>__</w:t>
            </w:r>
            <w:r>
              <w:rPr>
                <w:sz w:val="22"/>
              </w:rPr>
              <w:t xml:space="preserve"> дн.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Поставка, монтаж, пусконаладка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Смонтированный и работающий Комплекс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  <w:highlight w:val="yellow"/>
              </w:rPr>
              <w:t>__</w:t>
            </w:r>
            <w:r>
              <w:rPr>
                <w:sz w:val="22"/>
              </w:rPr>
              <w:t xml:space="preserve"> дн.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Испытания и обучение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sz w:val="22"/>
              </w:rPr>
              <w:t>Протокол испытаний, акт обучения, акт приёмки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>
              <w:rPr>
                <w:sz w:val="22"/>
                <w:highlight w:val="yellow"/>
              </w:rPr>
              <w:t>__</w:t>
            </w:r>
            <w:r>
              <w:rPr>
                <w:sz w:val="22"/>
              </w:rPr>
              <w:t xml:space="preserve"> дн.</w:t>
            </w:r>
          </w:p>
        </w:tc>
      </w:tr>
    </w:tbl>
    <w:p>
      <w:pPr>
        <w:spacing w:after="0"/>
      </w:pPr>
    </w:p>
    <w:p>
      <w:pPr>
        <w:ind w:left="680" w:hanging="680"/>
        <w:jc w:val="both"/>
      </w:pPr>
      <w:r>
        <w:rPr>
          <w:b/>
        </w:rPr>
        <w:t>9.1</w:t>
      </w:r>
      <w:r>
        <w:t xml:space="preserve">  </w:t>
      </w:r>
      <w:r>
        <w:rPr/>
        <w:t xml:space="preserve">Каждый этап завершается актом сдачи-приёмки. Заказчик рассматривает результат в течение </w:t>
      </w:r>
      <w:r>
        <w:rPr>
          <w:highlight w:val="yellow"/>
        </w:rPr>
        <w:t>5</w:t>
      </w:r>
      <w:r>
        <w:rPr/>
        <w:t xml:space="preserve"> рабочих дней.</w:t>
      </w:r>
    </w:p>
    <w:p>
      <w:pPr>
        <w:ind w:left="680" w:hanging="680"/>
        <w:jc w:val="both"/>
      </w:pPr>
      <w:r>
        <w:rPr>
          <w:b/>
        </w:rPr>
        <w:t>9.2</w:t>
      </w:r>
      <w:r>
        <w:t xml:space="preserve">  </w:t>
      </w:r>
      <w:r>
        <w:rPr/>
        <w:t>Приёмочные испытания проводятся по программе, которую Исполнитель составляет и согласует с Заказчиком. Проверяется выполнение пп. 4.1.3–4.1.5, 4.1.7, 4.2, 4.3, 4.4, 5.1.5.</w:t>
      </w:r>
    </w:p>
    <w:p>
      <w:pPr>
        <w:ind w:left="680" w:hanging="680"/>
        <w:jc w:val="both"/>
      </w:pPr>
      <w:r>
        <w:rPr>
          <w:b/>
        </w:rPr>
        <w:t>9.3</w:t>
      </w:r>
      <w:r>
        <w:t xml:space="preserve">  </w:t>
      </w:r>
      <w:r>
        <w:rPr/>
        <w:t>В испытаниях участвуют не менее 3 групп представителей целевой аудитории. Комплекс принимается, если все группы прошли сеанс без помощи оператора.</w:t>
      </w:r>
    </w:p>
    <w:p>
      <w:pPr>
        <w:pStyle w:val="Heading1"/>
      </w:pPr>
      <w:r>
        <w:rPr/>
        <w:t>10. Гарантия и сопровождение</w:t>
      </w:r>
    </w:p>
    <w:p>
      <w:pPr>
        <w:ind w:left="680" w:hanging="680"/>
        <w:jc w:val="both"/>
      </w:pPr>
      <w:r>
        <w:rPr>
          <w:b/>
        </w:rPr>
        <w:t>10.1</w:t>
      </w:r>
      <w:r>
        <w:t xml:space="preserve">  </w:t>
      </w:r>
      <w:r>
        <w:rPr/>
        <w:t>Гарантия на оборудование — не менее срока гарантии производителя, но не менее 12 месяцев с даты подписания акта приёмки.</w:t>
      </w:r>
    </w:p>
    <w:p>
      <w:pPr>
        <w:ind w:left="680" w:hanging="680"/>
        <w:jc w:val="both"/>
      </w:pPr>
      <w:r>
        <w:rPr>
          <w:b/>
        </w:rPr>
        <w:t>10.2</w:t>
      </w:r>
      <w:r>
        <w:t xml:space="preserve">  </w:t>
      </w:r>
      <w:r>
        <w:rPr/>
        <w:t>Гарантия на ПО и контент — не менее 12 месяцев: устранение ошибок без дополнительной оплаты.</w:t>
      </w:r>
    </w:p>
    <w:p>
      <w:pPr>
        <w:ind w:left="680" w:hanging="680"/>
        <w:jc w:val="both"/>
      </w:pPr>
      <w:r>
        <w:rPr>
          <w:b/>
        </w:rPr>
        <w:t>10.3</w:t>
      </w:r>
      <w:r>
        <w:t xml:space="preserve">  </w:t>
      </w:r>
      <w:r>
        <w:rPr/>
        <w:t>Время реакции на обращение — не более 1 рабочего дня. Срок восстановления работоспособности — не более 5 рабочих дней.</w:t>
      </w:r>
    </w:p>
    <w:p>
      <w:pPr>
        <w:ind w:left="680" w:hanging="680"/>
        <w:jc w:val="both"/>
      </w:pPr>
      <w:r>
        <w:rPr>
          <w:b/>
        </w:rPr>
        <w:t>10.4</w:t>
      </w:r>
      <w:r>
        <w:t xml:space="preserve">  </w:t>
      </w:r>
      <w:r>
        <w:rPr/>
        <w:t>Исполнитель передаёт Заказчику резервную копию ПО и контента на внешнем носителе с инструкцией по восстановлению.</w:t>
      </w:r>
    </w:p>
    <w:p>
      <w:pPr>
        <w:jc w:val="both"/>
      </w:pPr>
      <w:r>
        <w:rPr>
          <w:sz w:val="20"/>
        </w:rPr>
        <w:t>Составлено на основе концепции «ТЗ „Допрос“, черновик v0.1». Числовые характеристики оборудования — рекомендуемые минимальные значения; перед публикацией их нужно сверить с актуальными предложениями рынка (мониторинг цен по ≥ 3 коммерческим предложениям).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