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4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Калькулятор: целевой UX-контракт</w:t>
      </w:r>
    </w:p>
    <w:p>
      <w:r>
        <w:t>Три шага · выбор решения · комнаты · LED-зоны · корректные роли оборудования</w:t>
      </w:r>
    </w:p>
    <w:p>
      <w:r>
        <w:t>67 зафиксированных состояний браузера, исходный flow и данные каталога. Адресные исправления ролей и снятие артикула отделены от будущего изменения UX/BOM. Ставки не переписаны; конверсия реальных лидов не измерялась.</w:t>
      </w:r>
    </w:p>
    <w:p>
      <w:r>
        <w:br w:type="page"/>
      </w:r>
    </w:p>
    <w:p>
      <w:pPr>
        <w:pStyle w:val="Heading1"/>
      </w:pPr>
      <w:r>
        <w:t>ПОТОЛКОВО · ТЗ на понятный трёхшаговый калькулятор</w:t>
      </w:r>
    </w:p>
    <w:p>
      <w:r>
        <w:t>15.10.2026 · основание: CALCULATOR-AUDIT.md (CALCULATOR-AUDIT.md), CATALOG-LED-TZ.md (CATALOG-LED-TZ.md). Это актуальное уточнение T8-011/013/015/016/017/018/019/020/021/025/026/027/030 и PT-024/030…049; номера PT сохраняются.</w:t>
      </w:r>
    </w:p>
    <w:p>
      <w:r>
        <w:t>Статус: целевой UX-контракт. В текущем проходе выполнены только адресная классификация оборудования, единые счётчики и снятие 0У-00001341; новый flow/LED-BOM описан ниже, не объявлен готовым. Только preview, выпуск в main — отдельно.</w:t>
      </w:r>
    </w:p>
    <w:p>
      <w:pPr>
        <w:pStyle w:val="Heading2"/>
      </w:pPr>
      <w:r>
        <w:t>1. Общий принцип</w:t>
      </w:r>
    </w:p>
    <w:p>
      <w:r>
        <w:t>Три крупных этапа сохраняются:</w:t>
      </w:r>
    </w:p>
    <w:p>
      <w:r>
        <w:t>1. Помещения и потолок — площадь, внешний вид и нужные монтажные/световые функции.</w:t>
      </w:r>
    </w:p>
    <w:p>
      <w:r>
        <w:t>2. Свет и управление — комплектование по помещениям/зонам, на основе данных первого этапа.</w:t>
      </w:r>
    </w:p>
    <w:p>
      <w:r>
        <w:t>3. Смета и заявка — понятный состав, объяснённый итог, открытые вопросы и связь с компанией.</w:t>
      </w:r>
    </w:p>
    <w:p>
      <w:r>
        <w:t>Технический FSM может сохранять совместимость со старыми шагами 0/1/2. Пользовательская терминология не обязана повторять названия reducer/screens. Не создавать второй расчётный движок в UI.</w:t>
      </w:r>
    </w:p>
    <w:p>
      <w:r>
        <w:t>Три независимые оси: calculationScope (по помещениям / укрупнённо), ceilingFeatures (примыкание, линии, карниз, трек), lightingCapabilities (яркость, температура, цвет, управление). Старый scenario не должен скрывать покупателю нужные функции по принципу «для простого потолка умный свет недоступен».</w:t>
      </w:r>
    </w:p>
    <w:p>
      <w:pPr>
        <w:pStyle w:val="Heading2"/>
      </w:pPr>
      <w:r>
        <w:t>2. Выбор решения вместо старого обязательного ScenarioScreen</w:t>
      </w:r>
    </w:p>
    <w:p>
      <w:r>
        <w:t>Не возвращать обязательные «Стандартный / Современный / Продвинутый». Вернуть их полезную часть — понятный выбор результата внутри первого этапа:</w:t>
      </w:r>
    </w:p>
    <w:p>
      <w:pPr>
        <w:pStyle w:val="ListBullet"/>
      </w:pPr>
      <w:r>
        <w:t>простой потолок / теневое примыкание / парящий контур;</w:t>
      </w:r>
    </w:p>
    <w:p>
      <w:pPr>
        <w:pStyle w:val="ListBullet"/>
      </w:pPr>
      <w:r>
        <w:t>независимые опции: световые линии, карниз/подсветка, трек;</w:t>
      </w:r>
    </w:p>
    <w:p>
      <w:pPr>
        <w:pStyle w:val="ListBullet"/>
      </w:pPr>
      <w:r>
        <w:t>«Не знаю — нужен ориентир/подбор» без фиктивно выбранных дорогих позиций.</w:t>
      </w:r>
    </w:p>
    <w:p>
      <w:r>
        <w:t>Предпочтительное место: экран решения после площади, а не ещё одна обязательная вводная анкета. Все основные варианты видны, не спрятаны за кнопкой про другой feature. Если услуга/кейс уже определили решение, показать выбранное и происхождение; разрешить изменить, не требовать повторного выбора.</w:t>
      </w:r>
    </w:p>
    <w:p>
      <w:r>
        <w:t>Выбор результата не равен выбору ценового уровня и не гарантирует комплект управления. Парящий + теневой на разных участках допускаются с раздельным метражом. Простой потолок со световыми линиями/умным светом не запрещается. Смена внешнего решения не обнуляет ручные параметры других независимых функций.</w:t>
      </w:r>
    </w:p>
    <w:p>
      <w:r>
        <w:t>Старые scenario значения мигрировать через совместимый adapter и feature flags, не сломав presets, старые drafts, аналитику и оба пути заказа. Схемы/фото из PT-038…049 остаются отдельными визуальными требованиями; AI не подменяет реальные объекты или технические чертежи.</w:t>
      </w:r>
    </w:p>
    <w:p>
      <w:pPr>
        <w:pStyle w:val="Heading2"/>
      </w:pPr>
      <w:r>
        <w:t>3. Комнаты: один понятный объект работы</w:t>
      </w:r>
    </w:p>
    <w:p>
      <w:pPr>
        <w:pStyle w:val="Heading3"/>
      </w:pPr>
      <w:r>
        <w:t>Быстрый старт</w:t>
      </w:r>
    </w:p>
    <w:p>
      <w:r>
        <w:t>На первом экране: «По помещениям — точнее» / «По общей площади — ориентир». Первая комната создаётся автоматически, площадь доступна сразу. Название необязательно: «Комната 1», с быстрым выбором Кухня/Спальня/… или переименованием. Не заставлять печатать название до расчёта.</w:t>
      </w:r>
    </w:p>
    <w:p>
      <w:r>
        <w:t>В режиме общей площади писать «Укрупнённая оценка объекта», не выдавать её за поэлементный замер всех комнат. Переход в комнаты — явное действие с объяснением конвертации. Не затирать существующие комнаты без подтверждения.</w:t>
      </w:r>
    </w:p>
    <w:p>
      <w:pPr>
        <w:pStyle w:val="Heading3"/>
      </w:pPr>
      <w:r>
        <w:t>Постоянный контекст</w:t>
      </w:r>
    </w:p>
    <w:p>
      <w:r>
        <w:t>В каждом вопросе первого этапа видимы активная комната и её статус. Например: «Кухня · помещение 1 из 2», ниже «Карниз». В компактном переключателе: Кухня ✓ / Спальня · заполнение / + помещение.</w:t>
      </w:r>
    </w:p>
    <w:p>
      <w:r>
        <w:t>Хранить стабильный roomId независимо от имени, очередности и повторяющихся названий. Состояния комнаты: not_started / in_progress / geometry_complete / needs_review. Наличие старого snapshot не считается фактом нового подтверждения.</w:t>
      </w:r>
    </w:p>
    <w:p>
      <w:pPr>
        <w:pStyle w:val="Heading3"/>
      </w:pPr>
      <w:r>
        <w:t>Редактирование</w:t>
      </w:r>
    </w:p>
    <w:p>
      <w:pPr>
        <w:pStyle w:val="ListBullet"/>
      </w:pPr>
      <w:r>
        <w:t>Из карточки комнаты пользователь открывает конкретный параметр.</w:t>
      </w:r>
    </w:p>
    <w:p>
      <w:pPr>
        <w:pStyle w:val="ListBullet"/>
      </w:pPr>
      <w:r>
        <w:t>«Сохранить» возвращает к карточке/сводке, откуда начато редактирование; «Отмена» не применяет черновые изменения.</w:t>
      </w:r>
    </w:p>
    <w:p>
      <w:pPr>
        <w:pStyle w:val="ListBullet"/>
      </w:pPr>
      <w:r>
        <w:t>Повторно спрашивать только зависимые данные. Изменение площади не требует повторного ответа о неизменившейся люстре.</w:t>
      </w:r>
    </w:p>
    <w:p>
      <w:pPr>
        <w:pStyle w:val="ListBullet"/>
      </w:pPr>
      <w:r>
        <w:t>При изменении длины/числа рядов инвалидировать соответствующий LED-подбор и quote; не удалять выбор управления или чужой комнаты без причины.</w:t>
      </w:r>
    </w:p>
    <w:p>
      <w:pPr>
        <w:pStyle w:val="ListBullet"/>
      </w:pPr>
      <w:r>
        <w:t>Название сохраняется предсказуемо при Enter/blur/действии сохранения; данные не теряются при переходе через футер.</w:t>
      </w:r>
    </w:p>
    <w:p>
      <w:pPr>
        <w:pStyle w:val="Heading3"/>
      </w:pPr>
      <w:r>
        <w:t>Удаление</w:t>
      </w:r>
    </w:p>
    <w:p>
      <w:r>
        <w:t>Показать, что именно удаляется: комната, её геометрия и привязанные зоны. Подтверждение или полноценное Undo. Для общих компонентов/общей корзины предложить перераспределение, а не удалить весь комплект молча. После удаления последней комнаты — «Добавьте помещение» либо переход к equipment-only по выбору, не валидная смета с нулём комнат.</w:t>
      </w:r>
    </w:p>
    <w:p>
      <w:pPr>
        <w:pStyle w:val="Heading2"/>
      </w:pPr>
      <w:r>
        <w:t>4. Прогресс и действия</w:t>
      </w:r>
    </w:p>
    <w:p>
      <w:pPr>
        <w:pStyle w:val="ListBullet"/>
      </w:pPr>
      <w:r>
        <w:t>Общий индикатор показывает три этапа; для equipment-only потолок обозначен «не требуется». Не заставлять проходить ненужные шаги ради отметок.</w:t>
      </w:r>
    </w:p>
    <w:p>
      <w:pPr>
        <w:pStyle w:val="ListBullet"/>
      </w:pPr>
      <w:r>
        <w:t>Счётчик вопросов относится только к активной комнате и реально релевантным параметрам. Скрытый ScenarioScreen и служебная сводка не выдают себя за вопросы клиенту.</w:t>
      </w:r>
    </w:p>
    <w:p>
      <w:pPr>
        <w:pStyle w:val="ListBullet"/>
      </w:pPr>
      <w:r>
        <w:t>На завершённой геометрии — «Параметры готовы», а не 7/8 или 9/10. Для неизвестных длины/условий — явный needs_review, а не фальшивые 100%.</w:t>
      </w:r>
    </w:p>
    <w:p>
      <w:pPr>
        <w:pStyle w:val="ListBullet"/>
      </w:pPr>
      <w:r>
        <w:t>Знаменатель может корректно изменяться после явного выбора новой функции; это объясняется появлением конкретного вопроса. Альтернатива точному счётчику — список оставшихся разделов, но не неподтверждённое обещание времени.</w:t>
      </w:r>
    </w:p>
    <w:p>
      <w:pPr>
        <w:pStyle w:val="ListBullet"/>
      </w:pPr>
      <w:r>
        <w:t>Главный CTA всегда в одном предсказуемом месте и соответствует экрану. На проверке не оставлять «Выберите вариант выше» вместо действия.</w:t>
      </w:r>
    </w:p>
    <w:p>
      <w:pPr>
        <w:pStyle w:val="ListBullet"/>
      </w:pPr>
      <w:r>
        <w:t>Проверка шага 1: «Потолочная часть — ориентир …; оборудование света ещё не подобрано». Главный путь — к свету/проверке существующего набора, вторичный — заявка без выбора оборудования. Не выдавать неполный набор за готовый.</w:t>
      </w:r>
    </w:p>
    <w:p>
      <w:pPr>
        <w:pStyle w:val="Heading2"/>
      </w:pPr>
      <w:r>
        <w:t>5. LED и каталог в шаге 2</w:t>
      </w:r>
    </w:p>
    <w:p>
      <w:r>
        <w:t>Передавать из первого этапа по каждому roomId: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</w:tcPr>
          <w:p>
            <w:r>
              <w:t>Feature</w:t>
            </w:r>
          </w:p>
        </w:tc>
        <w:tc>
          <w:tcPr>
            <w:tcW w:type="dxa" w:w="3389"/>
          </w:tcPr>
          <w:p>
            <w:r>
              <w:t>Исходные данные</w:t>
            </w:r>
          </w:p>
        </w:tc>
        <w:tc>
          <w:tcPr>
            <w:tcW w:type="dxa" w:w="3389"/>
          </w:tcPr>
          <w:p>
            <w:r>
              <w:t>Задача второго этапа</w:t>
            </w:r>
          </w:p>
        </w:tc>
      </w:tr>
      <w:tr>
        <w:tc>
          <w:tcPr>
            <w:tcW w:type="dxa" w:w="3389"/>
          </w:tcPr>
          <w:p>
            <w:r>
              <w:t>Парящий контур</w:t>
            </w:r>
          </w:p>
        </w:tc>
        <w:tc>
          <w:tcPr>
            <w:tcW w:type="dxa" w:w="3389"/>
          </w:tcPr>
          <w:p>
            <w:r>
              <w:t>Установленная длина, участки, профиль/условия или unknown</w:t>
            </w:r>
          </w:p>
        </w:tc>
        <w:tc>
          <w:tcPr>
            <w:tcW w:type="dxa" w:w="3389"/>
          </w:tcPr>
          <w:p>
            <w:r>
              <w:t>Лента, питание, управление, соединение/сервисный доступ</w:t>
            </w:r>
          </w:p>
        </w:tc>
      </w:tr>
      <w:tr>
        <w:tc>
          <w:tcPr>
            <w:tcW w:type="dxa" w:w="3389"/>
          </w:tcPr>
          <w:p>
            <w:r>
              <w:t>Световые линии</w:t>
            </w:r>
          </w:p>
        </w:tc>
        <w:tc>
          <w:tcPr>
            <w:tcW w:type="dxa" w:w="3389"/>
          </w:tcPr>
          <w:p>
            <w:r>
              <w:t>Геометрическая длина, число рядов, ширина профиля/экран</w:t>
            </w:r>
          </w:p>
        </w:tc>
        <w:tc>
          <w:tcPr>
            <w:tcW w:type="dxa" w:w="3389"/>
          </w:tcPr>
          <w:p>
            <w:r>
              <w:t>Реальная длина ленты и нагрузка, оптика/тепло, БП/контроллер</w:t>
            </w:r>
          </w:p>
        </w:tc>
      </w:tr>
      <w:tr>
        <w:tc>
          <w:tcPr>
            <w:tcW w:type="dxa" w:w="3389"/>
          </w:tcPr>
          <w:p>
            <w:r>
              <w:t>Карниз с подсветкой</w:t>
            </w:r>
          </w:p>
        </w:tc>
        <w:tc>
          <w:tcPr>
            <w:tcW w:type="dxa" w:w="3389"/>
          </w:tcPr>
          <w:p>
            <w:r>
              <w:t>Длина/расположение, условия</w:t>
            </w:r>
          </w:p>
        </w:tc>
        <w:tc>
          <w:tcPr>
            <w:tcW w:type="dxa" w:w="3389"/>
          </w:tcPr>
          <w:p>
            <w:r>
              <w:t>Лента/БП/управление и исключения по составу ставки</w:t>
            </w:r>
          </w:p>
        </w:tc>
      </w:tr>
      <w:tr>
        <w:tc>
          <w:tcPr>
            <w:tcW w:type="dxa" w:w="3389"/>
          </w:tcPr>
          <w:p>
            <w:r>
              <w:t>Трек</w:t>
            </w:r>
          </w:p>
        </w:tc>
        <w:tc>
          <w:tcPr>
            <w:tcW w:type="dxa" w:w="3389"/>
          </w:tcPr>
          <w:p>
            <w:r>
              <w:t>Семейство, монтаж, метраж, светильники</w:t>
            </w:r>
          </w:p>
        </w:tc>
        <w:tc>
          <w:tcPr>
            <w:tcW w:type="dxa" w:w="3389"/>
          </w:tcPr>
          <w:p>
            <w:r>
              <w:t>Питание конкретной системы, ввод/соединение, совместимое управление</w:t>
            </w:r>
          </w:p>
        </w:tc>
      </w:tr>
      <w:tr>
        <w:tc>
          <w:tcPr>
            <w:tcW w:type="dxa" w:w="3389"/>
          </w:tcPr>
          <w:p>
            <w:r>
              <w:t>Точки/люстры</w:t>
            </w:r>
          </w:p>
        </w:tc>
        <w:tc>
          <w:tcPr>
            <w:tcW w:type="dxa" w:w="3389"/>
          </w:tcPr>
          <w:p>
            <w:r>
              <w:t>Монтажный план и потребность в покупке</w:t>
            </w:r>
          </w:p>
        </w:tc>
        <w:tc>
          <w:tcPr>
            <w:tcW w:type="dxa" w:w="3389"/>
          </w:tcPr>
          <w:p>
            <w:r>
              <w:t>Светильники, отдельные лампы при необходимости, крепёж; без подсчёта аксессуаров как источников</w:t>
            </w:r>
          </w:p>
        </w:tc>
      </w:tr>
    </w:tbl>
    <w:p>
      <w:r>
        <w:t>Если есть floating/line/corniceLighting, экран «свет не задан, откройте каталог вручную» не является корректным завершением guided-подбора. Показывать задачи по зонам и что осталось определить. У клиента всегда есть путь «нужна помощь» без технического экзамена.</w:t>
      </w:r>
    </w:p>
    <w:p>
      <w:r>
        <w:t>Модель: roomId → featureId/runId → controlZoneId / powerCircuitId. Не путать независимое управление и питание: несколько зон могут разделять источник только по проверенной схеме. Общие пульты, gateway и БП не дублировать в каждой комнате.</w:t>
      </w:r>
    </w:p>
    <w:p>
      <w:r>
        <w:t>Покупателю задаются вопросы о результате/управлении, а не CV/CC и амперах. Число рядов, max Вт/м, напряжение, ток по каналам, разъёмы, derating и совместимость проверяются по библиотеке/паспортам из LED-ТЗ. Title-only и фото маркировки не превращаются в подтверждение всего комплекта.</w:t>
      </w:r>
    </w:p>
    <w:p>
      <w:r>
        <w:t>После equipment-first позиции могут находиться в «Не распределено». Для заказа только оборудования распределение не обязательно; для расчёта потолка/монтажа дать понятное назначение по помещениям. Не считать, что все выбранные споты/ленты принадлежат первой комнате.</w:t>
      </w:r>
    </w:p>
    <w:p>
      <w:pPr>
        <w:pStyle w:val="Heading2"/>
      </w:pPr>
      <w:r>
        <w:t>6. Семантика светильников — обязательный контракт</w:t>
      </w:r>
    </w:p>
    <w:p>
      <w:pPr>
        <w:pStyle w:val="ListBullet"/>
      </w:pPr>
      <w:r>
        <w:t>Светильник/корпус, лампа/источник света, управление, механическое/оптическое дополнение, питание и расходники — разные роли.</w:t>
      </w:r>
    </w:p>
    <w:p>
      <w:pPr>
        <w:pStyle w:val="ListBullet"/>
      </w:pPr>
      <w:r>
        <w:t>Панель управления и конвертер не являются LED-панелью. Принадлежность к управлению треком не доказывает питание самого устройства от 48/220 В и не подтверждает pairing.</w:t>
      </w:r>
    </w:p>
    <w:p>
      <w:pPr>
        <w:pStyle w:val="ListBullet"/>
      </w:pPr>
      <w:r>
        <w:t>Отражатель, накладное крепление и подвес из уточнения владельца не создают ни монтажную точку, ни обязательную лампу, ни прогресс выбора светильников.</w:t>
      </w:r>
    </w:p>
    <w:p>
      <w:pPr>
        <w:pStyle w:val="ListBullet"/>
      </w:pPr>
      <w:r>
        <w:t>Цоколь не определяет mountingType или adjustable. Эти свойства требуют данных; нельзя называть все GX53 врезными, все MR16/GU10 поворотными или все панели «без бликов».</w:t>
      </w:r>
    </w:p>
    <w:p>
      <w:pPr>
        <w:pStyle w:val="ListBullet"/>
      </w:pPr>
      <w:r>
        <w:t>При выборе корпуса без лампы показать это явно: цена корпуса, требуемая лампа и конечный комплект. Не начислять повторно лампу к уже полному набору.</w:t>
      </w:r>
    </w:p>
    <w:p>
      <w:pPr>
        <w:pStyle w:val="ListBullet"/>
      </w:pPr>
      <w:r>
        <w:t>20 записей без основной browse-секции должны получить owner/data review: корректный раздел или явное исключение, без молчаливого исчезновения. Наличие старого SKU в feed само по себе не разрешает возвращать его в подбор.</w:t>
      </w:r>
    </w:p>
    <w:p>
      <w:pPr>
        <w:pStyle w:val="ListBullet"/>
      </w:pPr>
      <w:r>
        <w:t>Один общий предикат роли используется в витрине, модалке, префилле, счётчиках, предложениях и расчёте монтажа. Исправление только карточки не принимается.</w:t>
      </w:r>
    </w:p>
    <w:p>
      <w:r>
        <w:t>Адресно выполнено сейчас: 5 моделей track-control и 7 fixture-accessory, единые счётчики; 0У-00001341 исключён из активных входов/выдачи. Его архив остаётся только для старых обращений, с признаком недоступности и предупреждением в восстановленном расчёте. Будущие импорты обязаны соблюдать retirement policy.</w:t>
      </w:r>
    </w:p>
    <w:p>
      <w:pPr>
        <w:pStyle w:val="Heading2"/>
      </w:pPr>
      <w:r>
        <w:t>7. Итог и форма</w:t>
      </w:r>
    </w:p>
    <w:p>
      <w:r>
        <w:t>Один главный итог. Разложение приходит из существующего расчётного ядра:</w:t>
      </w:r>
    </w:p>
    <w:p>
      <w:pPr>
        <w:pStyle w:val="ListBullet"/>
      </w:pPr>
      <w:r>
        <w:t>суммы помещений и согласованные материалы/работы;</w:t>
      </w:r>
    </w:p>
    <w:p>
      <w:pPr>
        <w:pStyle w:val="ListBullet"/>
      </w:pPr>
      <w:r>
        <w:t>доведение до минимальной стоимости заказа, если применяется;</w:t>
      </w:r>
    </w:p>
    <w:p>
      <w:pPr>
        <w:pStyle w:val="ListBullet"/>
      </w:pPr>
      <w:r>
        <w:t>дополнительные работы без дублей;</w:t>
      </w:r>
    </w:p>
    <w:p>
      <w:pPr>
        <w:pStyle w:val="ListBullet"/>
      </w:pPr>
      <w:r>
        <w:t>оборудование, применённая скидка и итог;</w:t>
      </w:r>
    </w:p>
    <w:p>
      <w:pPr>
        <w:pStyle w:val="ListBullet"/>
      </w:pPr>
      <w:r>
        <w:t>исключения и неизвестные позиции.</w:t>
      </w:r>
    </w:p>
    <w:p>
      <w:r>
        <w:t>Если комната 15 000 ₽, а минимум даёт 18 000 ₽, разница объяснена отдельной строкой. Цены за м², м.п., установленный метр ленты, катушку и аппаратную штуку не смешиваются.</w:t>
      </w:r>
    </w:p>
    <w:p>
      <w:r>
        <w:t>Отдельные статусы: geometry, electricalCompatibility, stock, quote. Статические маркетинговые галочки не обозначают проверку BOM. При unknown CTA — «Передать на подбор»; при подтверждённом составе — действие согласно intent и правовой модели. Нельзя обещать готовый монтаж/счёт до соответствующих допусков.</w:t>
      </w:r>
    </w:p>
    <w:p>
      <w:r>
        <w:t>В lead snapshot сохранять комнаты/зоны/распределение, источники и подтверждённость длин, роли SKU, версии каталога/правил/quote, причины needs_review и намерение клиента. Согласие, requestId, дедуп/outbox и обе воронки не ломаются.</w:t>
      </w:r>
    </w:p>
    <w:p>
      <w:pPr>
        <w:pStyle w:val="Heading2"/>
      </w:pPr>
      <w:r>
        <w:t>8. Визуальная и доступная реализация</w:t>
      </w:r>
    </w:p>
    <w:p>
      <w:pPr>
        <w:pStyle w:val="ListBullet"/>
      </w:pPr>
      <w:r>
        <w:t>Контекст комнаты и основное действие не теряются при короткой высоте/экранной клавиатуре.</w:t>
      </w:r>
    </w:p>
    <w:p>
      <w:pPr>
        <w:pStyle w:val="ListBullet"/>
      </w:pPr>
      <w:r>
        <w:t>Цели касания 44 px как стандарт проекта; маленькие ссылки редактирования/удаления расширяются, без уменьшения readable текста.</w:t>
      </w:r>
    </w:p>
    <w:p>
      <w:pPr>
        <w:pStyle w:val="ListBullet"/>
      </w:pPr>
      <w:r>
        <w:t>После перехода фокус попадает на заголовок вопроса; после редактирования/удаления — на логичный элемент оставшейся карточки; модальные подтверждения удерживают фокус.</w:t>
      </w:r>
    </w:p>
    <w:p>
      <w:pPr>
        <w:pStyle w:val="ListBullet"/>
      </w:pPr>
      <w:r>
        <w:t>Кнопки disabled объясняют причину. Поле неизвестной длины не превращается в ноль/минимум молча. Ошибки рядом с полем, значения сохранены.</w:t>
      </w:r>
    </w:p>
    <w:p>
      <w:pPr>
        <w:pStyle w:val="ListBullet"/>
      </w:pPr>
      <w:r>
        <w:t>320/390/1440, короткий экран, 200% zoom, reduced motion; ручные iOS/Android и screen reader отдельно от axe.</w:t>
      </w:r>
    </w:p>
    <w:p>
      <w:pPr>
        <w:pStyle w:val="ListBullet"/>
      </w:pPr>
      <w:r>
        <w:t>Схемы и фото помогают выбрать конкретное решение; одинаковое покрытие смысловой группы, fallback и явная AI-маркировка по PT-038…049. Нельзя закрыть логическую проблему декором.</w:t>
      </w:r>
    </w:p>
    <w:p>
      <w:pPr>
        <w:pStyle w:val="Heading2"/>
      </w:pPr>
      <w:r>
        <w:t>9. Приёмочные сценарии будущего flow</w:t>
      </w:r>
    </w:p>
    <w:p>
      <w:r>
        <w:t>1. Обычный вход не требует абстрактного ценового уровня и показывает основные решения.</w:t>
      </w:r>
    </w:p>
    <w:p>
      <w:r>
        <w:t>2. Вход с услуги/кейса сохраняет происхождение пресета; ручные изменения не затираются.</w:t>
      </w:r>
    </w:p>
    <w:p>
      <w:r>
        <w:t>3. Черновик принимается/отклоняется явно, без самовольной замены.</w:t>
      </w:r>
    </w:p>
    <w:p>
      <w:r>
        <w:t>4. Простой потолок + линии/умное управление доступны независимо от старого scenario.</w:t>
      </w:r>
    </w:p>
    <w:p>
      <w:r>
        <w:t>5. Equipment-only не требует геометрии потолка и не начисляет потолочные работы.</w:t>
      </w:r>
    </w:p>
    <w:p>
      <w:r>
        <w:t>6. Свет к готовому потолку сохраняет отдельный intent, не маскируется под новый потолок.</w:t>
      </w:r>
    </w:p>
    <w:p>
      <w:r>
        <w:t>7. Первая комната быстро создаётся без обязательного набора имени; имя сохраняется по понятному действию.</w:t>
      </w:r>
    </w:p>
    <w:p>
      <w:r>
        <w:t>8. На втором/третьем помещении всегда видно активный roomId/label и состояние заполнения.</w:t>
      </w:r>
    </w:p>
    <w:p>
      <w:r>
        <w:t>9. Правка одного поля возвращает к исходной комнате, а не запускает весь опрос заново.</w:t>
      </w:r>
    </w:p>
    <w:p>
      <w:r>
        <w:t>10. Зависимая правка инвалидирует только затронутые данные/BOM и объясняет изменение цены.</w:t>
      </w:r>
    </w:p>
    <w:p>
      <w:r>
        <w:t>11. Удаление требует подтверждения/Undo; последний room не оставляет «готовый» пустой расчёт.</w:t>
      </w:r>
    </w:p>
    <w:p>
      <w:r>
        <w:t>12. Переключение общего режима/комнат не теряет введённое без согласия.</w:t>
      </w:r>
    </w:p>
    <w:p>
      <w:r>
        <w:t>13. Неизвестная длина отмечена как неизвестная; estimated не равен measured.</w:t>
      </w:r>
    </w:p>
    <w:p>
      <w:r>
        <w:t>14. Два ряда ленты учитываются в электрической нагрузке и закупке отдельно от длины профиля.</w:t>
      </w:r>
    </w:p>
    <w:p>
      <w:r>
        <w:t>15. Парящий/линии/карниз формируют явные LED-задачи второго шага.</w:t>
      </w:r>
    </w:p>
    <w:p>
      <w:r>
        <w:t>16. Несколько комнат/зон не дублируют общие БП, пульты и gateway.</w:t>
      </w:r>
    </w:p>
    <w:p>
      <w:r>
        <w:t>17. Управление/отражатели/крепёж не появляются в светильниках, не добавляют монтаж и не закрывают план точек.</w:t>
      </w:r>
    </w:p>
    <w:p>
      <w:r>
        <w:t>18. Снятый SKU отсутствует в активной выдаче/API/prefill; старый расчёт имеет явное предупреждение и пользовательское удаление.</w:t>
      </w:r>
    </w:p>
    <w:p>
      <w:r>
        <w:t>19. Корпус без лампы и готовый светильник различаются; лампы и дополнения не считаются вторым светильником.</w:t>
      </w:r>
    </w:p>
    <w:p>
      <w:r>
        <w:t>20. Нераспределённый набор из каталога не присваивается первой комнате автоматически.</w:t>
      </w:r>
    </w:p>
    <w:p>
      <w:r>
        <w:t>21. Все 26 LED-сценариев из CATALOG-LED-TZ применены к тем же данным/версии, не отдельной модели.</w:t>
      </w:r>
    </w:p>
    <w:p>
      <w:r>
        <w:t>22. Ток каждого канала/суммы/входного разъёма и конкретная пара пульт–контроллер проверяются отдельно.</w:t>
      </w:r>
    </w:p>
    <w:p>
      <w:r>
        <w:t>23. Обновление каталога/артикула/цены инвалидирует старый quote и показывает diff; не делает тихую замену.</w:t>
      </w:r>
    </w:p>
    <w:p>
      <w:r>
        <w:t>24. Финальные статусы заполнения/совместимости/склада/цены различимы и не содержат ложных зелёных отметок.</w:t>
      </w:r>
    </w:p>
    <w:p>
      <w:r>
        <w:t>25. Сумма комнат + минимум/доплаты + оборудование − скидки совпадает с итогом; нет дублей ставки и товара.</w:t>
      </w:r>
    </w:p>
    <w:p>
      <w:r>
        <w:t>26. В проверке/итоге футер содержит настоящее основное действие, без «Выберите вариант выше».</w:t>
      </w:r>
    </w:p>
    <w:p>
      <w:r>
        <w:t>27. Ошибка/повтор/отмена сохраняют requestId, согласие, комнаты и комплект; реальных отправок в тестах нет.</w:t>
      </w:r>
    </w:p>
    <w:p>
      <w:r>
        <w:t>28. Все роли и подписи понятны при 320 px, коротком экране/клавиатуре и 200% zoom.</w:t>
      </w:r>
    </w:p>
    <w:p>
      <w:r>
        <w:t>29. В серверном payload/каналах доставки сохраняются intent, rooms/zones, версии и причины инженерной проверки.</w:t>
      </w:r>
    </w:p>
    <w:p>
      <w:r>
        <w:t>30. Аналитика параметра передаёт его реальное значение, не площадь для всех; имена/ПДн не уходят в лишние события.</w:t>
      </w:r>
    </w:p>
    <w:p>
      <w:r>
        <w:t>Эти 30 сценариев — критерии дальнейшего flow. Текущий точечный регрессионный прогон подтверждает лишь реализованную часть и сохранение старых путей, а не весь будущий UX/BOM.</w:t>
      </w:r>
    </w:p>
    <w:p>
      <w:pPr>
        <w:pStyle w:val="Heading2"/>
      </w:pPr>
      <w:r>
        <w:t>10. Порядок реализации</w:t>
      </w:r>
    </w:p>
    <w:p>
      <w:r>
        <w:t>Сначала: адресные роли/retirement (текущий проход), затем данные LED и паспортная библиотека T8-010/011/012/031. Не строить красивый автомат поверх ошибочных единиц и неизвестных токов.</w:t>
      </w:r>
    </w:p>
    <w:p>
      <w:r>
        <w:t>UX первого этапа: контекст комнаты, правка с возвратом, удаление, прогресс, действующий футер и доступный выбор результата. Это самостоятельный ограниченный проход с regression tests; не переписывать всю архитектуру ради названий.</w:t>
      </w:r>
    </w:p>
    <w:p>
      <w:r>
        <w:t>Связка второго/третьего этапов: room/feature/zone/circuit, объяснимый BOM, единый quote и прозрачный итог. Состав ставок утверждает владелец, электрические ограничения — профильный специалист; правовая модель оборудования — отдельный gate.</w:t>
      </w:r>
    </w:p>
    <w:p>
      <w:r>
        <w:t>Проверка людьми: 6–8 представителей целевых клиентов проходят простой потолок, две комнаты, LED-проект и equipment-only. Измеряются завершение без помощи, понимание состава/предварительности, возвраты и время. Сначала baseline, потом сравнение; не обещать публично «2 минуты» до измерений.</w:t>
      </w:r>
    </w:p>
    <w:p>
      <w:r>
        <w:t>Main не менять автоматически. Автоматические тесты не заменяют ручную приёмку, инженерную верификацию или подтверждение владельцем коммерческих условий.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Preview · внутренний документ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ПОТОЛКОВО / КАЛЬКУЛЯТОР / 15.10.2026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173C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C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Калькулятор: целевой UX-контракт</dc:title>
  <dc:subject>Канонический источник: docs/current/CALCULATOR-UX-TZ.md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