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4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</w:pPr>
      <w:r>
        <w:t>АУДИТ И ПЛАН РЕАЛИЗАЦИИ</w:t>
      </w:r>
    </w:p>
    <w:p>
      <w:pPr>
        <w:pStyle w:val="Title"/>
      </w:pPr>
      <w:r>
        <w:t>Лента, питание и управление</w:t>
      </w:r>
    </w:p>
    <w:p>
      <w:r>
        <w:t>Техническое задание · подбор по метражу · совместимость · 26 приёмочных сценариев</w:t>
      </w:r>
    </w:p>
    <w:p>
      <w:r>
        <w:t>Проверены код и браузерная preview-версия, XML EKS и документация. Подтверждённые находки отделены от гипотез и будущих критериев. Изменения каталога этим документом не реализованы.</w:t>
      </w:r>
    </w:p>
    <w:p>
      <w:r>
        <w:br w:type="page"/>
      </w:r>
    </w:p>
    <w:p>
      <w:pPr>
        <w:pStyle w:val="Heading1"/>
      </w:pPr>
      <w:r>
        <w:t>ПОТОЛКОВО · ТЗ на каталог лент, комплектующих и подбор по метражу</w:t>
      </w:r>
    </w:p>
    <w:p>
      <w:r>
        <w:t>Редакция: 14.10.2026. Основание: CATALOG-LED-AUDIT.md (CATALOG-LED-AUDIT.md). Статус: проект реализации; раздел и инженерный подбор ещё не внедрены. Только preview, без автоматического merge/deploy в main.</w:t>
      </w:r>
    </w:p>
    <w:p>
      <w:r>
        <w:t>ТЗ конкретизирует T8-010/011/012/013/014/015/016/019/020/021/025/026/027/030/031. PT-020…049 остаются действующей очередью, нумерация не заменяется. Обозначения CAT-A в аудите — находки, а тесты ниже — критерии, не новая независимая система задач.</w:t>
      </w:r>
    </w:p>
    <w:p>
      <w:pPr>
        <w:pStyle w:val="Heading2"/>
      </w:pPr>
      <w:r>
        <w:t>1. Цель и границы</w:t>
      </w:r>
    </w:p>
    <w:p>
      <w:r>
        <w:t>Лид без электротехнической подготовки должен:</w:t>
      </w:r>
    </w:p>
    <w:p>
      <w:r>
        <w:t>1. Найти нужный раздел по назначению света или названию товара.</w:t>
      </w:r>
    </w:p>
    <w:p>
      <w:r>
        <w:t>2. Понять, что он покупает: метр, катушку, штуку или комплект; что включено в цену.</w:t>
      </w:r>
    </w:p>
    <w:p>
      <w:r>
        <w:t>3. Указать метраж парящего контура, световой линии, подсветки карниза без повторного ввода известных данных калькулятора.</w:t>
      </w:r>
    </w:p>
    <w:p>
      <w:r>
        <w:t>4. Выбрать желаемое управление человеческими словами.</w:t>
      </w:r>
    </w:p>
    <w:p>
      <w:r>
        <w:t>5. Получить объяснимый предварительный состав: лента, питание, управление и обязательные комплектующие, либо понятный список вопросов специалисту.</w:t>
      </w:r>
    </w:p>
    <w:p>
      <w:r>
        <w:t>6. Передать этот состав в заявку без потери комнат, зон, intent, источника и версии расчёта.</w:t>
      </w:r>
    </w:p>
    <w:p>
      <w:r>
        <w:t>Не обещать «все товары со всем совместимы», «любой пульт подойдёт», «любой TUYA работает с Алисой». «Все варианты управления» означает полную понятную карту возможностей с разделением подтверждено в ассортименте / требует проверки / доступно по проекту, а не активные кнопки несуществующих функций.</w:t>
      </w:r>
    </w:p>
    <w:p>
      <w:r>
        <w:t>Сохранять существующий бренд, URL услуг, оба текущих пути заказа, source/EntryContext, подтверждённые параметры, requestId/consent. Standalone reload корзины остаётся отдельной ранее отложенной задачей; не считать его автоматически разрешённым этим ТЗ.</w:t>
      </w:r>
    </w:p>
    <w:p>
      <w:pPr>
        <w:pStyle w:val="Heading2"/>
      </w:pPr>
      <w:r>
        <w:t>2. Информационная архитектура</w:t>
      </w:r>
    </w:p>
    <w:p>
      <w:pPr>
        <w:pStyle w:val="Heading3"/>
      </w:pPr>
      <w:r>
        <w:t>Страница каталога</w:t>
      </w:r>
    </w:p>
    <w:p>
      <w:r>
        <w:t>Первый экран: «Каталог освещения и комплектующих». Короткое объяснение: «Выберите товары или подберите комплект ленты по метражу. Окончательные состав, наличие и монтаж подтверждаем перед заказом».</w:t>
      </w:r>
    </w:p>
    <w:p>
      <w:r>
        <w:t>Два явных действия:</w:t>
      </w:r>
    </w:p>
    <w:p>
      <w:pPr>
        <w:pStyle w:val="ListBullet"/>
      </w:pPr>
      <w:r>
        <w:t>Подобрать ленту и питание — guided-путь по задаче/метражу.</w:t>
      </w:r>
    </w:p>
    <w:p>
      <w:pPr>
        <w:pStyle w:val="ListBullet"/>
      </w:pPr>
      <w:r>
        <w:t>Перейти к товарам — поиск и категории без принудительного калькулятора потолка.</w:t>
      </w:r>
    </w:p>
    <w:p>
      <w:r>
        <w:t>Навигация: Ленты и комплектующие / Трековые системы / Точечные светильники / Люстры / Лампы / Монтажные комплектующие. Внутри первой группы: Ленты · Блоки питания · Управление · Пульты и панели · Подключение · Профили и рассеиватели. Шлюзы и усилители имеют отдельный подтип, а не теряются в «Прочем».</w:t>
      </w:r>
    </w:p>
    <w:p>
      <w:r>
        <w:t>Трековый образовательный блок COLIBRI/CLARUS/ART — в соответствующем разделе или под раскрытием. Не заставлять покупателя ленты изучать магнитные треки до выбора товара. Существующий URL /uslugi/prodazha-trekovogo-osveshcheniya не удалять; добавление общего SEO-хаба согласовывать отдельно.</w:t>
      </w:r>
    </w:p>
    <w:p>
      <w:r>
        <w:t>Порядок блоков: вход и два пути → категории/поиск → товары или подбор → текущий комплект → доставка/монтаж/проверка → FAQ. Большие обучающие материалы и кейсы — ниже/по запросу, не между намерением и товаром.</w:t>
      </w:r>
    </w:p>
    <w:p>
      <w:pPr>
        <w:pStyle w:val="Heading3"/>
      </w:pPr>
      <w:r>
        <w:t>Внутри калькулятора</w:t>
      </w:r>
    </w:p>
    <w:p>
      <w:r>
        <w:t>Использовать ту же таксономию, поиск и карточку характеристик. «Ленты и комплектующие» доступны независимо от ответа про карниз. Метраж конкретной задачи выводится как контекст: «Гостиная · парящий контур · 17 м», а не скрытый фильтр.</w:t>
      </w:r>
    </w:p>
    <w:p>
      <w:r>
        <w:t>Показывать «Подходит для текущей зоны» только при проверенных условиях. Отдельно дать «Посмотреть весь каталог»; несовместимый товар не добавлять молча в текущую зону. Для самостоятельного просмотра можно сохранить товар как отдельную позицию с явным предупреждением, без статуса полного комплекта.</w:t>
      </w:r>
    </w:p>
    <w:p>
      <w:pPr>
        <w:pStyle w:val="Heading2"/>
      </w:pPr>
      <w:r>
        <w:t>3. Категории и карточки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Тип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Единица и количество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Основные признаки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Лента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отдельно mounted m / sale m или reel; шаг продажи из политики поставщика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Mono/CCT/RGB/RGBW/RGB+CCT/SPI; U; подтверждённые max Вт/м; CCT/CRI; ширина; IP; шаг реза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БП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целые pcs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CV/CC, выходное U, мощность и ток, исполнение/габариты, derating, охлаждение/шум, способ диммирования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Диммер/контроллер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целые pcs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поддерживаемые режимы, U, I каждого канала и общий, входы/протоколы, экосистема/пульт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Пульт/панель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целые pcs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управляемые функции, зоны, протокол/семейство, питание самого пульта, подтверждённые пары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Набор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целые kit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перечисление включённых компонентов; не добавлять пульт/БП повторно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Соединение/усиление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pcs/m по конкретному товару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ширина/контакты/распиновка, допустимый ток, условия, протокол усилителя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Профиль/рассеиватель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длина/штучный хлыст отдельно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назначение, ширина канала, геометрия, тепловой допуск, экран, крепёж, доступ обслуживания</w:t>
            </w:r>
          </w:p>
        </w:tc>
      </w:tr>
    </w:tbl>
    <w:p>
      <w:r>
        <w:t>Лицевая сторона карточки: изображение → понятное имя → 3–5 решающих характеристик → цена за конкретную единицу → наличие с датой/условием → действие. Артикул рядом, но не вместо имени. «Новинка» не должна занимать место напряжения/типа/единицы.</w:t>
      </w:r>
    </w:p>
    <w:p>
      <w:r>
        <w:t>Для ленты показывать обе связи: «катушка 5 м — X ₽; эквивалент Y ₽/м» только после подтверждения ценовой единицы. Установлено 6 м ≠ куплено 6 м, если продажа катушками. Нельзя принять цену XML за метр по слову «лента».</w:t>
      </w:r>
    </w:p>
    <w:p>
      <w:r>
        <w:t>Поиск: токены независимо от порядка; нормализация Wi-Fi/WIFI, 24 В/24V, разумных пробелов/дефисов; точный приоритет SKU; проверенные aliases. Явно обозначить область поиска, показывать переход к другим категориям и сохранять запрос. Не транслитерировать все vendorCode без контроля коллизий.</w:t>
      </w:r>
    </w:p>
    <w:p>
      <w:pPr>
        <w:pStyle w:val="Heading2"/>
      </w:pPr>
      <w:r>
        <w:t>4. Данные: блокирующий контракт до автоматизации</w:t>
      </w:r>
    </w:p>
    <w:p>
      <w:pPr>
        <w:pStyle w:val="Heading3"/>
      </w:pPr>
      <w:r>
        <w:t>Единый импорт</w:t>
      </w:r>
    </w:p>
    <w:p>
      <w:r>
        <w:t>XML → raw archive + hash → нормализация → проверка → diff/review → атомарная публикация catalogVersion. Сохранять last-known-good. Дата источника, часовой пояс, retrievedAt и publishedAt — разные поля. Нельзя обновлять «свежесть» старого snapshot датой сборки сайта.</w:t>
      </w:r>
    </w:p>
    <w:p>
      <w:r>
        <w:t>Обработать XML без categoryId (в текущем снимке их нет у всех 696 офферов); категории получать из документированного маппинга/пути с review, не по произвольному совпадению слова. Контроллер/пульт/БП не превращаются в LED_STRIP из-за общего пути /svetodiodnaya-lenta/.</w:t>
      </w:r>
    </w:p>
    <w:p>
      <w:r>
        <w:t>Стабильная идентичность: supplier + externalOfferId + проверяемая сущность/ревизия; vendorCode/GTIN — атрибуты и aliases. Проверить 186 найденных смен артикулов, в том числе 58 в LED-группе. Не мигрировать автоматически, если отличаются упаковка, характеристики или ревизия.</w:t>
      </w:r>
    </w:p>
    <w:p>
      <w:pPr>
        <w:pStyle w:val="Heading3"/>
      </w:pPr>
      <w:r>
        <w:t>Обязательные поля</w:t>
      </w:r>
    </w:p>
    <w:p>
      <w:r>
        <w:t>Общие: productId, supplierId, offerId, currentVendorCode, aliases, barcode, productType, saleUnit, packQty, minSaleQty, quantityStep, priceBasis, retailPrice, currency, VAT/status при применимости, source timestamps, catalogVersion, stockByWarehouse, availabilityState, evidence/reviewer.</w:t>
      </w:r>
    </w:p>
    <w:p>
      <w:r>
        <w:t>Лента: voltageDc, supplyMode, maxPowerWm, powerBasis/allChannelsPolicy, perChannelPowerWm, stripMode, channelCount, polarity/pinout, widthMm, cutStepMm, reelLengthMm, maxFeedLengthMm, maxCurrentRun, CCT/CRI/lightFlux, IP, thermalMountRequirements.</w:t>
      </w:r>
    </w:p>
    <w:p>
      <w:r>
        <w:t>БП: outputMode CV/CC, outputVoltage, ratedOutputPowerW, ratedOutputCurrentA, acceptedInputRange, deratingRule/evidence, dimensions, mounting/IP/temperature, cooling/noise, dimmingInput, minLoad, inrush/protection requirements.</w:t>
      </w:r>
    </w:p>
    <w:p>
      <w:r>
        <w:t>Контроллер: acceptedVoltageRange, supportedStripModes, outputTopology, maxCurrentPerChannelA, maxCurrentTotalA, inputConnectorCurrentLimits, thermal limits, PWM characteristics при необходимости, localInputs, RF family/protocol, Wi-Fi/Bluetooth/Zigbee/Matter capabilities, ecosystem/region/firmware, internetDependency, powerRestoreBehavior, compatibleRemoteIds + evidence.</w:t>
      </w:r>
    </w:p>
    <w:p>
      <w:r>
        <w:t>Пульт: controlFamily, compatibleControllerIds, functions, zones, ownPowerSource, pairing/maxDevices, local/offline behavior. «4 зоны» и «4 силовых канала» — разные поля.</w:t>
      </w:r>
    </w:p>
    <w:p>
      <w:r>
        <w:t>У каждого инженерного поля хранить источник и статус: unknown / title_only / label_observed / datasheet_verified / bench_verified. Разбор названия и фото маркировки полезен для кандидатов/отбраковки, но title_only или label_observed сами по себе не дают verified BOM. Отсутствующее значение не превращается в false/0. Облегчённый index должен сохранять необходимые типы, единицы, verified capabilities и версию, а не только название/цену.</w:t>
      </w:r>
    </w:p>
    <w:p>
      <w:pPr>
        <w:pStyle w:val="Heading2"/>
      </w:pPr>
      <w:r>
        <w:t>5. Подбор по задаче и метражу</w:t>
      </w:r>
    </w:p>
    <w:p>
      <w:pPr>
        <w:pStyle w:val="Heading3"/>
      </w:pPr>
      <w:r>
        <w:t>Путь лида — четыре понятных шага</w:t>
      </w:r>
    </w:p>
    <w:p>
      <w:r>
        <w:t>1. Где нужен свет: парящий контур / световые линии / карниз / другая задача; комната и новый или готовый потолок.</w:t>
      </w:r>
    </w:p>
    <w:p>
      <w:r>
        <w:t>2. Как должен светить: мягкая подсветка / основной свет; тёплый/нейтральный белый / регулируемая температура / цвет + отдельный белый. Не обещать RGB как эквивалент качественного белого света.</w:t>
      </w:r>
    </w:p>
    <w:p>
      <w:r>
        <w:t>3. Сколько и как управлять: известный метраж подставлен из расчёта; пользователь подтверждает длину и число независимых зон; выбирает выключатель / яркость / пульт / смартфон / голос. «Не знаю» ведёт к подбору, а не тупику.</w:t>
      </w:r>
    </w:p>
    <w:p>
      <w:r>
        <w:t>4. Состав и объяснение: лента, БП, управление, обязательные компоненты; что уже включено в потолочную ставку; какие данные надо уточнить. Телефон не требуется только для просмотра предварительного состава/ориентира.</w:t>
      </w:r>
    </w:p>
    <w:p>
      <w:r>
        <w:t>Не спрашивать у новичка ток канала и CV/CC. Эти данные берутся из проверенной библиотеки. Не подтверждённые длина/модель/условия означают предварительный подбор.</w:t>
      </w:r>
    </w:p>
    <w:p>
      <w:pPr>
        <w:pStyle w:val="Heading3"/>
      </w:pPr>
      <w:r>
        <w:t>Объектная модель</w:t>
      </w:r>
    </w:p>
    <w:p>
      <w:r>
        <w:t>Project → Room → Feature → StripRun и отдельно ControlZone / PowerCircuit.</w:t>
      </w:r>
    </w:p>
    <w:p>
      <w:pPr>
        <w:pStyle w:val="ListBullet"/>
      </w:pPr>
      <w:r>
        <w:t>Feature: floating / lightLine / cornice; ссылка на соответствующий параметр действующего расчёта.</w:t>
      </w:r>
    </w:p>
    <w:p>
      <w:pPr>
        <w:pStyle w:val="ListBullet"/>
      </w:pPr>
      <w:r>
        <w:t>StripRun: модель, фактическая длина, число рядов, отрезки/кратность реза, профиль и способ отвода тепла.</w:t>
      </w:r>
    </w:p>
    <w:p>
      <w:pPr>
        <w:pStyle w:val="ListBullet"/>
      </w:pPr>
      <w:r>
        <w:t>ControlZone: какие отрезки управляются вместе, режим и канал/контроллер, выбранные интерфейсы.</w:t>
      </w:r>
    </w:p>
    <w:p>
      <w:pPr>
        <w:pStyle w:val="ListBullet"/>
      </w:pPr>
      <w:r>
        <w:t>PowerCircuit: обслуживаемые ветви, нагрузка, БП, трассы и ограничения.</w:t>
      </w:r>
    </w:p>
    <w:p>
      <w:r>
        <w:t>Одна комната может иметь несколько независимо управляемых зон. Несколько зон могут питаться от одного БП только по проверенной схеме; число БП не равно числу катушек и не обязано равняться числу зон. Электрически объединять выходы БП/контроллеров без допуска производителя запрещено.</w:t>
      </w:r>
    </w:p>
    <w:p>
      <w:r>
        <w:t>Важно: 6 м световой линии с двумя рядами ленты дают 12 м нагрузки, а не 6 м. Закупочный запас и неустановленные остатки катушки в электрическую нагрузку не включаются. Изменение метража обновляет затронутые позиции, а не теряет ручной выбор управления.</w:t>
      </w:r>
    </w:p>
    <w:p>
      <w:pPr>
        <w:pStyle w:val="Heading2"/>
      </w:pPr>
      <w:r>
        <w:t>6. Инженерные правила расчёта</w:t>
      </w:r>
    </w:p>
    <w:p>
      <w:r>
        <w:t>Это требования к программному подбору, не инструкция самостоятельного подключения к сети. Окончательная схема, питание, защита, кабели и монтаж проверяются квалифицированным специалистом по конкретным паспортам и условиям объекта.</w:t>
      </w:r>
    </w:p>
    <w:p>
      <w:pPr>
        <w:pStyle w:val="Heading3"/>
      </w:pPr>
      <w:r>
        <w:t>Мощность и ток</w:t>
      </w:r>
    </w:p>
    <w:p>
      <w:r>
        <w:t>Для подтверждённых установленных отрезков:</w:t>
      </w:r>
    </w:p>
    <w:p>
      <w:pPr>
        <w:pStyle w:val="ListBullet"/>
      </w:pPr>
      <w:r>
        <w:t>P_led = Σ(L_installed_i × rows_i × p_max_i).</w:t>
      </w:r>
    </w:p>
    <w:p>
      <w:pPr>
        <w:pStyle w:val="ListBullet"/>
      </w:pPr>
      <w:r>
        <w:t>P_load = P_led + P_aux, где P_aux — подтверждённое собственное потребление устройств, питающихся от того же БП; не дублировать саму нагрузку ленты.</w:t>
      </w:r>
    </w:p>
    <w:p>
      <w:pPr>
        <w:pStyle w:val="ListBullet"/>
      </w:pPr>
      <w:r>
        <w:t>P_nominal × D(T, input, mounting) ≥ P_load × K_policy.</w:t>
      </w:r>
    </w:p>
    <w:p>
      <w:pPr>
        <w:pStyle w:val="ListBullet"/>
      </w:pPr>
      <w:r>
        <w:t>I_load = P_load / U_dc; проверить также номинальный выходной ток БП и ограничения каждой ветви.</w:t>
      </w:r>
    </w:p>
    <w:p>
      <w:r>
        <w:t>D — применимое снижение допустимой мощности по паспорту, не универсальное число. K_policy — явно утверждённый проектный запас. В примерах ниже K=1.25, D=1, P_aux=0: это учебная политика, не подтверждение EKS-комплекта. +20% к нагрузке и загрузка БП не более 80% — не одна формула: коэффициенты 1.20 и 1.25 соответственно.</w:t>
      </w:r>
    </w:p>
    <w:p>
      <w:r>
        <w:t>КПД не подставлять вместо запаса: P_input ≈ P_output / η относится к входной стороне и потерям. Температурные/монтажные ограничения могут потребовать другой корпус, место или деление на цепи даже при достаточных номинальных ваттах. Основания: 2 (https://arlight.ru/support/recommendations/), паспорт с отдельными output/efficiency/derating (https://www.meanwell.com/Upload/PDF/LPV-100/LPV-100-SPEC.PDF).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Условный пример с подтверждёнными Вт/м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LED-нагрузка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Требуемый номинал при K=1.25, D=1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Результат только по мощности</w:t>
            </w:r>
          </w:p>
        </w:tc>
      </w:tr>
      <w:t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5 м × 10 Вт/м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50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62.5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60 Вт недостаточно; 72/100 Вт — кандидаты, не финальная совместимость</w:t>
            </w:r>
          </w:p>
        </w:tc>
      </w:tr>
      <w:t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8 м × 12 Вт/м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96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120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100 Вт недостаточно; 150 Вт — кандидат</w:t>
            </w:r>
          </w:p>
        </w:tc>
      </w:tr>
      <w:t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17 м × 14.4 Вт/м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244.8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306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250/300 Вт не проходят; 360 Вт — кандидат либо деление по схеме</w:t>
            </w:r>
          </w:p>
        </w:tc>
      </w:tr>
      <w:tr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Линия 6 м, два ряда по 12 Вт/м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144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180 Вт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sz w:val="18"/>
              </w:rPr>
              <w:t>200 Вт — кандидат; 150 Вт не проходит</w:t>
            </w:r>
          </w:p>
        </w:tc>
      </w:tr>
    </w:tbl>
    <w:p>
      <w:r>
        <w:t>Если в последнем примере паспорт допускает D=0.8, БП 200 Вт отдаёт для расчёта лишь 160 Вт и не проходит условие 180 Вт; номинал/схему нужно пересмотреть. Не назначать D=0.8 всем изделиям.</w:t>
      </w:r>
    </w:p>
    <w:p>
      <w:r>
        <w:t>Для CCT/RGBW/RGB+CCT хранить максимальную одновременную нагрузку конкретного режима. Нельзя считать, что надпись «14.4W» включает все каналы, или что тёплый/холодный каналы никогда не включаются одновременно, без паспорта/режима контроллера.</w:t>
      </w:r>
    </w:p>
    <w:p>
      <w:pPr>
        <w:pStyle w:val="Heading3"/>
      </w:pPr>
      <w:r>
        <w:t>Проверки контроллера</w:t>
      </w:r>
    </w:p>
    <w:p>
      <w:r>
        <w:t>Одновременно должны выполняться:</w:t>
      </w:r>
    </w:p>
    <w:p>
      <w:pPr>
        <w:pStyle w:val="ListBullet"/>
      </w:pPr>
      <w:r>
        <w:t>допустимое входное U совпадает с используемым U ленты;</w:t>
      </w:r>
    </w:p>
    <w:p>
      <w:pPr>
        <w:pStyle w:val="ListBullet"/>
      </w:pPr>
      <w:r>
        <w:t>режим и распиновка совместимы;</w:t>
      </w:r>
    </w:p>
    <w:p>
      <w:pPr>
        <w:pStyle w:val="ListBullet"/>
      </w:pPr>
      <w:r>
        <w:t>I_channel_j ≤ allowedChannel_j для каждого активного канала;</w:t>
      </w:r>
    </w:p>
    <w:p>
      <w:pPr>
        <w:pStyle w:val="ListBullet"/>
      </w:pPr>
      <w:r>
        <w:t>Σ I_channel_j ≤ allowedTotal с учётом разрешённых одновременных режимов и derating;</w:t>
      </w:r>
    </w:p>
    <w:p>
      <w:pPr>
        <w:pStyle w:val="ListBullet"/>
      </w:pPr>
      <w:r>
        <w:t>тип/семейство управления и пульт подтверждены;</w:t>
      </w:r>
    </w:p>
    <w:p>
      <w:pPr>
        <w:pStyle w:val="ListBullet"/>
      </w:pPr>
      <w:r>
        <w:t>учитываются ограничения общей клеммы, соединителей и ветвей.</w:t>
      </w:r>
    </w:p>
    <w:p>
      <w:r>
        <w:t>Пример необходимости отдельного лимита: 24 В × 6 А = 144 Вт на один канал, хотя суммарные 15 А дают 360 Вт. Такие цифры также прочитаны на официальном фото EKS WB5 (https://eksmarket.ru/upload/iblock/9cd/kz1vnfnfhkisikl1fhyw2u0nrtbjb081.png) (label_observed), но паспорт партии ещё нужен. Для C01RF фото EKS (https://eksmarket.ru/upload/iblock/086/risssu9u24wvgggs1e6bk1td18yxb36l.png) дополнительно показывает ограничение круглого входа 5 А при суммарной надписи 12 А: алгоритм должен проверять используемый вход, а не только выходы. Руководство MiBoxer WL5 — справочный пример, не основание OEM-идентичности. 1 (https://miboxer.com/light/m_n/pdf/WL5/WL5_FR_V1.0.pdf)</w:t>
      </w:r>
    </w:p>
    <w:p>
      <w:r>
        <w:t>При превышении — несколько подходящих контроллеров/цепей или допустимый усилитель по проверенной схеме. Не подключать выходы параллельно «для сложения ампер» без прямого разрешения производителя.</w:t>
      </w:r>
    </w:p>
    <w:p>
      <w:pPr>
        <w:pStyle w:val="Heading3"/>
      </w:pPr>
      <w:r>
        <w:t>Длина, геометрия и тепло</w:t>
      </w:r>
    </w:p>
    <w:p>
      <w:r>
        <w:t>Проверять кратность реза, допустимую длину одного питаемого участка, число точек питания, длину/сечение трасс, ток соединителей и падение напряжения. Катушка 5 м — упаковка, не универсальный электрический предел и не правило «БП на каждые 5 м».</w:t>
      </w:r>
    </w:p>
    <w:p>
      <w:r>
        <w:t>Профиль должен принимать ширину/число рядов, обеспечивать допустимый тепловой режим и согласованный оптический результат. IP выбирать по реальному месту монтажа и требованиям, а не только слову «ванная». БП/контроллер должны оставаться доступными для обслуживания; не предполагать достаточное охлаждение в закрытой потолочной полости.</w:t>
      </w:r>
    </w:p>
    <w:p>
      <w:pPr>
        <w:pStyle w:val="Heading2"/>
      </w:pPr>
      <w:r>
        <w:t>7. Матрица совместимости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Пара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При недостатке данных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Лента ↔ БП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CV/CC, выходное U, нагрузка/ток, условия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needs_review; несовпадающее U — incompatible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Лента ↔ контроллер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режим/каналы, распиновка, ток по каналам/сумме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needs_review, не «подходит по 15 А»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Контроллер ↔ пульт/панель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точное семейство/протокол, функции, зоны, pairing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needs_review; 2.4 GHz само по себе не доказательство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Контроллер ↔ смартфон/голос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модель, firmware, экосистема, сеть, hub/cloud, регион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capability unknown, не активный бейдж Алисы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Лента ↔ профиль/экран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ширина/ряды/тепло/геометрия/оптика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запросить профиль и условия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Лента ↔ коннектор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ширина, контакты, распиновка, ток, IP/монтаж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заменять трековым соединителем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Ветка ↔ провод/питание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длина, падение напряжения, допустимый ток/защита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инженерный расчёт; не фиксированное сечение для всех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Набор ↔ корзина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что уже включено, количество зон/пультов/БП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дублировать компоненты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LED 24 V ↔ CLARUS 48 V / COLIBRI 220 V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разные напряжения и назначение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блокирующая несовместимость, не общий «SMART»</w:t>
            </w:r>
          </w:p>
        </w:tc>
      </w:tr>
    </w:tbl>
    <w:p>
      <w:r>
        <w:t>Проверка технической совместимости не равна проверке наличия, доставки, правовой модели продажи или конечной цены. Показывать основания/ограничения и catalogVersion.</w:t>
      </w:r>
    </w:p>
    <w:p>
      <w:pPr>
        <w:pStyle w:val="Heading2"/>
      </w:pPr>
      <w:r>
        <w:t>8. Все способы управления — без ложных обещаний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Клиентский выбор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Технический путь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Как предлагать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Обычное вкл/выкл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подходящий источник/коммутация по проекту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Контроллер не навязывать, если функция не нужна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Яркость с пульта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DIM-контроллер + подтверждённый RF/IR пульт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Пульт включён или явно добавлен; показать число зон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Тёплый ↔ холодный белый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CCT-лента + CCT-контроллер/пульт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Два световых канала; проверить полную нагрузку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Цвет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RGB / RGBW / RGB+CCT в соответствующем режиме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Различать цвет и отдельный качественный белый канал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Настенная панель / кнопка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RF-панель либо проводной PUSH/иной вход по паспорту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Проверить вход, питание панели и совместимость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Смартфон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Wi-Fi напрямую или RF через совместимый gateway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добавлять шлюз повторно, если Wi-Fi встроен; показать зависимость от сети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Bluetooth / локальное приложение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конкретный BLE-контроллер и приложение/дальность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По подтверждённой модели; Bluetooth не равен Wi-Fi или Алисе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Алиса / голос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проверенная интеграция конкретной модели/экосистемы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Отдельное evidence/стенд; TUYA в имени недостаточно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Zigbee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совместимое устройство и hub/координатор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По проекту, пока такого подтверждённого EKS-набора нет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Matter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сертифицированное устройство, нужный транспорт и controller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Для Алисы на проверенной справке — Matter over Wi-Fi; Thread не обещать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TRIAC/фазовое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специально совместимый диммируемый БП/драйвер и диммер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Обычный недиммируемый БП не считать подходящим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0/1–10 V, DALI/DALI-2, KNX, DMX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специализированный интерфейс/драйвер/декодер, проектная система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Продвинутый путь, не общий switch «умный свет»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Адресные эффекты SPI/DMX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совместимый чип/протокол/контроллер, ограничения пикселей/сигнала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обещать «бегущий огонь» обычной RGB-ленте</w:t>
            </w:r>
          </w:p>
        </w:tc>
      </w:tr>
    </w:tbl>
    <w:p>
      <w:r>
        <w:t>Технические возможности подтверждаются для связки, а не переносятся между брендами. В текущем feed видны модели RF/WIFI TUYA и 5-in-1 по названиям; наличие в нём подтверждённых DALI/Zigbee/Matter/SPI комплектов не установлено. Функции «без интернета», сохранение режима после выключения, групповое/раздельное управление тоже проверяются отдельно.</w:t>
      </w:r>
    </w:p>
    <w:p>
      <w:r>
        <w:t>Основания: Arlight о способах управления (https://arlight.ru/support/recommendations/); 1 (https://alice.yandex.ru/support/ru/smart-home/supported-matter-devices); 2 (https://alice.yandex.ru/support/ru/smart-home/turn-on/zigbee). Текущую поддержку платформы перепроверять перед обещанием на сайте.</w:t>
      </w:r>
    </w:p>
    <w:p>
      <w:pPr>
        <w:pStyle w:val="Heading2"/>
      </w:pPr>
      <w:r>
        <w:t>9. Подбор, цена и заявка</w:t>
      </w:r>
    </w:p>
    <w:p>
      <w:pPr>
        <w:pStyle w:val="ListBullet"/>
      </w:pPr>
      <w:r>
        <w:t>По умолчанию неизвестный факт не даёт статуса checked. Различать draft, needs_review, incompatible, electrically_checked, stock_checked, quoted — либо независимые оси, а не один вводящий в заблуждение зелёный статус.</w:t>
      </w:r>
    </w:p>
    <w:p>
      <w:pPr>
        <w:pStyle w:val="ListBullet"/>
      </w:pPr>
      <w:r>
        <w:t>Неполный набор не блокирует обращение: CTA «Передать на подбор» с сохранёнными вопросами. Не называть его готовым заказом.</w:t>
      </w:r>
    </w:p>
    <w:p>
      <w:pPr>
        <w:pStyle w:val="ListBullet"/>
      </w:pPr>
      <w:r>
        <w:t>Для объяснимого кандидата: «БП выбран по нагрузке …, запас …, паспорт/условия …». Не показывать raw-формулы вместо человеческого объяснения.</w:t>
      </w:r>
    </w:p>
    <w:p>
      <w:pPr>
        <w:pStyle w:val="ListBullet"/>
      </w:pPr>
      <w:r>
        <w:t>Добавления комплектующих показывать до подтверждения: «Для этой зоны нужны…». Удаление обязательного элемента возвращает needs_review, а не тайно добавляет его обратно.</w:t>
      </w:r>
    </w:p>
    <w:p>
      <w:pPr>
        <w:pStyle w:val="ListBullet"/>
      </w:pPr>
      <w:r>
        <w:t>Смена метража/режима/модели инвалидирует затронутые проверки и quote; изменения состава/суммы выделяются. Ручной выбор сохраняется, пока совместим.</w:t>
      </w:r>
    </w:p>
    <w:p>
      <w:pPr>
        <w:pStyle w:val="ListBullet"/>
      </w:pPr>
      <w:r>
        <w:t>Intent: только оборудование / потолок+свет / свет в готовое помещение / консультация. Последний не выдать за продажу.</w:t>
      </w:r>
    </w:p>
    <w:p>
      <w:pPr>
        <w:pStyle w:val="ListBullet"/>
      </w:pPr>
      <w:r>
        <w:t>В lead snapshot: комнаты, features/zones/runs/circuits, source длины и confirmed, выбранное управление, BOM с причинами/статусами, catalogVersion/rulesVersion/quoteVersion, исходные SKU/aliases, включения в ставку и вопросы инженеру.</w:t>
      </w:r>
    </w:p>
    <w:p>
      <w:pPr>
        <w:pStyle w:val="ListBullet"/>
      </w:pPr>
      <w:r>
        <w:t>Server-side recomputation и проверка quote обязательны перед коммерческим подтверждением; клиентские числа не являются доказательством цены. Идемпотентность/согласие/outbox сохраняются.</w:t>
      </w:r>
    </w:p>
    <w:p>
      <w:pPr>
        <w:pStyle w:val="ListBullet"/>
      </w:pPr>
      <w:r>
        <w:t>Состав ставок за парящий профиль/линии/карниз утверждает владелец. Материал либо уже включён, либо добавляется, либо учитывается upgrade delta. Не взимать дважды ленту/БП/монтаж. Существующие проценты 10/25% не менять без решения о цене.</w:t>
      </w:r>
    </w:p>
    <w:p>
      <w:pPr>
        <w:pStyle w:val="Heading2"/>
      </w:pPr>
      <w:r>
        <w:t>10. Приёмочная матрица — обязательные сценарии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№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Вход / действие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Ожидаемый результат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01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WB5 / БП / пульт / kit, одно нажатие +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Целая допустимая единица; 0.5 м аппарата невозможно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02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Лента ценой за катушку 5 м, монтаж 6 м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Раздельно 6 м установлено и подтверждённое число покупных катушек; цена не умножена ошибочно на 5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03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Запросы «лента 24В», «лента 24V», Wi-Fi/WIFI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Согласованные релевантные результаты; точные SKU/alias доступны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04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Парящий/линии без карниза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LED-раздел доступен, контекст метража виден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05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CCT 24 V + связанный БП 12 V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Incompatible, даже если relation пришёл из EKS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06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Контроллер только RGB + RGBW/RGB+CCT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подтверждать недостающие каналы/режим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07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Общий ток допустим, один канал или используемый входной разъём перегружен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Заблокировать checked, объяснить конкретный предел; C01RF round input 5 А — отдельный fixture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08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17 м × 14.4 Вт/м, K=1.25, D=1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250/300 Вт не проходят; 306 Вт — нижняя расчётная граница до прочих проверок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09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6 м линии × 2 ряда × 12 Вт/м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Нагрузка 144 Вт, а не 72 Вт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Данные о max Вт/м/режиме отсутствуют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заменять предположением; needs_review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11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Номинала хватает, derating снижает доступную мощность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Кандидат отклоняется/пересматривается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Несколько длинных ветвей/потеря напряжения неизвестны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Требуется схема; нет универсального «питание каждые 5 м»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13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RF пульт той же частоты, другое семейство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считать совместимым без pairing evidence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14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4 зоны на пульте / 2 канала CCT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Числа не смешиваются; независимо задаются зоны и электрические каналы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15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Пульт уже входит в комплект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 добавляется второй без явного выбора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16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Встроенный Wi-Fi против RF-only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Gateway требуется только по подтверждённой архитектуре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17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TUYA/Matter/SMART без подтверждения Алисы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Нет verified-бейджа/обещания совместимости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18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Сеть/интернет отключены, питание восстановлено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Поведение соответствует документированной и стендовой проверке выбранной модели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available=true, оба склада 0; Москва 0/Барнаул &gt;0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Правильные разные статусы; нет обещания московского наличия/срока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20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Цена/артикул/упаковка изменились после draft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Diff и подтверждение пользователя; не тихая подмена или удаление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21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Новая лента в уже включённой потолочной ставке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Нет двойного начисления; explicit included/extra/delta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22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Изменение метража/зоны/управления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Актуальные БП/контроллеры/пульты, прежний контекст и новый quote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23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Неполный BOM → обращение специалисту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Лид принимается как needs_review, все вопросы и состав сохранены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24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Сбой чанка/сети, retry, отмена диалога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Сохраняются B8-005/PT-004/009/020 гарантии и выбранные позиции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25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320/390/1440, клавиатура, длинные названия, 200% zoom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Нет скрытых обязательных действий, overflow, нечитаемых единиц/сумм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26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Пустой/битый/частичный feed, несогласованная схема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sz w:val="18"/>
              </w:rPr>
              <w:t>Последняя корректная catalogVersion остаётся активной; требуется review</w:t>
            </w:r>
          </w:p>
        </w:tc>
      </w:tr>
    </w:tbl>
    <w:p>
      <w:r>
        <w:t>Матрица не ограничивает тесты 26 кейсами: для каждой разрешённой пары и режима нужны data-driven positive/negative/unknown проверки, включая физическую посадку, тепло, соединители и изменение ревизии.</w:t>
      </w:r>
    </w:p>
    <w:p>
      <w:r>
        <w:t>Проверки 01–26 — задание на будущую реализацию, не отчёт об их успешном прохождении. Существующие 282 E2E не доказывают электрическую пригодность нового BOM.</w:t>
      </w:r>
    </w:p>
    <w:p>
      <w:pPr>
        <w:pStyle w:val="Heading2"/>
      </w:pPr>
      <w:r>
        <w:t>11. Порядок и допуски</w:t>
      </w:r>
    </w:p>
    <w:p>
      <w:r>
        <w:t>A · Данные и предотвращение ошибок: T8-010/011/012. Исправить типы/единицы, alias review, склад, price basis и публикацию версии; подготовить negative fixtures из снимка аудита. Не запускать необратимый массовый импорт вслепую.</w:t>
      </w:r>
    </w:p>
    <w:p>
      <w:r>
        <w:t>B · Понятный каталог: T8-020/021/025. Новая таксономия, общая карточка/поиск, быстрый вход по задаче. При неполной инженерной библиотеке — честный ручной подбор, не псевдоавтомат.</w:t>
      </w:r>
    </w:p>
    <w:p>
      <w:r>
        <w:t>C · Проверенная инженерия: T8-013/019/031. Документы EKS, approved library, зоны/цепи и объяснимый подбор. Квалифицированный специалист утверждает схемы/ограничения; пилот 2–3 комплектов, включая управление и восстановление питания.</w:t>
      </w:r>
    </w:p>
    <w:p>
      <w:r>
        <w:t>D · Коммерческая воронка: T8-014/015/016/026/027. Состав ставок, единая смета/quote, intents и lead snapshot. Правовая модель продажи — T8-005/006, не новый выдуманный статус компании.</w:t>
      </w:r>
    </w:p>
    <w:p>
      <w:r>
        <w:t>DoD: data review + unit/contract + полный E2E с тестовой БД + ручные устройства + инженерный допуск + владелец утвердил тексты/условия. Без любого необходимого допуска функциональность остаётся в preview/needs_review. Откат флагом/версией каталога не теряет лиды и не возвращает ошибочные дробные аппаратные позиции.</w:t>
      </w:r>
    </w:p>
    <w:p>
      <w:pPr>
        <w:pStyle w:val="Heading2"/>
      </w:pPr>
      <w:r>
        <w:t>12. Запрос поставщику — минимальный пакет</w:t>
      </w:r>
    </w:p>
    <w:p>
      <w:r>
        <w:t>Прислать для перечисленных в XLSX моделей: паспорт/инструкцию, priceUnit/MOQ/packQty; max Вт/м по режимам; cut step/ширину/максимальную питаемую длину/тепловые требования; паспорт БП с током и derating; ограничения контроллера по каждому каналу и суммарно; RF-семейства и пары с пультами; режимы WB5/LM051/C01/C02/C03; экосистему/Алису/интернет/поведение после отключения; полную номенклатуру соединения/профилей/рассеивателей.</w:t>
      </w:r>
    </w:p>
    <w:p>
      <w:r>
        <w:t>Файлы или другая выгрузка приветствуются, но отсутствие этих данных не заполняется догадками. До утверждения реальных комплектов таблица совместимости содержит unknown, а не ложные зелёные отметки.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Внутренний документ · preview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ПОТОЛКОВО / КАТАЛОГ СВЕТА / 14.10.2026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173C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C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Лента, питание и управление</dc:title>
  <dc:subject>Канонический источник: docs/current/CATALOG-LED-TZ.md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