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ПОТОЛКОВО · действующее ТЗ продолжения PT-020…049</w:t>
      </w:r>
    </w:p>
    <w:p>
      <w:r>
        <w:t>Действующая очередь PT-020…049 из main · продолжение в preview · 14 октября 2026</w:t>
      </w:r>
    </w:p>
    <w:p>
      <w:r>
        <w:t>Редакция 14.10.2026 · v8.1. Рабочая ветка: feat/company-rebrand-v7-preview.</w:t>
      </w:r>
    </w:p>
    <w:p>
      <w:r>
        <w:t>Назначение: продолжить в этой же ветке техническую последовательность из main вместе с ребрендингом. PT-ID остаются действующими идентификаторами задач. T8 — группировка и дополнительные технические допуски, не замена нумерации PT и не основание удалить незакрытые критерии.</w:t>
      </w:r>
    </w:p>
    <w:p>
      <w:pPr>
        <w:pStyle w:val="Heading1"/>
      </w:pPr>
      <w:r>
        <w:t>1. Основание и точка продолжения</w:t>
      </w:r>
    </w:p>
    <w:p>
      <w:pPr>
        <w:pStyle w:val="ListBullet"/>
      </w:pPr>
      <w:r>
        <w:t>Удалённый main проверен через git ls-remote: f3d7b69c6145067087f21ca1a9f4d48228923431. Локальная ветка main отстаёт; источником сверки служит именно origin/main, не локальный main.</w:t>
      </w:r>
    </w:p>
    <w:p>
      <w:pPr>
        <w:pStyle w:val="ListBullet"/>
      </w:pPr>
      <w:r>
        <w:t>Источники: POTOLKOVO-TZ-V5-FINAL.md (PT-020…037) и TZv5 допы/03-TZv5-addendum-PT038-PT049.md из этого SHA. Их действующие задачи перенесены ниже; устаревшие аудиты/отчёты заново не восстанавливаются.</w:t>
      </w:r>
    </w:p>
    <w:p>
      <w:pPr>
        <w:pStyle w:val="ListBullet"/>
      </w:pPr>
      <w:r>
        <w:t>База текущей сверки: a7a67f0c3c943cfde26c473fd78208b35003ca45. PT-001…019 не начинать заново: сохранить внедрённые контракты и regression tests. Непринятые production-допуски отслеживать в T8-002/028, не объявлять выполненными автоматически.</w:t>
      </w:r>
    </w:p>
    <w:p>
      <w:pPr>
        <w:pStyle w:val="ListBullet"/>
      </w:pPr>
      <w:r>
        <w:t>PT-020: восемь ключевых файлов тестов/доставки/БД побайтово совпали с main. Повторный целевой прогон: 35 passed, 2 files, 0 skipped с настоящей локальной PostgreSQL и fake HTTP delivery. Лог, привязка к SHA и сравнение.</w:t>
      </w:r>
    </w:p>
    <w:p>
      <w:pPr>
        <w:pStyle w:val="ListBullet"/>
      </w:pPr>
      <w:r>
        <w:t>Следующий кодовый этап — PT-021, затем PT-022/023 с проверкой уже внедрённого UI и PT-024…030. PT-031…049 — после допусков и с сохранением ограничений экспериментов. Эта редакция не реализует PT-021/024 и не объявляет их закрытыми.</w:t>
      </w:r>
    </w:p>
    <w:p>
      <w:pPr>
        <w:pStyle w:val="Heading1"/>
      </w:pPr>
      <w:r>
        <w:t>2. Действующие правила, заменяющие устаревшие указания main</w:t>
      </w:r>
    </w:p>
    <w:p>
      <w:r>
        <w:t>1. Одна рабочая ветка — текущая preview; не создавать старые quizv2ver1-fix/*, не переносить дерево main поверх редизайна. Один кодовый коммит — одна PT-задача (или явно объяснённая зависимость), ID в сообщении. Push только preview; PR/merge/push в main запрещены без отдельного разрешения production-релиза.</w:t>
      </w:r>
    </w:p>
    <w:p>
      <w:r>
        <w:t>2. Бренд — компания, основатель + партнёрские бригады. Старое «работаю лично, без бригад» и обязательное доминирование портрета отменены решением владельца. PT-023/031 сохраняют смысл «результат + достоверное авторство», но не старое позиционирование.</w:t>
      </w:r>
    </w:p>
    <w:p>
      <w:r>
        <w:t>3. Цены и проценты — из content/pricing.ts, без второй расчётной модели. Сохранить публичные URL/якоря/SEO, presets, EntryContext, touched/confirmed, draft, смету, requestId и контекст лида. Состояние не синхронизировать новыми useEffect в обход действующего guard.</w:t>
      </w:r>
    </w:p>
    <w:p>
      <w:r>
        <w:t>4. Сохранить идемпотентность: один requestId/одинаковый payload — тот же лид; изменённый payload под тем же ключом — конфликт. Лид + outbox атомарны, (lead_id, channel) уникален, claim/lease защищает от двойной отправки; лимиты, дедуп и серверная проверка не обходятся косметикой.</w:t>
      </w:r>
    </w:p>
    <w:p>
      <w:r>
        <w:t>5. Крупные поведенческие изменения — с безопасным флагом и откатом. npm audit fix --force вслепую запрещён. Не удалять тесты ради зелёного результата; каждый skip объясняется. Боевые данные и отправки запрещены в автотестах.</w:t>
      </w:r>
    </w:p>
    <w:p>
      <w:r>
        <w:t>6. Для каждой PT-задачи: воспроизведение → правка → regression test → QA → статус и ограничения в STATUS/этой карточке. Ссылки на точные логи и SHA, файлы и откат обязательны; не плодить отдельные устаревающие PT-REPORT.md.</w:t>
      </w:r>
    </w:p>
    <w:p>
      <w:r>
        <w:t>7. Обещания, права, реквизиты, наличие, совместимость, метрики — только подтверждённые. Отсутствие доступа фиксировать прямо. Условие baseline/последующего измерения для P3 не отменяется фактом готовой вёрстки.</w:t>
      </w:r>
    </w:p>
    <w:p>
      <w:r>
        <w:t>8. Прежняя отсрочка standalone reload корзины не снимается автоматически этим восстановлением плана; S06 остаётся незакрытым в соответствующем объёме. Но общий запрет «выполнять только дизайн» снят: PT-021 и остальные технические задачи входят в работу этой ветки.</w:t>
      </w:r>
    </w:p>
    <w:p>
      <w:r>
        <w:t>9. Размеры, производительность, доступность и fallback из исходного дополнения сохранены. Фирменные токены применяются вместо старой привязки к slate. Фото, названные в исходном ТЗ реальными/утверждёнными, — кандидаты, пока не подтверждены происхождение и права по B8-004. Существующий alt не доказательство прав.</w:t>
      </w:r>
    </w:p>
    <w:p>
      <w:r>
        <w:t>10. T8 дополняет PT по безопасности, EKS, SMART, праву и эксплуатации; B8 определяет бренд. Для PT-020…049 оперативный статус и конкретная приёмка — здесь, без отдельной повторной реализации по T8. При новом противоречии согласовать изменение, не молча выбирать более слабый критерий.</w:t>
      </w:r>
    </w:p>
    <w:p>
      <w:pPr>
        <w:pStyle w:val="Heading1"/>
      </w:pPr>
      <w:r>
        <w:t>3. Карточки PT-020…049</w:t>
      </w:r>
    </w:p>
    <w:p>
      <w:r>
        <w:t>Текст исходных обоснований ниже — исторические наблюдения main, не результат повторного аудита всех 30 задач. Текущий статус указан отдельно. A/T/IMG-ссылки — атрибуция источника, не дополнительные действующие ТЗ. При исполнении перепроверять фактический код.</w:t>
      </w:r>
    </w:p>
    <w:p>
      <w:pPr>
        <w:pStyle w:val="Heading2"/>
      </w:pPr>
      <w:r>
        <w:t>PT-020 · Интеграционные тесты с реальной БД и фейковым delivery-сервером</w:t>
      </w:r>
    </w:p>
    <w:p>
      <w:r>
        <w:t>Статус: РЕАЛИЗОВАНО В КОДЕ И ПОВТОРНО ПРОВЕРЕНО. 35/35 целевых тестов с локальной PostgreSQL и fake delivery; production-приёмка отдельно.</w:t>
      </w:r>
    </w:p>
    <w:p>
      <w:r>
        <w:t>Приоритет исходного плана: P1. Связь: T8-002, T8-028, T8-030.</w:t>
      </w:r>
    </w:p>
    <w:p>
      <w:r>
        <w:t>Источники: A‑13(PDF, F-14) · T‑326. CI (ci.yml) уже поднимает postgres:17-alpine и накатывает схему — использовать это для тестов транзакционности outbox (PT‑003), гонок ретрая, идемпотентности (PT‑009), а не только для unit-тестов текущего PgLeadStore. Telegram/Web3Forms — только фейковый HTTP-сервер в тестах, реальные вызовы запрещены правилом 7 раздела 2.</w:t>
      </w:r>
    </w:p>
    <w:p>
      <w:pPr>
        <w:pStyle w:val="Heading2"/>
      </w:pPr>
      <w:r>
        <w:t>PT-021 · Доверенный источник IP и защита от переполнения тела запроса</w:t>
      </w:r>
    </w:p>
    <w:p>
      <w:r>
        <w:t>Статус: ОТКРЫТО, СЛЕДУЮЩАЯ ТЕХНИЧЕСКАЯ ЗАДАЧА. В route.ts первый x-forwarded-for принимается без границы доверия; request.json() вызывается без отдельного ограничения тела.</w:t>
      </w:r>
    </w:p>
    <w:p>
      <w:r>
        <w:t>Приоритет исходного плана: P1. Связь: T8-007.</w:t>
      </w:r>
    </w:p>
    <w:p>
      <w:r>
        <w:t>Источники: A‑24(MD, F-24) · T‑316. clientIp() в route.ts берёт первый элемент x-forwarded-for без проверки, что заголовок действительно переписывается доверенным прокси/ingress платформы Amvera, а не приходит от клиента как есть. Явно задокументировать и, если возможно, проверить у платформы, какой заголовок и с каким числом «прыжков» она реально подставляет; ограничить размер тела запроса до zod-валидации.</w:t>
      </w:r>
    </w:p>
    <w:p>
      <w:r>
        <w:t>Конкретная приёмка следующего этапа. Зафиксировать реальную границу доверия для каждого используемого ingress; произвольный XFF не считать доверенным. Лимит применять до JSON/Zod к фактически прочитанным байтам потока, а не только Content-Length. Проверки: поддельные XFF/real-IP, неизвестный клиент, отсутствие/заниженный/некорректный Content-Length, chunked-переполнение, многобайтный UTF-8, malformed JSON и обычные payload всех форм. Ответ на превышение — 413 без сохранения/отправки лида; существующие идемпотентность/лимиты/контракт ошибок не ломать. Неподтверждённую конфигурацию Amvera/Vercel не выдавать за проверенную; отделить кодовый результат от platform_verified.</w:t>
      </w:r>
    </w:p>
    <w:p>
      <w:pPr>
        <w:pStyle w:val="Heading2"/>
      </w:pPr>
      <w:r>
        <w:t>PT-022 · Ценовой якорь hero главной страницы соответствует заявленному продукту</w:t>
      </w:r>
    </w:p>
    <w:p>
      <w:r>
        <w:t>Статус: ЧАСТИЧНО / ПЕРЕПРОВЕРИТЬ КОНТРАКТ. Hero переработан; автоматическая согласованность всех цен и продуктов не принята отдельно.</w:t>
      </w:r>
    </w:p>
    <w:p>
      <w:r>
        <w:t>Приоритет исходного плана: P1. Связь: T8-003.</w:t>
      </w:r>
    </w:p>
    <w:p>
      <w:r>
        <w:t>Источники: триангулировано A‑15(MD, F-15) + B‑F106, независимо подтверждено этим документом чтением content/homepage.ts: h1: "Теневые и парящие потолки под ключ...", а subtitle: "От 1 000 ₽/м² · ..." — это цена простого потолка (pricing.ceiling.standard), а не теневого/парящего, которые начинаются от 800 ₽/м² за полотно плюс 950/2500 ₽/м.п. за профиль. Важное уточнение этого документа: на страницах конкретных услуг (например, /tenevoy-profil) якорь уже реализован корректно через servicePriceAnchor() из content/pricing.ts — то есть паттерн правильного решения в проекте уже есть, задача — привести к нему главную страницу, а не изобретать новый.</w:t>
      </w:r>
    </w:p>
    <w:p>
      <w:r>
        <w:t>Решение. Заменить подзаголовок hero на один из двух вариантов: (а) явно назвать, к какому продукту относится цифра («Простой потолок — от 1 000 ₽/м². Теневой и парящий считаются по площади и длине профиля в калькуляторе»), либо (б) показать составной якорь по каждому из заявленных в H1 продуктов, посчитанный из content/pricing.ts, а не захардкоженный отдельно.</w:t>
      </w:r>
    </w:p>
    <w:p>
      <w:r>
        <w:t>Приёмка. Число в hero соответствует продукту, названному в H1, при любом изменении content/pricing.ts (нет расхождения между hero и сервисными страницами).</w:t>
      </w:r>
    </w:p>
    <w:p>
      <w:pPr>
        <w:pStyle w:val="Heading2"/>
      </w:pPr>
      <w:r>
        <w:t>PT-023 · Баланс результата и авторства компании на первом экране</w:t>
      </w:r>
    </w:p>
    <w:p>
      <w:r>
        <w:t>Статус: АДАПТИРОВАНО ПОД КОМПАНИЮ. Композиция внедрена; права и атрибуция визуалов требуют подтверждения.</w:t>
      </w:r>
    </w:p>
    <w:p>
      <w:r>
        <w:t>Приоритет исходного плана: P1. Связь: T8-024; B8-001, B8-004.</w:t>
      </w:r>
    </w:p>
    <w:p>
      <w:r>
        <w:t>Работа. Сохранить результат/интерьер главным визуалом; роль основателя показать достоверно и без повторения одного портрета в нескольких блоках. Второй кадр мастера за работой использовать только при наличии подходящего подтверждённого материала, не генерировать доказательство реального объекта.</w:t>
      </w:r>
    </w:p>
    <w:p>
      <w:r>
        <w:t>Приёмка. Нет возвращения обещаний «лично, без бригад»; композиция соответствует компании; изображения, роли и права атрибутированы. Уже внедрённую главную не переделывать с нуля.</w:t>
      </w:r>
    </w:p>
    <w:p>
      <w:r>
        <w:t>Адаптация источника: отменено только противоречащее новому бренду личное позиционирование; задача визуального баланса сохранена.</w:t>
      </w:r>
    </w:p>
    <w:p>
      <w:pPr>
        <w:pStyle w:val="Heading2"/>
      </w:pPr>
      <w:r>
        <w:t>PT-024 · Корректный payload аналитических событий подтверждения параметра</w:t>
      </w:r>
    </w:p>
    <w:p>
      <w:r>
        <w:t>Статус: ОТКРЫТО, ДЕФЕКТ ПОДТВЕРЖДЁН КОДОМ. В goNext для screen.t=param передаётся area, в альтернативной ветке пустая строка.</w:t>
      </w:r>
    </w:p>
    <w:p>
      <w:r>
        <w:t>Приоритет исходного плана: P2. Связь: T8-027.</w:t>
      </w:r>
    </w:p>
    <w:p>
      <w:r>
        <w:t>Источники: A‑14(MD, F-14) · T‑327. quiz_param_confirm в PriceCalculatorQuizV2.tsx передаёт room.area вне зависимости от реального параметра (трек, карниз, количество светильников и т.п.). Ввести типизированную таблицу param → value с реальным значением для каждого типа параметра.</w:t>
      </w:r>
    </w:p>
    <w:p>
      <w:pPr>
        <w:pStyle w:val="Heading2"/>
      </w:pPr>
      <w:r>
        <w:t>PT-025 · Структурированные данные — без обещания звёзд, но с легитимными полями</w:t>
      </w:r>
    </w:p>
    <w:p>
      <w:r>
        <w:t>Статус: ОТКРЫТО / ПЕРЕПРОВЕРИТЬ JSON-LD. Отзывы и юридические факты не объявлены согласованными.</w:t>
      </w:r>
    </w:p>
    <w:p>
      <w:r>
        <w:t>Приоритет исходного плана: P2. Связь: T8-029.</w:t>
      </w:r>
    </w:p>
    <w:p>
      <w:r>
        <w:t>Источники: B‑F103 · A‑20(документ B) · T‑328, официальная позиция Google (developers.google.com/search/docs/appearance/structured-data/review-snippet, .../blog/2019/09/making-review-rich-results-more-helpful) — self-serving отзывы и агрегация чужих рейтингов (например, скопированных с Avito) для aggregateRating на собственном LocalBusiness прямо запрещены правилами Google. Отклонить как обязательную задачу идею добавить aggregateRating, скопированный с Avito. Разрешено и полезно: priceRange, реальные review (без выдумывания текста, только с согласия автора отзыва), уточнение areaServed/geo, если владелец подтвердит реальный адрес — не публиковать выдуманный адрес ради валидатора.</w:t>
      </w:r>
    </w:p>
    <w:p>
      <w:pPr>
        <w:pStyle w:val="Heading2"/>
      </w:pPr>
      <w:r>
        <w:t>PT-026 · Диверсификация источников отзывов (операционная задача владельца + техническая подготовка)</w:t>
      </w:r>
    </w:p>
    <w:p>
      <w:r>
        <w:t>Статус: ОЖИДАЕТ ДАННЫХ ВЛАДЕЛЬЦА. Второй источник не подтверждён.</w:t>
      </w:r>
    </w:p>
    <w:p>
      <w:r>
        <w:t>Приоритет исходного плана: P2. Связь: T8-004, T8-024, T8-033.</w:t>
      </w:r>
    </w:p>
    <w:p>
      <w:r>
        <w:t>Источники: B‑F105 · T‑329. Отсутствие ссылки на Яндекс.Карты/2ГИС в коде не доказывает отсутствие профиля — сначала нужно проверить у владельца, есть ли уже такие профили, не дублировать организацию вслепую. Технически подготовить блок под второй источник рейтинга с флагом видимости, включаемым только когда профиль подтверждён.</w:t>
      </w:r>
    </w:p>
    <w:p>
      <w:pPr>
        <w:pStyle w:val="Heading2"/>
      </w:pPr>
      <w:r>
        <w:t>PT-027 · Документировать роли цветов интерактивных элементов</w:t>
      </w:r>
    </w:p>
    <w:p>
      <w:r>
        <w:t>Статус: ЧАСТИЧНО. Фирменный UI существует; единый документ ролей и состояний завершить вместе с B8-002/005.</w:t>
      </w:r>
    </w:p>
    <w:p>
      <w:r>
        <w:t>Приоритет исходного плана: P2. Связь: T8-025; B8-002, B8-005.</w:t>
      </w:r>
    </w:p>
    <w:p>
      <w:r>
        <w:t>Источники: B‑F113 · T‑330. Зафиксировать в актуальном брендбуке/дизайн-системе из B8-002/005, какой цвет — единственный «главный» (актуальные фирменные токены в UI, не обязательный старый bg-slate-950), какой — второстепенный/подтверждающий, чтобы новые экраны не вносили третий несогласованный акцентный цвет случайно.</w:t>
      </w:r>
    </w:p>
    <w:p>
      <w:pPr>
        <w:pStyle w:val="Heading2"/>
      </w:pPr>
      <w:r>
        <w:t>PT-028 · Автоматизированный и ручной accessibility-прогон</w:t>
      </w:r>
    </w:p>
    <w:p>
      <w:r>
        <w:t>Статус: ЧАСТИЧНО. Axe/E2E есть; реальные устройства, screen reader и полная ручная приёмка не закрыты.</w:t>
      </w:r>
    </w:p>
    <w:p>
      <w:r>
        <w:t>Приоритет исходного плана: P2. Связь: T8-025; B8-006.</w:t>
      </w:r>
    </w:p>
    <w:p>
      <w:r>
        <w:t>Источники: A‑30(MD) · B‑F114 · T‑331. Добавить @axe-core/playwright в E2E по пути до заявки, прогонять на собранном (не dev) стейджинге. Дополнительно — ручной проход клавиатурой (Tab/Shift+Tab/Escape, focus return), проверка на реальном iOS Safari с экранной клавиатурой, 200% zoom, prefers-reduced-motion. Контраст обычного текста ≥4.5:1, крупного текста/значимых UI-границ ≥3:1 — не применять безусловное «везде минимум 44×44» как юридическую норму, использовать как целевой ориентир, а не жёсткое правило для всех исключений WCAG.</w:t>
      </w:r>
    </w:p>
    <w:p>
      <w:pPr>
        <w:pStyle w:val="Heading2"/>
      </w:pPr>
      <w:r>
        <w:t>PT-029 · Закрыть owner-pending факты в текстах услуг</w:t>
      </w:r>
    </w:p>
    <w:p>
      <w:r>
        <w:t>Статус: ОТКРЫТО. Реестр утверждений и ответы владельца не завершены.</w:t>
      </w:r>
    </w:p>
    <w:p>
      <w:r>
        <w:t>Приоритет исходного плана: P2. Связь: T8-004; B8-001.</w:t>
      </w:r>
    </w:p>
    <w:p>
      <w:r>
        <w:t>Источники: B‑F111 · T‑332. Список мест с флагом source: "owner-pending" в фактах об услугах — подготовить конкретные вопросы владельцу; до ответа — смягчить формулировку до диапазона или убрать ложную точность, не изобретать цифру самостоятельно.</w:t>
      </w:r>
    </w:p>
    <w:p>
      <w:pPr>
        <w:pStyle w:val="Heading2"/>
      </w:pPr>
      <w:r>
        <w:t>PT-030 · Мобильный итог квиза: один главный акцент, disclosure для деталей</w:t>
      </w:r>
    </w:p>
    <w:p>
      <w:r>
        <w:t>Статус: UI ВНЕДРЁН В PREVIEW. Повторно принять узкие экраны, раскрытие деталей и обе воронки; не считать задачей повторного редизайна.</w:t>
      </w:r>
    </w:p>
    <w:p>
      <w:r>
        <w:t>Приоритет исходного плана: P2. Связь: T8-026; B8-005.</w:t>
      </w:r>
    </w:p>
    <w:p>
      <w:r>
        <w:t>Источники: A‑17(документ A, финальный раздел визуального ТЗ) · T‑331(частично). Итог показывает одну главную сумму, потолок/монтаж/оборудование — компактно, детали по клику/раскрытию. Без телефона — до предварительного бюджета. Не прятать опциональный свет за принудительным переходом в каталог.</w:t>
      </w:r>
    </w:p>
    <w:p>
      <w:pPr>
        <w:pStyle w:val="Heading2"/>
      </w:pPr>
      <w:r>
        <w:t>PT-031 · Редизайн первого экрана главной вокруг результата (Вариант B)</w:t>
      </w:r>
    </w:p>
    <w:p>
      <w:r>
        <w:t>Статус: UI ВНЕДРЁН В PREVIEW. Компания вместо мастера; эффект на конверсию не измерен и не заявляется.</w:t>
      </w:r>
    </w:p>
    <w:p>
      <w:r>
        <w:t>Приоритет исходного плана: P3. Связь: T8-023, T8-024, T8-034; B8-005.</w:t>
      </w:r>
    </w:p>
    <w:p>
      <w:r>
        <w:t>Источники: A‑15 (документ A, визуальный аудит по снимку 1440×1000) · T‑333(частично, пересекается с PT‑022 по смыслу цены, но здесь речь о композиции, не о цифре). Короткий H1, различимый подтверждённый интерьер либо явно маркированная иллюстрация как основной визуал, компактная и достоверная атрибуция компании/основателя вместо доминирующего портрета, один primary CTA. Обязательна отдельная мобильная композиция (360×640, 390×844, 768×1024, 1440×1000), не автоматическое сжатие десктопной колонки.</w:t>
      </w:r>
    </w:p>
    <w:p>
      <w:pPr>
        <w:pStyle w:val="Heading2"/>
      </w:pPr>
      <w:r>
        <w:t>PT-032 · Проверить или смягчить обещание «2 минуты»</w:t>
      </w:r>
    </w:p>
    <w:p>
      <w:r>
        <w:t>Статус: В БРЕНДОВОМ ПРОХОДЕ B8-001 смягчены формулировки в CalculatorTeaser и ServiceMidCta: обещания «2 минуты» удалены, расчёт обозначен предварительным. Измерение медианы/p75 не выполнялось; повторно проверить отсутствие такого обещания во всех текущих точках.</w:t>
      </w:r>
    </w:p>
    <w:p>
      <w:r>
        <w:t>Приоритет исходного плана: P3. Связь: T8-023, T8-027.</w:t>
      </w:r>
    </w:p>
    <w:p>
      <w:r>
        <w:t>Источники: A‑16(MD) · T‑335. Замерить активное время прохождения квиза до первого бюджета через существующие события quiz_screen_view с таймстампами (это уже собираемые данные, не новая интеграция). Если медиана/p75 не укладывается — заменить формулировку на нейтральную («узнать предварительную стоимость», «без телефона — до результата») до подтверждения данными.</w:t>
      </w:r>
    </w:p>
    <w:p>
      <w:pPr>
        <w:pStyle w:val="Heading2"/>
      </w:pPr>
      <w:r>
        <w:t>PT-033 · Визуальные объяснения технических вариантов потолка</w:t>
      </w:r>
    </w:p>
    <w:p>
      <w:r>
        <w:t>Статус: ЧАСТИЧНО / ВЫПОЛНЯТЬ ЧЕРЕЗ PT-038…043. В OptionCard отсутствует imageSrc; не считать иллюстрированный квиз готовым по картинкам на страницах услуг.</w:t>
      </w:r>
    </w:p>
    <w:p>
      <w:r>
        <w:t>Приоритет исходного плана: P3. Связь: T8-024, T8-020.</w:t>
      </w:r>
    </w:p>
    <w:p>
      <w:r>
        <w:t>Источники: A‑27(MD) · T‑336. Для теневого/парящего/скрытого карниза — компактные сравнения «как выглядит» реальными фото (уже использующимися на страницах услуг) в едином масштабе внутри ParamScreen.tsx квиза, без монтажного жаргона.</w:t>
      </w:r>
    </w:p>
    <w:p>
      <w:pPr>
        <w:pStyle w:val="Heading2"/>
      </w:pPr>
      <w:r>
        <w:t>PT-034 · Прогресс по смысловым задачам, а не только макро-шагу</w:t>
      </w:r>
    </w:p>
    <w:p>
      <w:r>
        <w:t>Статус: ПЕРЕПРОВЕРИТЬ. Принять фактический прогресс для всех ветвей, не по одному скриншоту.</w:t>
      </w:r>
    </w:p>
    <w:p>
      <w:r>
        <w:t>Приоритет исходного плана: P3. Связь: T8-017.</w:t>
      </w:r>
    </w:p>
    <w:p>
      <w:r>
        <w:t>Источники: A‑26(MD) · T‑337. «Кухня · параметр 2 из 5» вместо/вместе с общим макро-индикатором; явная пометка необязательности подбора света.</w:t>
      </w:r>
    </w:p>
    <w:p>
      <w:pPr>
        <w:pStyle w:val="Heading2"/>
      </w:pPr>
      <w:r>
        <w:t>PT-035 · Контролируемый тест предвыбора сценария</w:t>
      </w:r>
    </w:p>
    <w:p>
      <w:r>
        <w:t>Статус: ЭКСПЕРИМЕНТ НЕ ПРИНЯТ. Без данных и согласования не включать предвыбор всем.</w:t>
      </w:r>
    </w:p>
    <w:p>
      <w:r>
        <w:t>Приоритет исходного плана: P3. Связь: T8-034.</w:t>
      </w:r>
    </w:p>
    <w:p>
      <w:r>
        <w:t>Источники: B‑F110 · T‑338. Экспериментальная предустановка «Стандартный» с явной подписью «рекомендуем для начала» и возможностью сменить выбор в один клик — только как A/B с измерением completion Шага 0, не безусловное изменение по умолчанию всем пользователям сразу.</w:t>
      </w:r>
    </w:p>
    <w:p>
      <w:pPr>
        <w:pStyle w:val="Heading2"/>
      </w:pPr>
      <w:r>
        <w:t>PT-036 · Связать код заявки с исходом сделки</w:t>
      </w:r>
    </w:p>
    <w:p>
      <w:r>
        <w:t>Статус: ЧАСТИЧНО / ПРОВЕРИТЬ КАНАЛЫ. Код заявки существует; приёмка всех форматов и связи с исходом сделки отдельно.</w:t>
      </w:r>
    </w:p>
    <w:p>
      <w:r>
        <w:t>Приоритет исходного плана: P3. Связь: T8-027.</w:t>
      </w:r>
    </w:p>
    <w:p>
      <w:r>
        <w:t>Источники: A‑28(MD) · T‑340. Минимум техническая часть: гарантировать, что publicCode присутствует во всех каналах доставки лида в явном виде, чтобы владелец мог вручную сверить его со своим учётом сделок — без интеграции с конкретной CRM, к которой у агента нет доступа.</w:t>
      </w:r>
    </w:p>
    <w:p>
      <w:pPr>
        <w:pStyle w:val="Heading2"/>
      </w:pPr>
      <w:r>
        <w:t>PT-037 · Ручная проверка мобильного hero на реальном устройстве</w:t>
      </w:r>
    </w:p>
    <w:p>
      <w:r>
        <w:t>Статус: ОТКРЫТО. Реальные устройства не заменяются эмуляцией.</w:t>
      </w:r>
    </w:p>
    <w:p>
      <w:r>
        <w:t>Приоритет исходного плана: P3. Связь: T8-025; B8-006.</w:t>
      </w:r>
    </w:p>
    <w:p>
      <w:r>
        <w:t>Источники: A‑18(MD) · T‑341. iOS Safari, поведение при появлении адресной строки/клавиатуры, отсутствие перекрытия sticky-элементами — задокументировать как отдельные баг-тикеты при расхождении с эмуляцией Playwright, не выдавать эмуляцию за эквивалент реального устройства.</w:t>
      </w:r>
    </w:p>
    <w:p>
      <w:pPr>
        <w:pStyle w:val="Heading2"/>
      </w:pPr>
      <w:r>
        <w:t>PT-038 · Расширить OptionCard пропом изображения с безопасным откатом к тексту</w:t>
      </w:r>
    </w:p>
    <w:p>
      <w:r>
        <w:t>Статус: ОТКРЫТО. OptionCard сейчас принимает active/title/meta/onClick, без слота изображения.</w:t>
      </w:r>
    </w:p>
    <w:p>
      <w:r>
        <w:t>Приоритет исходного плана: P3. Связь: T8-024, T8-025.</w:t>
      </w:r>
    </w:p>
    <w:p>
      <w:r>
        <w:t>Источники: IMG‑01, IMG‑12 (документ 2) · уточняет PT‑033.</w:t>
      </w:r>
    </w:p>
    <w:p>
      <w:r>
        <w:t>Проблема. components/calculator-modal/step0/quiz-v2/ui.tsx → OptionCard({ active, title, meta, onClick }) не имеет слота под изображение. Добавление картинок в экраны сейчас невозможно без правки этого компонента, а бесконтрольная правка рискует сломать доступность (см. IMG‑08) или создать нерабочее состояние при отсутствии картинки.</w:t>
      </w:r>
    </w:p>
    <w:p>
      <w:r>
        <w:t>Решение. Добавить необязательные пропы imageSrc?: string, imageAlt?: string (обязателен, если передан imageSrc), imageAspect?: "4:3" | "1:1" (дефолт "4:3"). Внутри — рендер &lt;Picture&gt; (components/ui/picture.tsx) высотой, ограниченной контейнером карточки (не более 96 px на мобильном/128 px на десктопе — константа, не проп, чтобы визуально не расползалось по проекту), loading="lazy", без priority. Если imageSrc не передан или отсутствует запись в data/image-manifest.json — карточка рендерится ровно как сегодня (чистый текст), без пустого места/сломанной иконки. Никакого нового useEffect: это чисто презентационное расширение, состояние не меняется.</w:t>
      </w:r>
    </w:p>
    <w:p>
      <w:r>
        <w:t>Приёмка. Существующие вызовы OptionCard без нового пропа продолжают рендериться пиксель-в-пиксель как раньше (snapshot-тест/визуальное сравнение). Вызов с imageSrc, указывающим на несуществующий путь, не бросает исключение и не оставляет битой иконки. aria-pressed, min-h-11 и текстовый контраст сохранены при любом состоянии картинки.</w:t>
      </w:r>
    </w:p>
    <w:p>
      <w:r>
        <w:t>Уточнение. imageAlt обязателен в контракте при imageSrc, но допускает пустую строку для декоративного изображения по PT-047. Baseline «как раньше» — текущая брендовая OptionCard, не UI старого main.</w:t>
      </w:r>
    </w:p>
    <w:p>
      <w:pPr>
        <w:pStyle w:val="Heading2"/>
      </w:pPr>
      <w:r>
        <w:t>PT-039 · Иллюстрации для экрана «Тип потолка» (ParamScreen.tsx, param === "ceiling")</w:t>
      </w:r>
    </w:p>
    <w:p>
      <w:r>
        <w:t>Статус: ОТКРЫТО. Зависит от PT-038/046/049 и проверки источников фотографий.</w:t>
      </w:r>
    </w:p>
    <w:p>
      <w:r>
        <w:t>Приоритет исходного плана: P3. Связь: T8-024.</w:t>
      </w:r>
    </w:p>
    <w:p>
      <w:r>
        <w:t>Источники: IMG‑01, IMG‑04 (документ 2) · реализует PT‑033 для этого конкретного экрана.</w:t>
      </w:r>
    </w:p>
    <w:p>
      <w:r>
        <w:t>Проблема. Три варианта («Простой потолок» / «Теневой потолок» / «Парящий потолок») — чистый текст с ценой, при этом реальные фото для всех трёх уже есть и зарегистрированы (proof-05/proof-01/proof-02 в content/home-assets.ts).</w:t>
      </w:r>
    </w:p>
    <w:p>
      <w:r>
        <w:t>Решение. Подключить imageSrc: /proj-matte-1.jpeg (простой), /proj-shadow-1.jpeg (теневой), /proj-float-1.jpeg (парящий); imageAlt — взять текст из home-assets.ts (alt), не выдумывать новый. Уровень источника — 1 (реальное фото), генерация не требуется.</w:t>
      </w:r>
    </w:p>
    <w:p>
      <w:r>
        <w:t>Приёмка. Все три карточки экрана «Тип потолка» показывают миниатюру реального фото, тексты alt совпадают с уже утверждёнными в content/home-assets.ts; вес каждой миниатюры укладывается в бюджет PT‑046.</w:t>
      </w:r>
    </w:p>
    <w:p>
      <w:pPr>
        <w:pStyle w:val="Heading2"/>
      </w:pPr>
      <w:r>
        <w:t>PT-040 · Иллюстрации для экрана «Карнизы» — реальные + схематичные там, где реальных нет</w:t>
      </w:r>
    </w:p>
    <w:p>
      <w:r>
        <w:t>Статус: ОТКРЫТО. Зависит от PT-038/046/049 и комплекта различимых схем.</w:t>
      </w:r>
    </w:p>
    <w:p>
      <w:r>
        <w:t>Приоритет исходного плана: P3. Связь: T8-024.</w:t>
      </w:r>
    </w:p>
    <w:p>
      <w:r>
        <w:t>Источники: IMG‑05 (документ 2, пункт 1) · IMG‑04.</w:t>
      </w:r>
    </w:p>
    <w:p>
      <w:r>
        <w:t>Проблема. 4 варианта карниза (none/built-in/hidden-niche/surface), реальное фото есть только для hidden-niche (proj-cornice-1.jpeg, подпись «Скрытый карниз» в home-assets.ts — сверить формулировку с content/homepage.ts, где вариант называется «Скрытая ниша», чтобы подпись фото и название опции не расходились текстуально). Для built-in и surface реального разделяющего кадра нет (IMG‑05).</w:t>
      </w:r>
    </w:p>
    <w:p>
      <w:r>
        <w:t>Решение. По правилу «всё или ничего» (принцип 2 этого документа): hidden-niche — реальное фото (/proj-cornice-1.jpeg); built-in и surface — новые схематичные иллюстрации уровня 2 (см. художественный бриф в разделе 4), выполненные в едином масштабе и ракурсе разреза потолка друг с другом, чтобы разница «встроенный vs накладной» была видна однозначно на одном визуальном языке; none — без изображения (пустое значение иллюстрировать нечем и не нужно, текстовой карточки достаточно).</w:t>
      </w:r>
    </w:p>
    <w:p>
      <w:r>
        <w:t>Приёмка. У built-in, hidden-niche, surface — по одному изображению каждое; у none — только текст (осознанное исключение по принципу 2, не нарушение). Схематичные иллюстрации built-in/surface визуально по стилю не совпадают с фотографиями (не выдаются за реальные объекты) — проверяется вручную по художественному брифу раздела 4.</w:t>
      </w:r>
    </w:p>
    <w:p>
      <w:pPr>
        <w:pStyle w:val="Heading2"/>
      </w:pPr>
      <w:r>
        <w:t>PT-041 · Иллюстрации для экрана «Трековое освещение»</w:t>
      </w:r>
    </w:p>
    <w:p>
      <w:r>
        <w:t>Статус: ОТКРЫТО. Зависит от PT-038/046/049; монтажные типы должны различаться.</w:t>
      </w:r>
    </w:p>
    <w:p>
      <w:r>
        <w:t>Приоритет исходного плана: P3. Связь: T8-024, T8-013.</w:t>
      </w:r>
    </w:p>
    <w:p>
      <w:r>
        <w:t>Источники: IMG‑05 (документ 2, пункт 2).</w:t>
      </w:r>
    </w:p>
    <w:p>
      <w:r>
        <w:t>Проблема. 3 варианта трека (none/built-in/surface), реальные фото (svc-track.jpeg, svc-tracksale.jpeg) не разделены по монтажному типу.</w:t>
      </w:r>
    </w:p>
    <w:p>
      <w:r>
        <w:t>Решение. Аналогично PT‑040: built-in и surface — новые схематичные иллюстрации в едином масштабе (см. художественный бриф в разделе 4); none — без изображения. svc-track.jpeg/svc-tracksale.jpeg не использовать для этого экрана (риск создать ложное впечатление, что фото показывает конкретно этот подтип, хотя оно обобщённое) — эти файлы остаются только на странице услуги, где контекст однозначен.</w:t>
      </w:r>
    </w:p>
    <w:p>
      <w:r>
        <w:t>Приёмка. Как в PT‑040, применительно к треку.</w:t>
      </w:r>
    </w:p>
    <w:p>
      <w:pPr>
        <w:pStyle w:val="Heading2"/>
      </w:pPr>
      <w:r>
        <w:t>PT-042 · Иллюстрация для экрана «Световые линии»</w:t>
      </w:r>
    </w:p>
    <w:p>
      <w:r>
        <w:t>Статус: ОТКРЫТО. Зависит от PT-038/046/049 и проверки источника фотографии.</w:t>
      </w:r>
    </w:p>
    <w:p>
      <w:r>
        <w:t>Приоритет исходного плана: P3. Связь: T8-024, T8-020.</w:t>
      </w:r>
    </w:p>
    <w:p>
      <w:r>
        <w:t>Источники: IMG‑04.</w:t>
      </w:r>
    </w:p>
    <w:p>
      <w:r>
        <w:t>Проблема. Бинарный выбор («Без световых линий» / «Добавить световые линии») без визуальной опоры, при этом реальное фото уже есть (proof-03, /proj-lines-1.jpeg).</w:t>
      </w:r>
    </w:p>
    <w:p>
      <w:r>
        <w:t>Решение. Добавить imageSrc="/proj-lines-1.jpeg" только к варианту «Добавить световые линии» (у отрицательного варианта иллюстрировать нечего — по аналогии с none в PT‑040/PT‑041, это не нарушает принцип 2, поскольку «без» — не отдельная визуальная категория, а её осознанное отсутствие).</w:t>
      </w:r>
    </w:p>
    <w:p>
      <w:r>
        <w:t>Приёмка. Карточка «Добавить световые линии» показывает миниатюру /proj-lines-1.jpeg с существующим alt из home-assets.ts.</w:t>
      </w:r>
    </w:p>
    <w:p>
      <w:pPr>
        <w:pStyle w:val="Heading2"/>
      </w:pPr>
      <w:r>
        <w:t>PT-043 · Карточки сценария (ScenarioScreen.tsx) — перевести на общий OptionCard и добавить иллюстрации</w:t>
      </w:r>
    </w:p>
    <w:p>
      <w:r>
        <w:t>Статус: ОТКРЫТО / ПРОВЕРИТЬ ПЕРЕД РЕФАКТОРИНГОМ. Переиспользовать текущие компоненты; не менять выбор и расчёт.</w:t>
      </w:r>
    </w:p>
    <w:p>
      <w:r>
        <w:t>Приоритет исходного плана: P3. Связь: T8-017, T8-020, T8-024.</w:t>
      </w:r>
    </w:p>
    <w:p>
      <w:r>
        <w:t>Источники: IMG‑09 (дублирование разметки) + IMG‑05 (пункт 3, нет фото под «Продвинутый»).</w:t>
      </w:r>
    </w:p>
    <w:p>
      <w:r>
        <w:t>Проблема. ScenarioScreen.tsx не использует OptionCard, держит собственную копию вёрстки кнопки — до добавления картинок это стоит исправить, иначе проп изображения придётся дублировать в двух местах и они разойдутся визуально.</w:t>
      </w:r>
    </w:p>
    <w:p>
      <w:r>
        <w:t>Решение. (а) Перевести ScenarioScreen.tsx на OptionCard из ui.tsx (чисто рефакторинг вёрстки, поведение выбора не меняется — это безопасно для useEffect-гейта, т.к. состояние компонента не меняется, обновляется только JSX). (б) Добавить иллюстрации: «Стандартный» → /proj-matte-1.jpeg (тот же реальный кадр, что и «Простой потолок» в PT‑039 — переиспользование, не дублирование смысла разрешено, т.к. это буквально соответствующий уровень); «Современный» → /proj-shadow-1.jpeg; «Продвинутый» → новая AI-иллюстрация уровня 3 по художественному брифу раздела 4, с explicit-подписью «иллюстрация» под карточкой (маленький текст, не всплывающая подсказка), т.к. концепция «SMART-свет и сценарии управления» не имеет прямого фотографического аналога в архиве и рискует неправильно задать ожидание конкретного продукта.</w:t>
      </w:r>
    </w:p>
    <w:p>
      <w:r>
        <w:t>Приёмка. ScenarioScreen.tsx использует общий OptionCard; визуальная регрессия отсутствует (кнопки выглядят так же или лучше, чем раньше, семантика активного состояния и контраст сохранены с действующими фирменными токенами); карточка «Продвинутый» содержит подпись «иллюстрация».</w:t>
      </w:r>
    </w:p>
    <w:p>
      <w:pPr>
        <w:pStyle w:val="Heading2"/>
      </w:pPr>
      <w:r>
        <w:t>PT-044 · Иконки для 9 типов помещений (RoomPickerScreen.tsx) — не фото, а единый набор пиктограмм</w:t>
      </w:r>
    </w:p>
    <w:p>
      <w:r>
        <w:t>Статус: НЕ ПРИНЯТО ПО ЭТОМУ КОНТРАКТУ. Проверить имеющиеся пиктограммы перед добавлением новых.</w:t>
      </w:r>
    </w:p>
    <w:p>
      <w:r>
        <w:t>Приоритет исходного плана: P3. Связь: T8-024, T8-025.</w:t>
      </w:r>
    </w:p>
    <w:p>
      <w:r>
        <w:t>Источники: IMG‑05 (пункт 4) · 01-audit-idei.md, риск 7 (единообразие визуального языка).</w:t>
      </w:r>
    </w:p>
    <w:p>
      <w:r>
        <w:t>Проблема. 9 кнопок типов помещений — чистый текст, но использовать для них фотографии избыточно и создаёт визуальный шум (это быстрый выбор одним касанием, не решение с деньгами на кону, как тип потолка).</w:t>
      </w:r>
    </w:p>
    <w:p>
      <w:r>
        <w:t>Решение. Не переиспользовать imageSrc-путь OptionCard/Picture для этого случая (тяжело и избыточно для маленькой иконки), а завести отдельный, лёгкий инлайн-SVG-набор из 9 line-иконок (одна линия, один вес обводки, монохромная — цвет наследуется от текста кнопки через currentColor, чтобы автоматически подстраиваться под активное/неактивное состояние без отдельного изображения на состояние). Иконки — не генерировать через AI-изображение (растровый PNG для 20×20 px пиктограммы даёт худшее качество на Retina, чем нарисованный/подобранный SVG); при необходимости внешнего источника — использовать бриф пиктограмм раздела 4 только как референс для художника/иконочного набора, не как финальный ассет.</w:t>
      </w:r>
    </w:p>
    <w:p>
      <w:r>
        <w:t>Приёмка. Каждая из 9 кнопок получает иконку 20×20 (SVG, aria-hidden="true", текст рядом остаётся основным носителем смысла для скринридера); вес всех 9 иконок суммарно ≤ 5 КБ (инлайн, без сетевого запроса).</w:t>
      </w:r>
    </w:p>
    <w:p>
      <w:pPr>
        <w:pStyle w:val="Heading2"/>
      </w:pPr>
      <w:r>
        <w:t>PT-045 · Бинарные переключатели (карниз-подсветка/люстры/точечные светильники) — единый набор пиктограмм-переключателей</w:t>
      </w:r>
    </w:p>
    <w:p>
      <w:r>
        <w:t>Статус: НЕ ПРИНЯТО ПО ЭТОМУ КОНТРАКТУ. Проверить пары состояний и единый SVG-набор.</w:t>
      </w:r>
    </w:p>
    <w:p>
      <w:r>
        <w:t>Приоритет исходного плана: P3. Связь: T8-024, T8-025.</w:t>
      </w:r>
    </w:p>
    <w:p>
      <w:r>
        <w:t>Источники: IMG‑05 (пункт 6).</w:t>
      </w:r>
    </w:p>
    <w:p>
      <w:r>
        <w:t>Проблема. Пары «Без подсветки/Добавить подсветку», «Не нужно/Добавить установку» (люстры), «Без светильников/Добавить светильники» — концептуально ближе к переключателю «выкл/вкл», чем к иллюстрации предмета.</w:t>
      </w:r>
    </w:p>
    <w:p>
      <w:r>
        <w:t>Решение. Аналогично PT‑044 — единый инлайн-SVG-набор из 3 пар простых пиктограмм (перечёркнутая лампочка/лампочка, перечёркнутая люстра/люстра, перечёркнутый светильник/светильник), не фотографии и не AI-генерация.</w:t>
      </w:r>
    </w:p>
    <w:p>
      <w:r>
        <w:t>Приёмка. Как в PT‑044, применительно к 3 парам переключателей.</w:t>
      </w:r>
    </w:p>
    <w:p>
      <w:pPr>
        <w:pStyle w:val="Heading2"/>
      </w:pPr>
      <w:r>
        <w:t>PT-046 · Отдельный весовой бюджет и точка входа в пайплайн для миниатюр квиза</w:t>
      </w:r>
    </w:p>
    <w:p>
      <w:r>
        <w:t>Статус: ОТКРЫТО / ПЕРЕПРОВЕРИТЬ IMAGE PIPELINE. Отдельный бюджет quiz-* не принят.</w:t>
      </w:r>
    </w:p>
    <w:p>
      <w:r>
        <w:t>Приоритет исходного плана: P3. Связь: T8-029.</w:t>
      </w:r>
    </w:p>
    <w:p>
      <w:r>
        <w:t>Источники: IMG‑03, IMG‑10 (документ 2) · 01-audit-idei.md, риск 2.</w:t>
      </w:r>
    </w:p>
    <w:p>
      <w:r>
        <w:t>Проблема. scripts/build-images.mjs не содержит бюджета для нового класса файлов (миниатюры квиза), риск бесконтрольного веса.</w:t>
      </w:r>
    </w:p>
    <w:p>
      <w:r>
        <w:t>Решение. Добавить в BUDGETS_KB запись { test: (name) =&gt; name.startsWith("quiz-"), limitKb: 20, label: "квиз" }; договориться об именовании новых исходников по префиксу quiz- (например, quiz-cornice-builtin.jpeg, quiz-track-surface.jpeg), чтобы бюджет применялся автоматически; для ширин квиза достаточно 240/480 (добавить в MAX_WIDTH_BY_PREFIX запись { prefix: "quiz-", maxWidth: 480 }, аналогично уже существующей записи для proj-), 1440 не нужен, т.к. миниатюра никогда не показывается шире ~200 CSS px.</w:t>
      </w:r>
    </w:p>
    <w:p>
      <w:r>
        <w:t>Приёмка. npm run build:images генерирует quiz-*-240.webp/avif и quiz-*-480.webp/avif, каждый файл ≤20 КБ на WebP/480w; data/image-manifest.json содержит корректные записи; npm run check:images не падает.</w:t>
      </w:r>
    </w:p>
    <w:p>
      <w:r>
        <w:t>Уточнение. При повторном использовании proj-* обеспечить целевые 240/480 и бюджет миниатюры без снижения качества полноразмерных изображений галереи; допустим именованный quiz-* производный файл с сохранённой атрибуцией.</w:t>
      </w:r>
    </w:p>
    <w:p>
      <w:pPr>
        <w:pStyle w:val="Heading2"/>
      </w:pPr>
      <w:r>
        <w:t>PT-047 · Требования доступности для новых изображений (расширение PT‑028)</w:t>
      </w:r>
    </w:p>
    <w:p>
      <w:r>
        <w:t>Статус: ОТКРЫТО ДЛЯ НОВЫХ КАРТИНОК. Общий axe-прогон не закрывает ещё не внедрённый режим.</w:t>
      </w:r>
    </w:p>
    <w:p>
      <w:r>
        <w:t>Приоритет исходного плана: P3. Связь: T8-025.</w:t>
      </w:r>
    </w:p>
    <w:p>
      <w:r>
        <w:t>Источники: IMG‑08 (документ 2) · 01-audit-idei.md, риск 4.</w:t>
      </w:r>
    </w:p>
    <w:p>
      <w:r>
        <w:t>Проблема. Нужно явно зафиксировать контракт, чтобы будущий @axe-core/playwright-прогон из PT‑028 не начал падать из-за новых изображений.</w:t>
      </w:r>
    </w:p>
    <w:p>
      <w:r>
        <w:t>Решение. Правило: если imageAlt по смыслу дублирует уже видимый title карточки — alt="" и aria-hidden="true" на самой картинке (декоративное дополнение, весь смысл несёт текст); если картинка добавляет информацию, которой нет в title/meta — alt обязателен и лаконичен. Ни для одного экрана изображение не может быть единственным способом отличить активный вариант от неактивного (это уже обеспечено активным состоянием текста/фона OptionCard, но нужно явно проверить после интеграции, что рамка/заливка активного состояния не была случайно перекрыта картинкой).</w:t>
      </w:r>
    </w:p>
    <w:p>
      <w:r>
        <w:t>Приёмка. Ручной проход Tab/Shift+Tab по всем изменённым экранам — фокус и объявления скринридера не изменились по сравнению с текущим состоянием; включить эти экраны в объём будущего прогона PT‑028, когда он будет выполняться.</w:t>
      </w:r>
    </w:p>
    <w:p>
      <w:pPr>
        <w:pStyle w:val="Heading2"/>
      </w:pPr>
      <w:r>
        <w:t>PT-048 · Флаг фичи, поэтапный вывод и измерение по существующим событиям аналитики</w:t>
      </w:r>
    </w:p>
    <w:p>
      <w:r>
        <w:t>Статус: ОТКРЫТО. Флаг NEXT_PUBLIC_QUIZ_STEP_IMAGES не найден в коде квиза; baseline не получен.</w:t>
      </w:r>
    </w:p>
    <w:p>
      <w:r>
        <w:t>Приоритет исходного плана: P3. Связь: T8-036, T8-027.</w:t>
      </w:r>
    </w:p>
    <w:p>
      <w:r>
        <w:t>Источники: 01-audit-idei.md, риск 6 · правило 8 раздела 2 ТЗ v5 · паттерн PT‑035.</w:t>
      </w:r>
    </w:p>
    <w:p>
      <w:r>
        <w:t>Проблема. Это P3-гипотеза без baseline; правило раздела «P3» ТЗ v5 требует baseline и возможность отката, а не «просто релиз кода».</w:t>
      </w:r>
    </w:p>
    <w:p>
      <w:r>
        <w:t>Решение. (1) Ввести NEXT_PUBLIC_QUIZ_STEP_IMAGES (дефолт false), по аналогии с NEXT_PUBLIC_CALC_QUIZ_V2. (2) До включения флага кому-либо — снять baseline по существующим trackQuizScreenView/trackQuizBack/trackQuizParamConfirm (lib/analytics.ts) за 2–4 недели: долю ушедших на каждом param-экране (в первую очередь ceiling, cornice, track — самые жаргонные). (3) Включать флаг сначала только для этих трёх экранов (PT‑039, PT‑040, PT‑041), не для всех девяти сразу — так сравнение будет чище. (4) Через 2–4 недели после включения — повторно снять те же метрики и сравнить; если завершаемость param-экранов не выросла или упала — откат публичным флагом с новой сборкой preview/релиза, задача переводится в статус «гипотеза не подтвердилась», не удаляется код, а документируется вывод.</w:t>
      </w:r>
    </w:p>
    <w:p>
      <w:r>
        <w:t>Приёмка. Флаг существует и по умолчанию выключен; отчёт по задаче обязан содержать baseline-числа до и после, а не только факт «код выкатили» (по правилу 9 раздела 2 ТЗ v5). Если у исполняющего агента нет доступа к Яндекс.Метрике для снятия чисел — прямо написать «доступ отсутствует» и передать владельцу пошаговую инструкцию, что смотреть в каком отчёте Метрики.</w:t>
      </w:r>
    </w:p>
    <w:p>
      <w:r>
        <w:t>Поправка к main. NEXT_PUBLIC_* в Next.js фиксируется при сборке: обещание отката runtime-переменной «без деплоя» неверно. Проверять отдельные build on/off либо отдельно реализовать и принять runtime-конфиг. Включение production-флага также требует разрешения владельца.</w:t>
      </w:r>
    </w:p>
    <w:p>
      <w:pPr>
        <w:pStyle w:val="Heading2"/>
      </w:pPr>
      <w:r>
        <w:t>PT-049 · Правило добросовестности изображений — закрепить письменно, не полагаться на общую формулировку правила 5</w:t>
      </w:r>
    </w:p>
    <w:p>
      <w:r>
        <w:t>Статус: ЧАСТИЧНО. Общее правило AI-маркировки закреплено; будущие ассеты каждого экрана требуют отдельной проверки.</w:t>
      </w:r>
    </w:p>
    <w:p>
      <w:r>
        <w:t>Приоритет исходного плана: P3. Связь: T8-024; B8-004.</w:t>
      </w:r>
    </w:p>
    <w:p>
      <w:r>
        <w:t>Источники: 01-audit-idei.md, риск 1.</w:t>
      </w:r>
    </w:p>
    <w:p>
      <w:r>
        <w:t>Проблема. Общее правило 5 раздела 2 ТЗ v5 говорит про текстовые факты (отзывы, реквизиты, гарантии); для изображений нужен явный, буквальный аналог, иначе разные исполнители будут трактовать «можно ли сгенерировать фотореалистичное фото объекта» по-разному.</w:t>
      </w:r>
    </w:p>
    <w:p>
      <w:r>
        <w:t>Решение. Зафиксировать в актуальном брендбуке/дизайн-системе из B8-002/005 (там же, где по PT‑027 фиксируются роли цветов) правило: «Любое изображение в интерфейсе, похожее на фотографию конкретного результата работ, обязано быть либо настоящей фотографией реального объекта компании (с фактическим alt), либо визуально однозначно опознаваемо как схема/иллюстрация (не фотореалистичный рендер, выданный за объект). Фотореалистичные AI-иллюстрации допустимы только для абстрактных, не привязанных к конкретному материалу концепций и обязаны иметь подпись «иллюстрация», видимую без наведения/клика.»</w:t>
      </w:r>
    </w:p>
    <w:p>
      <w:r>
        <w:t>Приёмка. Правило добавлено в актуальном брендбуке/дизайн-системе из B8-002/005; все изображения, добавленные в PT‑039…PT‑043, вручную сверены с этим правилом и художественным брифом раздела 4 перед мёржем.</w:t>
      </w:r>
    </w:p>
    <w:p>
      <w:pPr>
        <w:pStyle w:val="Heading1"/>
      </w:pPr>
      <w:r>
        <w:t>4. Бриф и зависимости иллюстраций (вместо ссылок на удалённый «документ 4»)</w:t>
      </w:r>
    </w:p>
    <w:p>
      <w:pPr>
        <w:pStyle w:val="ListBullet"/>
      </w:pPr>
      <w:r>
        <w:t>Приоритет: подтверждённое реальное фото → наглядная схема → явно маркированная AI-концепция. Никаких вымышленных объектов компании. Все изображения — высочайшего визуального качества, но в рамках бюджета PT-046.</w:t>
      </w:r>
    </w:p>
    <w:p>
      <w:pPr>
        <w:pStyle w:val="ListBullet"/>
      </w:pPr>
      <w:r>
        <w:t>Карниз built-in/surface и трек built-in/surface: одинаковый ракурс/масштаб сечения, простая геометрия и ясно различимый способ монтажа; не утверждать неподтверждённую совместимость конкретной системы. Обобщённое фото трека не доказывает монтажный подтип.</w:t>
      </w:r>
    </w:p>
    <w:p>
      <w:pPr>
        <w:pStyle w:val="ListBullet"/>
      </w:pPr>
      <w:r>
        <w:t>В одной смысловой группе покрыть все значимые положительные варианты; иначе оставить группу текстовой. none/отрицательный вариант — явное исключение PT-040…042, а не повод иллюстрировать только самый дорогой положительный вариант.</w:t>
      </w:r>
    </w:p>
    <w:p>
      <w:pPr>
        <w:pStyle w:val="ListBullet"/>
      </w:pPr>
      <w:r>
        <w:t>Продвинутый сценарий: концептуальная иллюстрация с постоянно видимой подписью, без обещания реально доступного SMART-комплекта. Текст и цена остаются видимыми при ошибке загрузки.</w:t>
      </w:r>
    </w:p>
    <w:p>
      <w:pPr>
        <w:pStyle w:val="ListBullet"/>
      </w:pPr>
      <w:r>
        <w:t>Пиктограммы помещений и переключателей — SVG/currentColor, один стиль и вес линии, не растровая генерация под 20 px.</w:t>
      </w:r>
    </w:p>
    <w:p>
      <w:pPr>
        <w:pStyle w:val="ListBullet"/>
      </w:pPr>
      <w:r>
        <w:t>Порядок: PT-038 → PT-046/049 → PT-039…042 → PT-043…045 → PT-047. Флаг PT-048 закладывать до первого включения иллюстраций; сначала off, затем сборки on/off, baseline, ограниченный согласованный эксперимент. FSM и тарифы в этом блоке не менять.</w:t>
      </w:r>
    </w:p>
    <w:p>
      <w:pPr>
        <w:pStyle w:val="Heading1"/>
      </w:pPr>
      <w:r>
        <w:t>5. Матрица приёмки, сохранённая из main</w:t>
      </w:r>
    </w:p>
    <w:p>
      <w:r>
        <w:t>Это обязательные сценарии для затронутых функций, не список уже пройденных проверок. Прежний QA не закрывает новые контракты. S06 сохраняет явно отложенный остаток; production-проверки S12/S14 только с доступом и разрешением.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#</w:t>
            </w:r>
          </w:p>
        </w:tc>
        <w:tc>
          <w:tcPr>
            <w:tcW w:type="dxa" w:w="5040"/>
          </w:tcPr>
          <w:p>
            <w:r>
              <w:t>Сценарий</w:t>
            </w:r>
          </w:p>
        </w:tc>
      </w:tr>
      <w:tr>
        <w:tc>
          <w:tcPr>
            <w:tcW w:type="dxa" w:w="5040"/>
          </w:tcPr>
          <w:p>
            <w:r>
              <w:t>S01</w:t>
            </w:r>
          </w:p>
        </w:tc>
        <w:tc>
          <w:tcPr>
            <w:tcW w:type="dxa" w:w="5040"/>
          </w:tcPr>
          <w:p>
            <w:r>
              <w:t>Главная: header/hero/sticky → стандартный сценарий → первая цена → без света → заявка</w:t>
            </w:r>
          </w:p>
        </w:tc>
      </w:tr>
      <w:tr>
        <w:tc>
          <w:tcPr>
            <w:tcW w:type="dxa" w:w="5040"/>
          </w:tcPr>
          <w:p>
            <w:r>
              <w:t>S02</w:t>
            </w:r>
          </w:p>
        </w:tc>
        <w:tc>
          <w:tcPr>
            <w:tcW w:type="dxa" w:w="5040"/>
          </w:tcPr>
          <w:p>
            <w:r>
              <w:t>Все 9 услуг × header/hero/mid/proof/sticky; недоступные на конкретной странице входы исключаются с причиной, не молча</w:t>
            </w:r>
          </w:p>
        </w:tc>
      </w:tr>
      <w:tr>
        <w:tc>
          <w:tcPr>
            <w:tcW w:type="dxa" w:w="5040"/>
          </w:tcPr>
          <w:p>
            <w:r>
              <w:t>S03</w:t>
            </w:r>
          </w:p>
        </w:tc>
        <w:tc>
          <w:tcPr>
            <w:tcW w:type="dxa" w:w="5040"/>
          </w:tcPr>
          <w:p>
            <w:r>
              <w:t>Тестовый расчёт 18 м² / 19 м профиля / 10 м трека — идентичен в UI, snapshot и БД</w:t>
            </w:r>
          </w:p>
        </w:tc>
      </w:tr>
      <w:tr>
        <w:tc>
          <w:tcPr>
            <w:tcW w:type="dxa" w:w="5040"/>
          </w:tcPr>
          <w:p>
            <w:r>
              <w:t>S04</w:t>
            </w:r>
          </w:p>
        </w:tc>
        <w:tc>
          <w:tcPr>
            <w:tcW w:type="dxa" w:w="5040"/>
          </w:tcPr>
          <w:p>
            <w:r>
              <w:t>Световые линии/карниз/парящий профиль: enabled и длина сохраняются от пресета до записи в лиде</w:t>
            </w:r>
          </w:p>
        </w:tc>
      </w:tr>
      <w:tr>
        <w:tc>
          <w:tcPr>
            <w:tcW w:type="dxa" w:w="5040"/>
          </w:tcPr>
          <w:p>
            <w:r>
              <w:t>S05</w:t>
            </w:r>
          </w:p>
        </w:tc>
        <w:tc>
          <w:tcPr>
            <w:tcW w:type="dxa" w:w="5040"/>
          </w:tcPr>
          <w:p>
            <w:r>
              <w:t>Две комнаты; редактирование первой после второй; удаление; «Назад»; сумма без повторного применения минимума</w:t>
            </w:r>
          </w:p>
        </w:tc>
      </w:tr>
      <w:tr>
        <w:tc>
          <w:tcPr>
            <w:tcW w:type="dxa" w:w="5040"/>
          </w:tcPr>
          <w:p>
            <w:r>
              <w:t>S06</w:t>
            </w:r>
          </w:p>
        </w:tc>
        <w:tc>
          <w:tcPr>
            <w:tcW w:type="dxa" w:w="5040"/>
          </w:tcPr>
          <w:p>
            <w:r>
              <w:t>Draft + корзина → reload → продолжить/отказ; повреждённый/просроченный/несовместимой версии draft — безопасный отказ</w:t>
            </w:r>
          </w:p>
        </w:tc>
      </w:tr>
      <w:tr>
        <w:tc>
          <w:tcPr>
            <w:tcW w:type="dxa" w:w="5040"/>
          </w:tcPr>
          <w:p>
            <w:r>
              <w:t>S07</w:t>
            </w:r>
          </w:p>
        </w:tc>
        <w:tc>
          <w:tcPr>
            <w:tcW w:type="dxa" w:w="5040"/>
          </w:tcPr>
          <w:p>
            <w:r>
              <w:t>Вход «сначала свет»: пустая корзина, готовый комплект, только оборудование, с потолком, возврат в каталог, смена системы</w:t>
            </w:r>
          </w:p>
        </w:tc>
      </w:tr>
      <w:tr>
        <w:tc>
          <w:tcPr>
            <w:tcW w:type="dxa" w:w="5040"/>
          </w:tcPr>
          <w:p>
            <w:r>
              <w:t>S08</w:t>
            </w:r>
          </w:p>
        </w:tc>
        <w:tc>
          <w:tcPr>
            <w:tcW w:type="dxa" w:w="5040"/>
          </w:tcPr>
          <w:p>
            <w:r>
              <w:t>Escape/overlay/крестик диалога — без перехода к оформлению; явные кнопки — правильный путь</w:t>
            </w:r>
          </w:p>
        </w:tc>
      </w:tr>
      <w:tr>
        <w:tc>
          <w:tcPr>
            <w:tcW w:type="dxa" w:w="5040"/>
          </w:tcPr>
          <w:p>
            <w:r>
              <w:t>S09</w:t>
            </w:r>
          </w:p>
        </w:tc>
        <w:tc>
          <w:tcPr>
            <w:tcW w:type="dxa" w:w="5040"/>
          </w:tcPr>
          <w:p>
            <w:r>
              <w:t>Rescue: 201/422/429/500/offline/timeout; согласие и полный snapshot</w:t>
            </w:r>
          </w:p>
        </w:tc>
      </w:tr>
      <w:tr>
        <w:tc>
          <w:tcPr>
            <w:tcW w:type="dxa" w:w="5040"/>
          </w:tcPr>
          <w:p>
            <w:r>
              <w:t>S10</w:t>
            </w:r>
          </w:p>
        </w:tc>
        <w:tc>
          <w:tcPr>
            <w:tcW w:type="dxa" w:w="5040"/>
          </w:tcPr>
          <w:p>
            <w:r>
              <w:t>Прямая заявка без квиза; аномально длинная атрибуция; заблокированное хранилище</w:t>
            </w:r>
          </w:p>
        </w:tc>
      </w:tr>
      <w:tr>
        <w:tc>
          <w:tcPr>
            <w:tcW w:type="dxa" w:w="5040"/>
          </w:tcPr>
          <w:p>
            <w:r>
              <w:t>S11</w:t>
            </w:r>
          </w:p>
        </w:tc>
        <w:tc>
          <w:tcPr>
            <w:tcW w:type="dxa" w:w="5040"/>
          </w:tcPr>
          <w:p>
            <w:r>
              <w:t>Повтор одного requestId; параллельная отправка; новый payload с тем же телефоном; 409 для того же ключа с другим хешем</w:t>
            </w:r>
          </w:p>
        </w:tc>
      </w:tr>
      <w:tr>
        <w:tc>
          <w:tcPr>
            <w:tcW w:type="dxa" w:w="5040"/>
          </w:tcPr>
          <w:p>
            <w:r>
              <w:t>S12</w:t>
            </w:r>
          </w:p>
        </w:tc>
        <w:tc>
          <w:tcPr>
            <w:tcW w:type="dxa" w:w="5040"/>
          </w:tcPr>
          <w:p>
            <w:r>
              <w:t>Остановка процесса сразу после commit; два параллельных worker'а ретрая; истёкший lease; таймаут провайдера; исчерпание попыток → dead-letter</w:t>
            </w:r>
          </w:p>
        </w:tc>
      </w:tr>
      <w:tr>
        <w:tc>
          <w:tcPr>
            <w:tcW w:type="dxa" w:w="5040"/>
          </w:tcPr>
          <w:p>
            <w:r>
              <w:t>S13</w:t>
            </w:r>
          </w:p>
        </w:tc>
        <w:tc>
          <w:tcPr>
            <w:tcW w:type="dxa" w:w="5040"/>
          </w:tcPr>
          <w:p>
            <w:r>
              <w:t>Подмена суммы/SKU/скидки/количества с клиента — сервер не принимает её как авторитетную</w:t>
            </w:r>
          </w:p>
        </w:tc>
      </w:tr>
      <w:tr>
        <w:tc>
          <w:tcPr>
            <w:tcW w:type="dxa" w:w="5040"/>
          </w:tcPr>
          <w:p>
            <w:r>
              <w:t>S14</w:t>
            </w:r>
          </w:p>
        </w:tc>
        <w:tc>
          <w:tcPr>
            <w:tcW w:type="dxa" w:w="5040"/>
          </w:tcPr>
          <w:p>
            <w:r>
              <w:t>Production без БД; недоступная БД; отсутствующие каналы доставки; отсутствующие реквизиты; секреты не попадают в bundle/лог</w:t>
            </w:r>
          </w:p>
        </w:tc>
      </w:tr>
      <w:tr>
        <w:tc>
          <w:tcPr>
            <w:tcW w:type="dxa" w:w="5040"/>
          </w:tcPr>
          <w:p>
            <w:r>
              <w:t>S15</w:t>
            </w:r>
          </w:p>
        </w:tc>
        <w:tc>
          <w:tcPr>
            <w:tcW w:type="dxa" w:w="5040"/>
          </w:tcPr>
          <w:p>
            <w:r>
              <w:t>Мобильная клавиатура, 200% zoom, focus trap, Escape, возврат фокуса, screen-reader alert</w:t>
            </w:r>
          </w:p>
        </w:tc>
      </w:tr>
      <w:tr>
        <w:tc>
          <w:tcPr>
            <w:tcW w:type="dxa" w:w="5040"/>
          </w:tcPr>
          <w:p>
            <w:r>
              <w:t>S16</w:t>
            </w:r>
          </w:p>
        </w:tc>
        <w:tc>
          <w:tcPr>
            <w:tcW w:type="dxa" w:w="5040"/>
          </w:tcPr>
          <w:p>
            <w:r>
              <w:t>Все публичные маршруты: title/H1/canonical/robots/sitemap, 404, редиректы</w:t>
            </w:r>
          </w:p>
        </w:tc>
      </w:tr>
      <w:tr>
        <w:tc>
          <w:tcPr>
            <w:tcW w:type="dxa" w:w="5040"/>
          </w:tcPr>
          <w:p>
            <w:r>
              <w:t>S17</w:t>
            </w:r>
          </w:p>
        </w:tc>
        <w:tc>
          <w:tcPr>
            <w:tcW w:type="dxa" w:w="5040"/>
          </w:tcPr>
          <w:p>
            <w:r>
              <w:t>События аналитики не содержат PII, значение соответствует параметру, повтор запроса не создаёт повторную конверсию</w:t>
            </w:r>
          </w:p>
        </w:tc>
      </w:tr>
      <w:tr>
        <w:tc>
          <w:tcPr>
            <w:tcW w:type="dxa" w:w="5040"/>
          </w:tcPr>
          <w:p>
            <w:r>
              <w:t>S18</w:t>
            </w:r>
          </w:p>
        </w:tc>
        <w:tc>
          <w:tcPr>
            <w:tcW w:type="dxa" w:w="5040"/>
          </w:tcPr>
          <w:p>
            <w:r>
              <w:t>Политика конфиденциальности открывается и возвращает к заполненной форме</w:t>
            </w:r>
          </w:p>
        </w:tc>
      </w:tr>
      <w:tr>
        <w:tc>
          <w:tcPr>
            <w:tcW w:type="dxa" w:w="5040"/>
          </w:tcPr>
          <w:p>
            <w:r>
              <w:t>S19</w:t>
            </w:r>
          </w:p>
        </w:tc>
        <w:tc>
          <w:tcPr>
            <w:tcW w:type="dxa" w:w="5040"/>
          </w:tcPr>
          <w:p>
            <w:r>
              <w:t>PT-048 off: текущая брендовая текстовая версия; on: ceiling/cornice/track/lightLines/scenario по PT-039…043. Нет изображения/записи в manifest → безопасный текстовый fallback; aria-pressed/фокус/контраст не деградируют. Отдельные сборки on/off.</w:t>
            </w:r>
          </w:p>
        </w:tc>
      </w:tr>
    </w:tbl>
    <w:p>
      <w:pPr>
        <w:pStyle w:val="Heading1"/>
      </w:pPr>
      <w:r>
        <w:t>6. Следующий шаг и критерий закрытия</w:t>
      </w:r>
    </w:p>
    <w:p>
      <w:r>
        <w:t>1. PT-020 сохраняется как выполненная техническая база с regression coverage. Не переписывать outbox ради возобновления нумерации.</w:t>
      </w:r>
    </w:p>
    <w:p>
      <w:r>
        <w:t>2. PT-021: сначала воспроизведение и тесты ограничителя/доверия IP, затем ограниченная правка API; платформенное подтверждение — отдельный статус, а не выдуманный факт.</w:t>
      </w:r>
    </w:p>
    <w:p>
      <w:r>
        <w:t>3. PT-022/023: проверить уже выполненное в бренде, доделать только остаток. PT-024: исправить значения события типизированным отображением параметров и тестами обеих ветвей goNext; без PII.</w:t>
      </w:r>
    </w:p>
    <w:p>
      <w:r>
        <w:t>4. PT-025…030 и брендовые B8-задачи выполнять согласованно, не закрывая одно и то же повторно. P3 и иллюстрации — после соответствующих зависимостей, baseline и разрешения эксперимента.</w:t>
      </w:r>
    </w:p>
    <w:p>
      <w:r>
        <w:t>5. Для кода: lint, typecheck, unit с PostgreSQL, flow, catalog/prebuild, build/bundle, E2E/strict flaky по runbook. Для картинок дополнительно build:images/check:images и on/off + fallback. Ручная приёмка не подменяется axe.</w:t>
      </w:r>
    </w:p>
    <w:p>
      <w:r>
        <w:t>6. Статусы разделять: repo_done, local_verified, platform_verified, owner_approved. Один зелёный прогон не закрывает права, аналитику или production.</w:t>
      </w:r>
    </w:p>
    <w:p>
      <w:r>
        <w:t>7. Откат отдельной PT-правки — revert её коммита в preview, без force-push и потери заявок; для изменений схемы — совместимая expand/switch/contract миграция. Текущие тарифы и API сохраняются.</w:t>
      </w:r>
    </w:p>
    <w:p>
      <w:pPr>
        <w:pStyle w:val="Heading1"/>
      </w:pPr>
      <w:r>
        <w:t>7. PT-050 и далее: два разных источника, не одна очередь</w:t>
      </w:r>
    </w:p>
    <w:p>
      <w:r>
        <w:t>В двух пользовательских аудитах номера PT-050… повторяются с разным смыслом. Основное ТЗ main и его дополнение заканчиваются на PT-049. Поэтому нельзя молча назначить следующей задаче один из двух PT-050.</w:t>
      </w:r>
    </w:p>
    <w:p>
      <w:pPr>
        <w:pStyle w:val="ListBullet"/>
      </w:pPr>
      <w:r>
        <w:t>Аудит A · 01.10 / PT-050…077 — основной аудит сайта.</w:t>
      </w:r>
    </w:p>
    <w:p>
      <w:pPr>
        <w:pStyle w:val="ListBullet"/>
      </w:pPr>
      <w:r>
        <w:t>Аудит B · SMART-LIGHT / PT-050…075 — аудит умного света.</w:t>
      </w:r>
    </w:p>
    <w:p>
      <w:r>
        <w:t>Оба набора остаются действующими через TECHNICAL-TZ-V8.md и строки с полем source в LEGACY-MAP.csv. При ссылке на PT-050+ указывать источник; новых конфликтующих PT-ID не создавать. Не удалять технические требования EKS/SMART под видом очистки отчётов.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Только preview · Выпуск в main — по отдельному разрешению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ПОТОЛКОВО   /   ДОКУМЕНТАЦИЯ v8.1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73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C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