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DD" w:rsidRDefault="000409DD" w:rsidP="000409DD">
      <w:pPr>
        <w:pStyle w:val="Ttulo1"/>
        <w:numPr>
          <w:ilvl w:val="0"/>
          <w:numId w:val="1"/>
        </w:numPr>
      </w:pPr>
      <w:bookmarkStart w:id="0" w:name="_Toc477455051"/>
      <w:bookmarkStart w:id="1" w:name="_Toc479254583"/>
      <w:r>
        <w:t>Bibliography</w:t>
      </w:r>
      <w:bookmarkEnd w:id="0"/>
      <w:bookmarkEnd w:id="1"/>
    </w:p>
    <w:p w:rsidR="000409DD" w:rsidRPr="00CB14F7" w:rsidRDefault="000409DD" w:rsidP="00CB14F7">
      <w:pPr>
        <w:pStyle w:val="Bibliografa"/>
        <w:rPr>
          <w:rFonts w:ascii="Calibri" w:hAnsi="Calibri"/>
          <w:lang w:val="en-US"/>
        </w:rPr>
      </w:pPr>
      <w: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fldChar w:fldCharType="separate"/>
      </w:r>
      <w:r w:rsidRPr="00CB14F7">
        <w:rPr>
          <w:rFonts w:ascii="Calibri" w:hAnsi="Calibri"/>
          <w:lang w:val="en-US"/>
        </w:rPr>
        <w:t>[1]</w:t>
      </w:r>
      <w:r w:rsidRPr="00CB14F7">
        <w:rPr>
          <w:rFonts w:ascii="Calibri" w:hAnsi="Calibri"/>
          <w:lang w:val="en-US"/>
        </w:rPr>
        <w:tab/>
        <w:t xml:space="preserve">M. Rouse, ‘What is social engineering?’, </w:t>
      </w:r>
      <w:r w:rsidRPr="00CB14F7">
        <w:rPr>
          <w:rFonts w:ascii="Calibri" w:hAnsi="Calibri"/>
          <w:i/>
          <w:iCs/>
          <w:lang w:val="en-US"/>
        </w:rPr>
        <w:t>SearchSecurity</w:t>
      </w:r>
      <w:r w:rsidRPr="00CB14F7">
        <w:rPr>
          <w:rFonts w:ascii="Calibri" w:hAnsi="Calibri"/>
          <w:lang w:val="en-US"/>
        </w:rPr>
        <w:t>, Feb-2016. [Online]. Available: http://searchsecurity.techtarget.com/definition/social-engineering. [Accessed: 05-Apr-2017].</w:t>
      </w:r>
    </w:p>
    <w:p w:rsidR="000409DD" w:rsidRPr="00CB14F7" w:rsidRDefault="000409DD" w:rsidP="00CB14F7">
      <w:pPr>
        <w:pStyle w:val="Bibliografa"/>
        <w:rPr>
          <w:rFonts w:ascii="Calibri" w:hAnsi="Calibri"/>
          <w:lang w:val="en-US"/>
        </w:rPr>
      </w:pPr>
      <w:r w:rsidRPr="00CB14F7">
        <w:rPr>
          <w:rFonts w:ascii="Calibri" w:hAnsi="Calibri"/>
          <w:lang w:val="en-US"/>
        </w:rPr>
        <w:t>[2]</w:t>
      </w:r>
      <w:r w:rsidRPr="00CB14F7">
        <w:rPr>
          <w:rFonts w:ascii="Calibri" w:hAnsi="Calibri"/>
          <w:lang w:val="en-US"/>
        </w:rPr>
        <w:tab/>
        <w:t xml:space="preserve">B. Kelebek, ‘Automating security tests using OWASP ZAP and Jenkins’, </w:t>
      </w:r>
      <w:r w:rsidRPr="00CB14F7">
        <w:rPr>
          <w:rFonts w:ascii="Calibri" w:hAnsi="Calibri"/>
          <w:i/>
          <w:iCs/>
          <w:lang w:val="en-US"/>
        </w:rPr>
        <w:t>Securify</w:t>
      </w:r>
      <w:r w:rsidRPr="00CB14F7">
        <w:rPr>
          <w:rFonts w:ascii="Calibri" w:hAnsi="Calibri"/>
          <w:lang w:val="en-US"/>
        </w:rPr>
        <w:t>, Mar-2015. [Online]. Available: https://www.securify.nl/blog/SFY20150303/automating_security_tests_using_owasp_zap_and_jenkins.html. [Accessed: 05-Apr-2017].</w:t>
      </w:r>
    </w:p>
    <w:p w:rsidR="000409DD" w:rsidRPr="00CB14F7" w:rsidRDefault="000409DD" w:rsidP="00CB14F7">
      <w:pPr>
        <w:pStyle w:val="Bibliografa"/>
        <w:rPr>
          <w:rFonts w:ascii="Calibri" w:hAnsi="Calibri"/>
          <w:lang w:val="en-US"/>
        </w:rPr>
      </w:pPr>
      <w:r w:rsidRPr="00CB14F7">
        <w:rPr>
          <w:rFonts w:ascii="Calibri" w:hAnsi="Calibri"/>
          <w:lang w:val="en-US"/>
        </w:rPr>
        <w:t>[3]</w:t>
      </w:r>
      <w:r w:rsidRPr="00CB14F7">
        <w:rPr>
          <w:rFonts w:ascii="Calibri" w:hAnsi="Calibri"/>
          <w:lang w:val="en-US"/>
        </w:rPr>
        <w:tab/>
        <w:t xml:space="preserve">K. Scarfone, M. Souppaya, A. Cody, and A. Orebaugh, ‘Technical Guide to Information Security Testing and Assessment’, </w:t>
      </w:r>
      <w:r w:rsidRPr="00CB14F7">
        <w:rPr>
          <w:rFonts w:ascii="Calibri" w:hAnsi="Calibri"/>
          <w:i/>
          <w:iCs/>
          <w:lang w:val="en-US"/>
        </w:rPr>
        <w:t>National Institute of Standards and Technology</w:t>
      </w:r>
      <w:r w:rsidRPr="00CB14F7">
        <w:rPr>
          <w:rFonts w:ascii="Calibri" w:hAnsi="Calibri"/>
          <w:lang w:val="en-US"/>
        </w:rPr>
        <w:t>, Sep-2008. [Online]. Available: http://nvlpubs.nist.gov/nistpubs/Legacy/SP/nistspecialpublication800-115.pdf.</w:t>
      </w:r>
    </w:p>
    <w:p w:rsidR="000409DD" w:rsidRPr="00CB14F7" w:rsidRDefault="000409DD" w:rsidP="00CB14F7">
      <w:pPr>
        <w:pStyle w:val="Bibliografa"/>
        <w:rPr>
          <w:rFonts w:ascii="Calibri" w:hAnsi="Calibri"/>
          <w:lang w:val="en-US"/>
        </w:rPr>
      </w:pPr>
      <w:r w:rsidRPr="00CB14F7">
        <w:rPr>
          <w:rFonts w:ascii="Calibri" w:hAnsi="Calibri"/>
          <w:lang w:val="en-US"/>
        </w:rPr>
        <w:t>[4]</w:t>
      </w:r>
      <w:r w:rsidRPr="00CB14F7">
        <w:rPr>
          <w:rFonts w:ascii="Calibri" w:hAnsi="Calibri"/>
          <w:lang w:val="en-US"/>
        </w:rPr>
        <w:tab/>
        <w:t>Offensive Security, ‘Penetration Test Report’, Aug-2013. [Online]. Available: https://www.offensive-security.com/reports/sample-penetration-testing-report.pdf.</w:t>
      </w:r>
    </w:p>
    <w:p w:rsidR="000409DD" w:rsidRPr="00CB14F7" w:rsidRDefault="000409DD" w:rsidP="00CB14F7">
      <w:pPr>
        <w:pStyle w:val="Bibliografa"/>
        <w:rPr>
          <w:rFonts w:ascii="Calibri" w:hAnsi="Calibri"/>
          <w:lang w:val="en-US"/>
        </w:rPr>
      </w:pPr>
      <w:r w:rsidRPr="00CB14F7">
        <w:rPr>
          <w:rFonts w:ascii="Calibri" w:hAnsi="Calibri"/>
          <w:lang w:val="en-US"/>
        </w:rPr>
        <w:t>[5]</w:t>
      </w:r>
      <w:r w:rsidRPr="00CB14F7">
        <w:rPr>
          <w:rFonts w:ascii="Calibri" w:hAnsi="Calibri"/>
          <w:lang w:val="en-US"/>
        </w:rPr>
        <w:tab/>
        <w:t>B. Hill, ‘Quickstart Guide to Using the Jinja2 Template Engine’, 2012. [Online]. Available: http://kagerato.net/articles/software/libraries/jinja-quickstart.html. [Accessed: 05-Apr-2017].</w:t>
      </w:r>
    </w:p>
    <w:p w:rsidR="000409DD" w:rsidRPr="00A24B69" w:rsidRDefault="000409DD">
      <w:pPr>
        <w:rPr>
          <w:lang w:val="en-US"/>
        </w:rPr>
        <w:sectPr w:rsidR="000409DD" w:rsidRPr="00A24B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8726BC" w:rsidRDefault="008726BC"/>
    <w:sectPr w:rsidR="0087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0409DD"/>
    <w:rsid w:val="001C7156"/>
    <w:rsid w:val="004875DE"/>
    <w:rsid w:val="00541BE3"/>
    <w:rsid w:val="00745CF6"/>
    <w:rsid w:val="00857076"/>
    <w:rsid w:val="008726BC"/>
    <w:rsid w:val="0090241B"/>
    <w:rsid w:val="00BD3444"/>
    <w:rsid w:val="00CF3C00"/>
    <w:rsid w:val="00E5044C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2017-03-16T18:08:00Z</dcterms:created>
  <dcterms:modified xsi:type="dcterms:W3CDTF">2017-04-05T16:37:00Z</dcterms:modified>
</cp:coreProperties>
</file>