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Synthetic SIS Case Review Pack</w:t>
      </w:r>
    </w:p>
    <w:p>
      <w:pPr>
        <w:pStyle w:val="Heading1"/>
      </w:pPr>
      <w:r>
        <w:t xml:space="preserve">Fixture purpose</w:t>
      </w:r>
    </w:p>
    <w:p>
      <w:r>
        <w:t xml:space="preserve">This Word document is synthetic attachment data for chatbot extraction and citation tests. It is not an official order and must not be used for a real land-record decision.</w:t>
      </w:r>
    </w:p>
    <w:p>
      <w:pPr>
        <w:pStyle w:val="Heading1"/>
      </w:pPr>
      <w:r>
        <w:t xml:space="preserve">Case summary</w:t>
      </w:r>
    </w:p>
    <w:p>
      <w:r>
        <w:t xml:space="preserve">Case TEST-2026-ISD-001 is an ISD (service 0154) example. It concerns a fictional sub-division proposal in Ward 102. The stated status is in progress and the fictional field visit is scheduled for 18 October 2026.</w:t>
      </w:r>
    </w:p>
    <w:p>
      <w:pPr>
        <w:pStyle w:val="Heading1"/>
      </w:pPr>
      <w:r>
        <w:t xml:space="preserve">Document review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Document</w:t>
            </w:r>
          </w:p>
        </w:tc>
        <w:tc>
          <w:tcPr>
            <w:tcW w:w="2400" w:type="dxa"/>
          </w:tcPr>
          <w:p>
            <w:r>
              <w:t xml:space="preserve">Review result</w:t>
            </w:r>
          </w:p>
        </w:tc>
        <w:tc>
          <w:tcPr>
            <w:tcW w:w="2400" w:type="dxa"/>
          </w:tcPr>
          <w:p>
            <w:r>
              <w:t xml:space="preserve">Test note</w:t>
            </w:r>
          </w:p>
        </w:tc>
      </w:tr>
      <w:tr>
        <w:tc>
          <w:tcPr>
            <w:tcW w:w="2400" w:type="dxa"/>
          </w:tcPr>
          <w:p>
            <w:r>
              <w:t xml:space="preserve">Sale deed</w:t>
            </w:r>
          </w:p>
        </w:tc>
        <w:tc>
          <w:tcPr>
            <w:tcW w:w="2400" w:type="dxa"/>
          </w:tcPr>
          <w:p>
            <w:r>
              <w:t xml:space="preserve">Available - registered</w:t>
            </w:r>
          </w:p>
        </w:tc>
        <w:tc>
          <w:tcPr>
            <w:tcW w:w="2400" w:type="dxa"/>
          </w:tcPr>
          <w:p>
            <w:r>
              <w:t xml:space="preserve">Synthetic deed SYN-2026-7781</w:t>
            </w:r>
          </w:p>
        </w:tc>
      </w:tr>
      <w:tr>
        <w:tc>
          <w:tcPr>
            <w:tcW w:w="2400" w:type="dxa"/>
          </w:tcPr>
          <w:p>
            <w:r>
              <w:t xml:space="preserve">Patta copy</w:t>
            </w:r>
          </w:p>
        </w:tc>
        <w:tc>
          <w:tcPr>
            <w:tcW w:w="2400" w:type="dxa"/>
          </w:tcPr>
          <w:p>
            <w:r>
              <w:t xml:space="preserve">Available</w:t>
            </w:r>
          </w:p>
        </w:tc>
        <w:tc>
          <w:tcPr>
            <w:tcW w:w="2400" w:type="dxa"/>
          </w:tcPr>
          <w:p>
            <w:r>
              <w:t xml:space="preserve">Copy only</w:t>
            </w:r>
          </w:p>
        </w:tc>
      </w:tr>
      <w:tr>
        <w:tc>
          <w:tcPr>
            <w:tcW w:w="2400" w:type="dxa"/>
          </w:tcPr>
          <w:p>
            <w:r>
              <w:t xml:space="preserve">Encumbrance certificate</w:t>
            </w:r>
          </w:p>
        </w:tc>
        <w:tc>
          <w:tcPr>
            <w:tcW w:w="2400" w:type="dxa"/>
          </w:tcPr>
          <w:p>
            <w:r>
              <w:t xml:space="preserve">Available</w:t>
            </w:r>
          </w:p>
        </w:tc>
        <w:tc>
          <w:tcPr>
            <w:tcW w:w="2400" w:type="dxa"/>
          </w:tcPr>
          <w:p>
            <w:r>
              <w:t xml:space="preserve">For test coverage</w:t>
            </w:r>
          </w:p>
        </w:tc>
      </w:tr>
      <w:tr>
        <w:tc>
          <w:tcPr>
            <w:tcW w:w="2400" w:type="dxa"/>
          </w:tcPr>
          <w:p>
            <w:r>
              <w:t xml:space="preserve">Field measurement sketch</w:t>
            </w:r>
          </w:p>
        </w:tc>
        <w:tc>
          <w:tcPr>
            <w:tcW w:w="2400" w:type="dxa"/>
          </w:tcPr>
          <w:p>
            <w:r>
              <w:t xml:space="preserve">Missing</w:t>
            </w:r>
          </w:p>
        </w:tc>
        <w:tc>
          <w:tcPr>
            <w:tcW w:w="2400" w:type="dxa"/>
          </w:tcPr>
          <w:p>
            <w:r>
              <w:t xml:space="preserve">Must be signed and dated</w:t>
            </w:r>
          </w:p>
        </w:tc>
      </w:tr>
    </w:tbl>
    <w:p>
      <w:pPr>
        <w:pStyle w:val="Heading1"/>
      </w:pPr>
      <w:r>
        <w:t xml:space="preserve">Boundary observation</w:t>
      </w:r>
    </w:p>
    <w:p>
      <w:r>
        <w:t xml:space="preserve">The fictional eastern boundary is recorded as a public pathway. The northern boundary is Survey 77/4. These labels are invented and exist only to test whether the chatbot cites a Word paragraph or table.</w:t>
      </w:r>
    </w:p>
    <w:p>
      <w:pPr>
        <w:pStyle w:val="Heading1"/>
      </w:pPr>
      <w:r>
        <w:t xml:space="preserve">Officer action</w:t>
      </w:r>
    </w:p>
    <w:p>
      <w:r>
        <w:t xml:space="preserve">Before forwarding the example case, request the missing signed sketch. A real officer must follow the official portal workflow and departmental rules, not this fixture.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rPr>
      <w:b/>
      <w:sz w:val="32"/>
      <w:color w:val="1F4E79"/>
    </w:rPr>
  </w:style>
  <w:style w:type="paragraph" w:styleId="Heading1">
    <w:name w:val="Heading 1"/>
    <w:rPr>
      <w:b/>
      <w:sz w:val="26"/>
      <w:color w:val="1F4E79"/>
    </w:rPr>
  </w:style>
</w:styles>
</file>

<file path=word/_rels/document.xml.rels><?xml version="1.0" encoding="UTF-8"?><Relationships xmlns="http://schemas.openxmlformats.org/package/2006/relationships"/>
</file>