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 Land Classification &amp; Rules</w:t>
      </w:r>
    </w:p>
    <w:p>
      <w:pPr>
        <w:pStyle w:val="Heading1"/>
      </w:pPr>
      <w:r>
        <w:t>Land Type Classification Codes</w:t>
      </w:r>
    </w:p>
    <w:p>
      <w:r>
        <w:t>In the TAMILNILAM urban workflow, the land type classification code determines the nature of verification required by the SIS officer. For example, transferring private land is straightforward, whereas government lands require strict adherence to government orders.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Description</w:t>
            </w:r>
          </w:p>
        </w:tc>
        <w:tc>
          <w:tcPr>
            <w:tcW w:type="dxa" w:w="2880"/>
          </w:tcPr>
          <w:p>
            <w:r>
              <w:t>Tamil Translation</w:t>
            </w:r>
          </w:p>
        </w:tc>
      </w:tr>
      <w:tr>
        <w:tc>
          <w:tcPr>
            <w:tcW w:type="dxa" w:w="2880"/>
          </w:tcPr>
          <w:p>
            <w:r>
              <w:t>1</w:t>
            </w:r>
          </w:p>
        </w:tc>
        <w:tc>
          <w:tcPr>
            <w:tcW w:type="dxa" w:w="2880"/>
          </w:tcPr>
          <w:p>
            <w:r>
              <w:t>Residential</w:t>
            </w:r>
          </w:p>
        </w:tc>
        <w:tc>
          <w:tcPr>
            <w:tcW w:type="dxa" w:w="2880"/>
          </w:tcPr>
          <w:p>
            <w:r>
              <w:t>நடைமுறை குடியிருப்பு</w:t>
            </w:r>
          </w:p>
        </w:tc>
      </w:tr>
      <w:tr>
        <w:tc>
          <w:tcPr>
            <w:tcW w:type="dxa" w:w="2880"/>
          </w:tcPr>
          <w:p>
            <w:r>
              <w:t>2</w:t>
            </w:r>
          </w:p>
        </w:tc>
        <w:tc>
          <w:tcPr>
            <w:tcW w:type="dxa" w:w="2880"/>
          </w:tcPr>
          <w:p>
            <w:r>
              <w:t>Commercial</w:t>
            </w:r>
          </w:p>
        </w:tc>
        <w:tc>
          <w:tcPr>
            <w:tcW w:type="dxa" w:w="2880"/>
          </w:tcPr>
          <w:p>
            <w:r>
              <w:t>வணிகப் பயன்பாடு</w:t>
            </w:r>
          </w:p>
        </w:tc>
      </w:tr>
      <w:tr>
        <w:tc>
          <w:tcPr>
            <w:tcW w:type="dxa" w:w="2880"/>
          </w:tcPr>
          <w:p>
            <w:r>
              <w:t>4</w:t>
            </w:r>
          </w:p>
        </w:tc>
        <w:tc>
          <w:tcPr>
            <w:tcW w:type="dxa" w:w="2880"/>
          </w:tcPr>
          <w:p>
            <w:r>
              <w:t>Agricultural</w:t>
            </w:r>
          </w:p>
        </w:tc>
        <w:tc>
          <w:tcPr>
            <w:tcW w:type="dxa" w:w="2880"/>
          </w:tcPr>
          <w:p>
            <w:r>
              <w:t>விவசாய நிலம்</w:t>
            </w:r>
          </w:p>
        </w:tc>
      </w:tr>
      <w:tr>
        <w:tc>
          <w:tcPr>
            <w:tcW w:type="dxa" w:w="2880"/>
          </w:tcPr>
          <w:p>
            <w:r>
              <w:t>5</w:t>
            </w:r>
          </w:p>
        </w:tc>
        <w:tc>
          <w:tcPr>
            <w:tcW w:type="dxa" w:w="2880"/>
          </w:tcPr>
          <w:p>
            <w:r>
              <w:t>Government Poramboke</w:t>
            </w:r>
          </w:p>
        </w:tc>
        <w:tc>
          <w:tcPr>
            <w:tcW w:type="dxa" w:w="2880"/>
          </w:tcPr>
          <w:p>
            <w:r>
              <w:t>அரசு புறம்போக்கு</w:t>
            </w:r>
          </w:p>
        </w:tc>
      </w:tr>
      <w:tr>
        <w:tc>
          <w:tcPr>
            <w:tcW w:type="dxa" w:w="2880"/>
          </w:tcPr>
          <w:p>
            <w:r>
              <w:t>6</w:t>
            </w:r>
          </w:p>
        </w:tc>
        <w:tc>
          <w:tcPr>
            <w:tcW w:type="dxa" w:w="2880"/>
          </w:tcPr>
          <w:p>
            <w:r>
              <w:t>Institutional</w:t>
            </w:r>
          </w:p>
        </w:tc>
        <w:tc>
          <w:tcPr>
            <w:tcW w:type="dxa" w:w="2880"/>
          </w:tcPr>
          <w:p>
            <w:r>
              <w:t>நிறுவன நிலம்</w:t>
            </w:r>
          </w:p>
        </w:tc>
      </w:tr>
    </w:tbl>
    <w:p>
      <w:pPr>
        <w:pStyle w:val="Heading1"/>
      </w:pPr>
      <w:r>
        <w:t>Poramboke and Institutional Rules</w:t>
      </w:r>
    </w:p>
    <w:p>
      <w:r>
        <w:t>Government Poramboke (Type 5) land cannot be sub-divided or transferred to private owners except under specific settlement service codes (e.g., 0179 or 0183) where a valid Government Order (GO) is explicitly cited and verified.</w:t>
        <w:br/>
        <w:br/>
        <w:t>Institutional Land (Type 6) transfers (such as temples, churches, mosques, or educational trusts) require a formal No Objection Certificate (NOC) or endorsement from the controlling authority (such as HR&amp;CE or the Wakf Board) on the record before any mutation can be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