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jc w:val="center"/>
      </w:pPr>
      <w:r>
        <w:rPr>
          <w:rFonts w:ascii="Calibri" w:hAnsi="Calibri"/>
          <w:b/>
          <w:color w:val="1A365D"/>
          <w:sz w:val="48"/>
        </w:rPr>
        <w:t>SUB INSPECTOR SURVEYOR (SIS) AI ASSISTANT</w:t>
      </w:r>
    </w:p>
    <w:p>
      <w:pPr>
        <w:spacing w:after="400"/>
        <w:jc w:val="center"/>
      </w:pPr>
      <w:r>
        <w:rPr>
          <w:rFonts w:ascii="Calibri" w:hAnsi="Calibri"/>
          <w:i/>
          <w:color w:val="2B6CB0"/>
          <w:sz w:val="26"/>
        </w:rPr>
        <w:t>In-Depth Technical Architectural Report &amp; Vector Store Comparison Analysis</w:t>
        <w:br/>
        <w:t>National Informatics Centre (NIC) Internship Project — Survey &amp; Land Records Portal</w:t>
      </w:r>
    </w:p>
    <w:tbl>
      <w:tblPr>
        <w:tblW w:type="auto" w:w="0"/>
        <w:jc w:val="center"/>
        <w:tblLook w:firstColumn="1" w:firstRow="1" w:lastColumn="0" w:lastRow="0" w:noHBand="0" w:noVBand="1" w:val="04A0"/>
      </w:tblPr>
      <w:tblGrid>
        <w:gridCol w:w="4680"/>
        <w:gridCol w:w="4680"/>
      </w:tblGrid>
      <w:tr>
        <w:tc>
          <w:tcPr>
            <w:tcW w:type="dxa" w:w="3168"/>
            <w:shd w:fill="1A365D"/>
            <w:tcMar>
              <w:top w:w="120" w:type="dxa"/>
              <w:bottom w:w="120" w:type="dxa"/>
              <w:left w:w="150" w:type="dxa"/>
              <w:right w:w="150" w:type="dxa"/>
            </w:tcMar>
          </w:tcPr>
          <w:p>
            <w:pPr>
              <w:jc w:val="left"/>
            </w:pPr>
            <w:r>
              <w:rPr>
                <w:b/>
                <w:color w:val="FFFFFF"/>
                <w:sz w:val="20"/>
              </w:rPr>
              <w:t>Metadata Field</w:t>
            </w:r>
          </w:p>
        </w:tc>
        <w:tc>
          <w:tcPr>
            <w:tcW w:type="dxa" w:w="6192"/>
            <w:shd w:fill="1A365D"/>
            <w:tcMar>
              <w:top w:w="120" w:type="dxa"/>
              <w:bottom w:w="120" w:type="dxa"/>
              <w:left w:w="150" w:type="dxa"/>
              <w:right w:w="150" w:type="dxa"/>
            </w:tcMar>
          </w:tcPr>
          <w:p>
            <w:pPr>
              <w:jc w:val="left"/>
            </w:pPr>
            <w:r>
              <w:rPr>
                <w:b/>
                <w:color w:val="FFFFFF"/>
                <w:sz w:val="20"/>
              </w:rPr>
              <w:t>Specification Details</w:t>
            </w:r>
          </w:p>
        </w:tc>
      </w:tr>
      <w:tr>
        <w:tc>
          <w:tcPr>
            <w:tcW w:type="dxa" w:w="3168"/>
            <w:shd w:fill="FFFFFF"/>
            <w:tcMar>
              <w:top w:w="100" w:type="dxa"/>
              <w:bottom w:w="100" w:type="dxa"/>
              <w:left w:w="150" w:type="dxa"/>
              <w:right w:w="150" w:type="dxa"/>
            </w:tcMar>
          </w:tcPr>
          <w:p>
            <w:r>
              <w:rPr>
                <w:color w:val="2D3748"/>
                <w:sz w:val="19"/>
              </w:rPr>
              <w:t>Project Name</w:t>
            </w:r>
          </w:p>
        </w:tc>
        <w:tc>
          <w:tcPr>
            <w:tcW w:type="dxa" w:w="6192"/>
            <w:shd w:fill="FFFFFF"/>
            <w:tcMar>
              <w:top w:w="100" w:type="dxa"/>
              <w:bottom w:w="100" w:type="dxa"/>
              <w:left w:w="150" w:type="dxa"/>
              <w:right w:w="150" w:type="dxa"/>
            </w:tcMar>
          </w:tcPr>
          <w:p>
            <w:r>
              <w:rPr>
                <w:color w:val="2D3748"/>
                <w:sz w:val="19"/>
              </w:rPr>
              <w:t>Sub Inspector Surveyor (SIS) AI Assistant</w:t>
            </w:r>
          </w:p>
        </w:tc>
      </w:tr>
      <w:tr>
        <w:tc>
          <w:tcPr>
            <w:tcW w:type="dxa" w:w="3168"/>
            <w:shd w:fill="F7FAFC"/>
            <w:tcMar>
              <w:top w:w="100" w:type="dxa"/>
              <w:bottom w:w="100" w:type="dxa"/>
              <w:left w:w="150" w:type="dxa"/>
              <w:right w:w="150" w:type="dxa"/>
            </w:tcMar>
          </w:tcPr>
          <w:p>
            <w:r>
              <w:rPr>
                <w:color w:val="2D3748"/>
                <w:sz w:val="19"/>
              </w:rPr>
              <w:t>Organization</w:t>
            </w:r>
          </w:p>
        </w:tc>
        <w:tc>
          <w:tcPr>
            <w:tcW w:type="dxa" w:w="6192"/>
            <w:shd w:fill="F7FAFC"/>
            <w:tcMar>
              <w:top w:w="100" w:type="dxa"/>
              <w:bottom w:w="100" w:type="dxa"/>
              <w:left w:w="150" w:type="dxa"/>
              <w:right w:w="150" w:type="dxa"/>
            </w:tcMar>
          </w:tcPr>
          <w:p>
            <w:r>
              <w:rPr>
                <w:color w:val="2D3748"/>
                <w:sz w:val="19"/>
              </w:rPr>
              <w:t>National Informatics Centre (NIC) Internship Project</w:t>
            </w:r>
          </w:p>
        </w:tc>
      </w:tr>
      <w:tr>
        <w:tc>
          <w:tcPr>
            <w:tcW w:type="dxa" w:w="3168"/>
            <w:shd w:fill="FFFFFF"/>
            <w:tcMar>
              <w:top w:w="100" w:type="dxa"/>
              <w:bottom w:w="100" w:type="dxa"/>
              <w:left w:w="150" w:type="dxa"/>
              <w:right w:w="150" w:type="dxa"/>
            </w:tcMar>
          </w:tcPr>
          <w:p>
            <w:r>
              <w:rPr>
                <w:color w:val="2D3748"/>
                <w:sz w:val="19"/>
              </w:rPr>
              <w:t>System Version</w:t>
            </w:r>
          </w:p>
        </w:tc>
        <w:tc>
          <w:tcPr>
            <w:tcW w:type="dxa" w:w="6192"/>
            <w:shd w:fill="FFFFFF"/>
            <w:tcMar>
              <w:top w:w="100" w:type="dxa"/>
              <w:bottom w:w="100" w:type="dxa"/>
              <w:left w:w="150" w:type="dxa"/>
              <w:right w:w="150" w:type="dxa"/>
            </w:tcMar>
          </w:tcPr>
          <w:p>
            <w:r>
              <w:rPr>
                <w:color w:val="2D3748"/>
                <w:sz w:val="19"/>
              </w:rPr>
              <w:t>2.0.0 (Production Architecture)</w:t>
            </w:r>
          </w:p>
        </w:tc>
      </w:tr>
      <w:tr>
        <w:tc>
          <w:tcPr>
            <w:tcW w:type="dxa" w:w="3168"/>
            <w:shd w:fill="F7FAFC"/>
            <w:tcMar>
              <w:top w:w="100" w:type="dxa"/>
              <w:bottom w:w="100" w:type="dxa"/>
              <w:left w:w="150" w:type="dxa"/>
              <w:right w:w="150" w:type="dxa"/>
            </w:tcMar>
          </w:tcPr>
          <w:p>
            <w:r>
              <w:rPr>
                <w:color w:val="2D3748"/>
                <w:sz w:val="19"/>
              </w:rPr>
              <w:t>Vector Database Engine</w:t>
            </w:r>
          </w:p>
        </w:tc>
        <w:tc>
          <w:tcPr>
            <w:tcW w:type="dxa" w:w="6192"/>
            <w:shd w:fill="F7FAFC"/>
            <w:tcMar>
              <w:top w:w="100" w:type="dxa"/>
              <w:bottom w:w="100" w:type="dxa"/>
              <w:left w:w="150" w:type="dxa"/>
              <w:right w:w="150" w:type="dxa"/>
            </w:tcMar>
          </w:tcPr>
          <w:p>
            <w:r>
              <w:rPr>
                <w:color w:val="2D3748"/>
                <w:sz w:val="19"/>
              </w:rPr>
              <w:t>pgvector (PostgreSQL 15+ Native Extension)</w:t>
            </w:r>
          </w:p>
        </w:tc>
      </w:tr>
      <w:tr>
        <w:tc>
          <w:tcPr>
            <w:tcW w:type="dxa" w:w="3168"/>
            <w:shd w:fill="FFFFFF"/>
            <w:tcMar>
              <w:top w:w="100" w:type="dxa"/>
              <w:bottom w:w="100" w:type="dxa"/>
              <w:left w:w="150" w:type="dxa"/>
              <w:right w:w="150" w:type="dxa"/>
            </w:tcMar>
          </w:tcPr>
          <w:p>
            <w:r>
              <w:rPr>
                <w:color w:val="2D3748"/>
                <w:sz w:val="19"/>
              </w:rPr>
              <w:t>Primary LLM</w:t>
            </w:r>
          </w:p>
        </w:tc>
        <w:tc>
          <w:tcPr>
            <w:tcW w:type="dxa" w:w="6192"/>
            <w:shd w:fill="FFFFFF"/>
            <w:tcMar>
              <w:top w:w="100" w:type="dxa"/>
              <w:bottom w:w="100" w:type="dxa"/>
              <w:left w:w="150" w:type="dxa"/>
              <w:right w:w="150" w:type="dxa"/>
            </w:tcMar>
          </w:tcPr>
          <w:p>
            <w:r>
              <w:rPr>
                <w:color w:val="2D3748"/>
                <w:sz w:val="19"/>
              </w:rPr>
              <w:t>Ollama (Llama 3.1:8b - Offline Local Execution)</w:t>
            </w:r>
          </w:p>
        </w:tc>
      </w:tr>
      <w:tr>
        <w:tc>
          <w:tcPr>
            <w:tcW w:type="dxa" w:w="3168"/>
            <w:shd w:fill="F7FAFC"/>
            <w:tcMar>
              <w:top w:w="100" w:type="dxa"/>
              <w:bottom w:w="100" w:type="dxa"/>
              <w:left w:w="150" w:type="dxa"/>
              <w:right w:w="150" w:type="dxa"/>
            </w:tcMar>
          </w:tcPr>
          <w:p>
            <w:r>
              <w:rPr>
                <w:color w:val="2D3748"/>
                <w:sz w:val="19"/>
              </w:rPr>
              <w:t>Embedding Engine</w:t>
            </w:r>
          </w:p>
        </w:tc>
        <w:tc>
          <w:tcPr>
            <w:tcW w:type="dxa" w:w="6192"/>
            <w:shd w:fill="F7FAFC"/>
            <w:tcMar>
              <w:top w:w="100" w:type="dxa"/>
              <w:bottom w:w="100" w:type="dxa"/>
              <w:left w:w="150" w:type="dxa"/>
              <w:right w:w="150" w:type="dxa"/>
            </w:tcMar>
          </w:tcPr>
          <w:p>
            <w:r>
              <w:rPr>
                <w:color w:val="2D3748"/>
                <w:sz w:val="19"/>
              </w:rPr>
              <w:t>nomic-embed-text (768 Dimensions, HNSW Cosine Index)</w:t>
            </w:r>
          </w:p>
        </w:tc>
      </w:tr>
      <w:tr>
        <w:tc>
          <w:tcPr>
            <w:tcW w:type="dxa" w:w="3168"/>
            <w:shd w:fill="FFFFFF"/>
            <w:tcMar>
              <w:top w:w="100" w:type="dxa"/>
              <w:bottom w:w="100" w:type="dxa"/>
              <w:left w:w="150" w:type="dxa"/>
              <w:right w:w="150" w:type="dxa"/>
            </w:tcMar>
          </w:tcPr>
          <w:p>
            <w:r>
              <w:rPr>
                <w:color w:val="2D3748"/>
                <w:sz w:val="19"/>
              </w:rPr>
              <w:t>Speech Processing</w:t>
            </w:r>
          </w:p>
        </w:tc>
        <w:tc>
          <w:tcPr>
            <w:tcW w:type="dxa" w:w="6192"/>
            <w:shd w:fill="FFFFFF"/>
            <w:tcMar>
              <w:top w:w="100" w:type="dxa"/>
              <w:bottom w:w="100" w:type="dxa"/>
              <w:left w:w="150" w:type="dxa"/>
              <w:right w:w="150" w:type="dxa"/>
            </w:tcMar>
          </w:tcPr>
          <w:p>
            <w:r>
              <w:rPr>
                <w:color w:val="2D3748"/>
                <w:sz w:val="19"/>
              </w:rPr>
              <w:t>Faster-Whisper (Small Model, int8 Quantized, Offline CPU)</w:t>
            </w:r>
          </w:p>
        </w:tc>
      </w:tr>
    </w:tbl>
    <w:p>
      <w:pPr>
        <w:spacing w:after="120"/>
      </w:pPr>
    </w:p>
    <w:p>
      <w:pPr>
        <w:keepNext/>
        <w:spacing w:before="360" w:after="120"/>
      </w:pPr>
      <w:r>
        <w:rPr>
          <w:rFonts w:ascii="Calibri" w:hAnsi="Calibri"/>
          <w:b/>
          <w:color w:val="1A365D"/>
          <w:sz w:val="34"/>
        </w:rPr>
        <w:t>1. Executive Summary &amp; Core Objectives</w:t>
      </w:r>
    </w:p>
    <w:p>
      <w:r>
        <w:t>The Sub Inspector Surveyor (SIS) AI Assistant is an enterprise-grade, bilingual AI assistant specifically engineered for Sub Inspector Surveyors (SIS), Survey Deputies (SD), District Inspectors of Survey (DIS), and Tahsildars operating across administrative survey jurisdictions.</w:t>
      </w:r>
    </w:p>
    <w:p>
      <w:r>
        <w:t>In land survey administration workflows, survey applications for intra-subdivision (ISD), non-intra subdivision (NISD), and parcel merging (MERGE) require rapid verification of legal survey numbers, patta ownership details, missing mandatory documents, sale deed registrations, and field visit inspection schedules. Officers previously spent significant time navigating legacy portals or running manual cross-checks.</w:t>
      </w:r>
    </w:p>
    <w:p>
      <w:r>
        <w:t>This project introduces a zero-hallucination hybrid system that resolves officer queries through a dual-path workflow: deterministic SQL execution for precise numeric/application lookups, combined with Retrieval-Augmented Generation (RAG) for survey manual rules, workflow guides, and policy inquiries.</w:t>
      </w:r>
    </w:p>
    <w:p>
      <w:pPr>
        <w:keepNext/>
        <w:spacing w:before="360" w:after="120"/>
      </w:pPr>
      <w:r>
        <w:rPr>
          <w:rFonts w:ascii="Calibri" w:hAnsi="Calibri"/>
          <w:b/>
          <w:color w:val="1A365D"/>
          <w:sz w:val="34"/>
        </w:rPr>
        <w:t>2. Deep Technical Analysis: Why pgvector Over ChromaDB, Qdrant, Milvus &amp; Pinecone</w:t>
      </w:r>
    </w:p>
    <w:p>
      <w:r>
        <w:t>Selecting the optimal vector database for an e-governance survey system requires evaluating infrastructure footprint, transaction safety, backup simplicity, query latency, and data privacy. Below is an exhaustive technical justification explaining why PostgreSQL with the pgvector extension was selected over standalone vector databases.</w:t>
      </w:r>
    </w:p>
    <w:p>
      <w:pPr>
        <w:keepNext/>
        <w:spacing w:before="280" w:after="80"/>
      </w:pPr>
      <w:r>
        <w:rPr>
          <w:rFonts w:ascii="Calibri" w:hAnsi="Calibri"/>
          <w:b/>
          <w:color w:val="2B6CB0"/>
          <w:sz w:val="27"/>
        </w:rPr>
        <w:t>2.1 Architectural Comparison Matrix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872"/>
            <w:shd w:fill="1A365D"/>
            <w:tcMar>
              <w:top w:w="120" w:type="dxa"/>
              <w:bottom w:w="120" w:type="dxa"/>
              <w:left w:w="150" w:type="dxa"/>
              <w:right w:w="150" w:type="dxa"/>
            </w:tcMar>
          </w:tcPr>
          <w:p>
            <w:pPr>
              <w:jc w:val="left"/>
            </w:pPr>
            <w:r>
              <w:rPr>
                <w:b/>
                <w:color w:val="FFFFFF"/>
                <w:sz w:val="20"/>
              </w:rPr>
              <w:t>Evaluation Metric</w:t>
            </w:r>
          </w:p>
        </w:tc>
        <w:tc>
          <w:tcPr>
            <w:tcW w:type="dxa" w:w="1872"/>
            <w:shd w:fill="1A365D"/>
            <w:tcMar>
              <w:top w:w="120" w:type="dxa"/>
              <w:bottom w:w="120" w:type="dxa"/>
              <w:left w:w="150" w:type="dxa"/>
              <w:right w:w="150" w:type="dxa"/>
            </w:tcMar>
          </w:tcPr>
          <w:p>
            <w:pPr>
              <w:jc w:val="left"/>
            </w:pPr>
            <w:r>
              <w:rPr>
                <w:b/>
                <w:color w:val="FFFFFF"/>
                <w:sz w:val="20"/>
              </w:rPr>
              <w:t>pgvector (Selected)</w:t>
            </w:r>
          </w:p>
        </w:tc>
        <w:tc>
          <w:tcPr>
            <w:tcW w:type="dxa" w:w="1728"/>
            <w:shd w:fill="1A365D"/>
            <w:tcMar>
              <w:top w:w="120" w:type="dxa"/>
              <w:bottom w:w="120" w:type="dxa"/>
              <w:left w:w="150" w:type="dxa"/>
              <w:right w:w="150" w:type="dxa"/>
            </w:tcMar>
          </w:tcPr>
          <w:p>
            <w:pPr>
              <w:jc w:val="left"/>
            </w:pPr>
            <w:r>
              <w:rPr>
                <w:b/>
                <w:color w:val="FFFFFF"/>
                <w:sz w:val="20"/>
              </w:rPr>
              <w:t>ChromaDB</w:t>
            </w:r>
          </w:p>
        </w:tc>
        <w:tc>
          <w:tcPr>
            <w:tcW w:type="dxa" w:w="1728"/>
            <w:shd w:fill="1A365D"/>
            <w:tcMar>
              <w:top w:w="120" w:type="dxa"/>
              <w:bottom w:w="120" w:type="dxa"/>
              <w:left w:w="150" w:type="dxa"/>
              <w:right w:w="150" w:type="dxa"/>
            </w:tcMar>
          </w:tcPr>
          <w:p>
            <w:pPr>
              <w:jc w:val="left"/>
            </w:pPr>
            <w:r>
              <w:rPr>
                <w:b/>
                <w:color w:val="FFFFFF"/>
                <w:sz w:val="20"/>
              </w:rPr>
              <w:t>Qdrant</w:t>
            </w:r>
          </w:p>
        </w:tc>
        <w:tc>
          <w:tcPr>
            <w:tcW w:type="dxa" w:w="1728"/>
            <w:shd w:fill="1A365D"/>
            <w:tcMar>
              <w:top w:w="120" w:type="dxa"/>
              <w:bottom w:w="120" w:type="dxa"/>
              <w:left w:w="150" w:type="dxa"/>
              <w:right w:w="150" w:type="dxa"/>
            </w:tcMar>
          </w:tcPr>
          <w:p>
            <w:pPr>
              <w:jc w:val="left"/>
            </w:pPr>
            <w:r>
              <w:rPr>
                <w:b/>
                <w:color w:val="FFFFFF"/>
                <w:sz w:val="20"/>
              </w:rPr>
              <w:t>Pinecone</w:t>
            </w:r>
          </w:p>
        </w:tc>
        <w:tc>
          <w:tcPr>
            <w:tcW w:type="dxa" w:w="1872"/>
            <w:shd w:fill="1A365D"/>
            <w:tcMar>
              <w:top w:w="120" w:type="dxa"/>
              <w:bottom w:w="120" w:type="dxa"/>
              <w:left w:w="150" w:type="dxa"/>
              <w:right w:w="150" w:type="dxa"/>
            </w:tcMar>
          </w:tcPr>
          <w:p>
            <w:pPr>
              <w:jc w:val="left"/>
            </w:pPr>
            <w:r>
              <w:rPr>
                <w:b/>
                <w:color w:val="FFFFFF"/>
                <w:sz w:val="20"/>
              </w:rPr>
              <w:t>Milvus / Weaviate</w:t>
            </w:r>
          </w:p>
        </w:tc>
      </w:tr>
      <w:tr>
        <w:tc>
          <w:tcPr>
            <w:tcW w:type="dxa" w:w="1872"/>
            <w:shd w:fill="FFFFFF"/>
            <w:tcMar>
              <w:top w:w="100" w:type="dxa"/>
              <w:bottom w:w="100" w:type="dxa"/>
              <w:left w:w="150" w:type="dxa"/>
              <w:right w:w="150" w:type="dxa"/>
            </w:tcMar>
          </w:tcPr>
          <w:p>
            <w:r>
              <w:rPr>
                <w:color w:val="2D3748"/>
                <w:sz w:val="19"/>
              </w:rPr>
              <w:t>Infrastructure Footprint</w:t>
            </w:r>
          </w:p>
        </w:tc>
        <w:tc>
          <w:tcPr>
            <w:tcW w:type="dxa" w:w="1872"/>
            <w:shd w:fill="FFFFFF"/>
            <w:tcMar>
              <w:top w:w="100" w:type="dxa"/>
              <w:bottom w:w="100" w:type="dxa"/>
              <w:left w:w="150" w:type="dxa"/>
              <w:right w:w="150" w:type="dxa"/>
            </w:tcMar>
          </w:tcPr>
          <w:p>
            <w:r>
              <w:rPr>
                <w:color w:val="2D3748"/>
                <w:sz w:val="19"/>
              </w:rPr>
              <w:t>Single Database (PostgreSQL)</w:t>
            </w:r>
          </w:p>
        </w:tc>
        <w:tc>
          <w:tcPr>
            <w:tcW w:type="dxa" w:w="1728"/>
            <w:shd w:fill="FFFFFF"/>
            <w:tcMar>
              <w:top w:w="100" w:type="dxa"/>
              <w:bottom w:w="100" w:type="dxa"/>
              <w:left w:w="150" w:type="dxa"/>
              <w:right w:w="150" w:type="dxa"/>
            </w:tcMar>
          </w:tcPr>
          <w:p>
            <w:r>
              <w:rPr>
                <w:color w:val="2D3748"/>
                <w:sz w:val="19"/>
              </w:rPr>
              <w:t>Separate Process / Embedded</w:t>
            </w:r>
          </w:p>
        </w:tc>
        <w:tc>
          <w:tcPr>
            <w:tcW w:type="dxa" w:w="1728"/>
            <w:shd w:fill="FFFFFF"/>
            <w:tcMar>
              <w:top w:w="100" w:type="dxa"/>
              <w:bottom w:w="100" w:type="dxa"/>
              <w:left w:w="150" w:type="dxa"/>
              <w:right w:w="150" w:type="dxa"/>
            </w:tcMar>
          </w:tcPr>
          <w:p>
            <w:r>
              <w:rPr>
                <w:color w:val="2D3748"/>
                <w:sz w:val="19"/>
              </w:rPr>
              <w:t>Dedicated Server / Container</w:t>
            </w:r>
          </w:p>
        </w:tc>
        <w:tc>
          <w:tcPr>
            <w:tcW w:type="dxa" w:w="1728"/>
            <w:shd w:fill="FFFFFF"/>
            <w:tcMar>
              <w:top w:w="100" w:type="dxa"/>
              <w:bottom w:w="100" w:type="dxa"/>
              <w:left w:w="150" w:type="dxa"/>
              <w:right w:w="150" w:type="dxa"/>
            </w:tcMar>
          </w:tcPr>
          <w:p>
            <w:r>
              <w:rPr>
                <w:color w:val="2D3748"/>
                <w:sz w:val="19"/>
              </w:rPr>
              <w:t>Cloud Managed SaaS Only</w:t>
            </w:r>
          </w:p>
        </w:tc>
        <w:tc>
          <w:tcPr>
            <w:tcW w:type="dxa" w:w="1872"/>
            <w:shd w:fill="FFFFFF"/>
            <w:tcMar>
              <w:top w:w="100" w:type="dxa"/>
              <w:bottom w:w="100" w:type="dxa"/>
              <w:left w:w="150" w:type="dxa"/>
              <w:right w:w="150" w:type="dxa"/>
            </w:tcMar>
          </w:tcPr>
          <w:p>
            <w:r>
              <w:rPr>
                <w:color w:val="2D3748"/>
                <w:sz w:val="19"/>
              </w:rPr>
              <w:t>Complex Multi-Node Cluster</w:t>
            </w:r>
          </w:p>
        </w:tc>
      </w:tr>
      <w:tr>
        <w:tc>
          <w:tcPr>
            <w:tcW w:type="dxa" w:w="1872"/>
            <w:shd w:fill="F7FAFC"/>
            <w:tcMar>
              <w:top w:w="100" w:type="dxa"/>
              <w:bottom w:w="100" w:type="dxa"/>
              <w:left w:w="150" w:type="dxa"/>
              <w:right w:w="150" w:type="dxa"/>
            </w:tcMar>
          </w:tcPr>
          <w:p>
            <w:r>
              <w:rPr>
                <w:color w:val="2D3748"/>
                <w:sz w:val="19"/>
              </w:rPr>
              <w:t>ACID Compliance</w:t>
            </w:r>
          </w:p>
        </w:tc>
        <w:tc>
          <w:tcPr>
            <w:tcW w:type="dxa" w:w="1872"/>
            <w:shd w:fill="F7FAFC"/>
            <w:tcMar>
              <w:top w:w="100" w:type="dxa"/>
              <w:bottom w:w="100" w:type="dxa"/>
              <w:left w:w="150" w:type="dxa"/>
              <w:right w:w="150" w:type="dxa"/>
            </w:tcMar>
          </w:tcPr>
          <w:p>
            <w:r>
              <w:rPr>
                <w:color w:val="2D3748"/>
                <w:sz w:val="19"/>
              </w:rPr>
              <w:t>Full ACID (Native Postgres)</w:t>
            </w:r>
          </w:p>
        </w:tc>
        <w:tc>
          <w:tcPr>
            <w:tcW w:type="dxa" w:w="1728"/>
            <w:shd w:fill="F7FAFC"/>
            <w:tcMar>
              <w:top w:w="100" w:type="dxa"/>
              <w:bottom w:w="100" w:type="dxa"/>
              <w:left w:w="150" w:type="dxa"/>
              <w:right w:w="150" w:type="dxa"/>
            </w:tcMar>
          </w:tcPr>
          <w:p>
            <w:r>
              <w:rPr>
                <w:color w:val="2D3748"/>
                <w:sz w:val="19"/>
              </w:rPr>
              <w:t>None (Separate Storage)</w:t>
            </w:r>
          </w:p>
        </w:tc>
        <w:tc>
          <w:tcPr>
            <w:tcW w:type="dxa" w:w="1728"/>
            <w:shd w:fill="F7FAFC"/>
            <w:tcMar>
              <w:top w:w="100" w:type="dxa"/>
              <w:bottom w:w="100" w:type="dxa"/>
              <w:left w:w="150" w:type="dxa"/>
              <w:right w:w="150" w:type="dxa"/>
            </w:tcMar>
          </w:tcPr>
          <w:p>
            <w:r>
              <w:rPr>
                <w:color w:val="2D3748"/>
                <w:sz w:val="19"/>
              </w:rPr>
              <w:t>Eventual Consistency</w:t>
            </w:r>
          </w:p>
        </w:tc>
        <w:tc>
          <w:tcPr>
            <w:tcW w:type="dxa" w:w="1728"/>
            <w:shd w:fill="F7FAFC"/>
            <w:tcMar>
              <w:top w:w="100" w:type="dxa"/>
              <w:bottom w:w="100" w:type="dxa"/>
              <w:left w:w="150" w:type="dxa"/>
              <w:right w:w="150" w:type="dxa"/>
            </w:tcMar>
          </w:tcPr>
          <w:p>
            <w:r>
              <w:rPr>
                <w:color w:val="2D3748"/>
                <w:sz w:val="19"/>
              </w:rPr>
              <w:t>No Transaction Guarantees</w:t>
            </w:r>
          </w:p>
        </w:tc>
        <w:tc>
          <w:tcPr>
            <w:tcW w:type="dxa" w:w="1872"/>
            <w:shd w:fill="F7FAFC"/>
            <w:tcMar>
              <w:top w:w="100" w:type="dxa"/>
              <w:bottom w:w="100" w:type="dxa"/>
              <w:left w:w="150" w:type="dxa"/>
              <w:right w:w="150" w:type="dxa"/>
            </w:tcMar>
          </w:tcPr>
          <w:p>
            <w:r>
              <w:rPr>
                <w:color w:val="2D3748"/>
                <w:sz w:val="19"/>
              </w:rPr>
              <w:t>Eventual Consistency</w:t>
            </w:r>
          </w:p>
        </w:tc>
      </w:tr>
      <w:tr>
        <w:tc>
          <w:tcPr>
            <w:tcW w:type="dxa" w:w="1872"/>
            <w:shd w:fill="FFFFFF"/>
            <w:tcMar>
              <w:top w:w="100" w:type="dxa"/>
              <w:bottom w:w="100" w:type="dxa"/>
              <w:left w:w="150" w:type="dxa"/>
              <w:right w:w="150" w:type="dxa"/>
            </w:tcMar>
          </w:tcPr>
          <w:p>
            <w:r>
              <w:rPr>
                <w:color w:val="2D3748"/>
                <w:sz w:val="19"/>
              </w:rPr>
              <w:t>Relational + Vector Joins</w:t>
            </w:r>
          </w:p>
        </w:tc>
        <w:tc>
          <w:tcPr>
            <w:tcW w:type="dxa" w:w="1872"/>
            <w:shd w:fill="FFFFFF"/>
            <w:tcMar>
              <w:top w:w="100" w:type="dxa"/>
              <w:bottom w:w="100" w:type="dxa"/>
              <w:left w:w="150" w:type="dxa"/>
              <w:right w:w="150" w:type="dxa"/>
            </w:tcMar>
          </w:tcPr>
          <w:p>
            <w:r>
              <w:rPr>
                <w:color w:val="2D3748"/>
                <w:sz w:val="19"/>
              </w:rPr>
              <w:t>Native SQL JOINs in 1 query</w:t>
            </w:r>
          </w:p>
        </w:tc>
        <w:tc>
          <w:tcPr>
            <w:tcW w:type="dxa" w:w="1728"/>
            <w:shd w:fill="FFFFFF"/>
            <w:tcMar>
              <w:top w:w="100" w:type="dxa"/>
              <w:bottom w:w="100" w:type="dxa"/>
              <w:left w:w="150" w:type="dxa"/>
              <w:right w:w="150" w:type="dxa"/>
            </w:tcMar>
          </w:tcPr>
          <w:p>
            <w:r>
              <w:rPr>
                <w:color w:val="2D3748"/>
                <w:sz w:val="19"/>
              </w:rPr>
              <w:t>Impossible (Requires 2 calls)</w:t>
            </w:r>
          </w:p>
        </w:tc>
        <w:tc>
          <w:tcPr>
            <w:tcW w:type="dxa" w:w="1728"/>
            <w:shd w:fill="FFFFFF"/>
            <w:tcMar>
              <w:top w:w="100" w:type="dxa"/>
              <w:bottom w:w="100" w:type="dxa"/>
              <w:left w:w="150" w:type="dxa"/>
              <w:right w:w="150" w:type="dxa"/>
            </w:tcMar>
          </w:tcPr>
          <w:p>
            <w:r>
              <w:rPr>
                <w:color w:val="2D3748"/>
                <w:sz w:val="19"/>
              </w:rPr>
              <w:t>Requires Application Code</w:t>
            </w:r>
          </w:p>
        </w:tc>
        <w:tc>
          <w:tcPr>
            <w:tcW w:type="dxa" w:w="1728"/>
            <w:shd w:fill="FFFFFF"/>
            <w:tcMar>
              <w:top w:w="100" w:type="dxa"/>
              <w:bottom w:w="100" w:type="dxa"/>
              <w:left w:w="150" w:type="dxa"/>
              <w:right w:w="150" w:type="dxa"/>
            </w:tcMar>
          </w:tcPr>
          <w:p>
            <w:r>
              <w:rPr>
                <w:color w:val="2D3748"/>
                <w:sz w:val="19"/>
              </w:rPr>
              <w:t>Impossible (Cloud API)</w:t>
            </w:r>
          </w:p>
        </w:tc>
        <w:tc>
          <w:tcPr>
            <w:tcW w:type="dxa" w:w="1872"/>
            <w:shd w:fill="FFFFFF"/>
            <w:tcMar>
              <w:top w:w="100" w:type="dxa"/>
              <w:bottom w:w="100" w:type="dxa"/>
              <w:left w:w="150" w:type="dxa"/>
              <w:right w:w="150" w:type="dxa"/>
            </w:tcMar>
          </w:tcPr>
          <w:p>
            <w:r>
              <w:rPr>
                <w:color w:val="2D3748"/>
                <w:sz w:val="19"/>
              </w:rPr>
              <w:t>Requires Custom Wrappers</w:t>
            </w:r>
          </w:p>
        </w:tc>
      </w:tr>
      <w:tr>
        <w:tc>
          <w:tcPr>
            <w:tcW w:type="dxa" w:w="1872"/>
            <w:shd w:fill="F7FAFC"/>
            <w:tcMar>
              <w:top w:w="100" w:type="dxa"/>
              <w:bottom w:w="100" w:type="dxa"/>
              <w:left w:w="150" w:type="dxa"/>
              <w:right w:w="150" w:type="dxa"/>
            </w:tcMar>
          </w:tcPr>
          <w:p>
            <w:r>
              <w:rPr>
                <w:color w:val="2D3748"/>
                <w:sz w:val="19"/>
              </w:rPr>
              <w:t>Data Drift &amp; Sync Risk</w:t>
            </w:r>
          </w:p>
        </w:tc>
        <w:tc>
          <w:tcPr>
            <w:tcW w:type="dxa" w:w="1872"/>
            <w:shd w:fill="F7FAFC"/>
            <w:tcMar>
              <w:top w:w="100" w:type="dxa"/>
              <w:bottom w:w="100" w:type="dxa"/>
              <w:left w:w="150" w:type="dxa"/>
              <w:right w:w="150" w:type="dxa"/>
            </w:tcMar>
          </w:tcPr>
          <w:p>
            <w:r>
              <w:rPr>
                <w:color w:val="2D3748"/>
                <w:sz w:val="19"/>
              </w:rPr>
              <w:t>Zero (Unified Storage)</w:t>
            </w:r>
          </w:p>
        </w:tc>
        <w:tc>
          <w:tcPr>
            <w:tcW w:type="dxa" w:w="1728"/>
            <w:shd w:fill="F7FAFC"/>
            <w:tcMar>
              <w:top w:w="100" w:type="dxa"/>
              <w:bottom w:w="100" w:type="dxa"/>
              <w:left w:w="150" w:type="dxa"/>
              <w:right w:w="150" w:type="dxa"/>
            </w:tcMar>
          </w:tcPr>
          <w:p>
            <w:r>
              <w:rPr>
                <w:color w:val="2D3748"/>
                <w:sz w:val="19"/>
              </w:rPr>
              <w:t>High (Dual database sync)</w:t>
            </w:r>
          </w:p>
        </w:tc>
        <w:tc>
          <w:tcPr>
            <w:tcW w:type="dxa" w:w="1728"/>
            <w:shd w:fill="F7FAFC"/>
            <w:tcMar>
              <w:top w:w="100" w:type="dxa"/>
              <w:bottom w:w="100" w:type="dxa"/>
              <w:left w:w="150" w:type="dxa"/>
              <w:right w:w="150" w:type="dxa"/>
            </w:tcMar>
          </w:tcPr>
          <w:p>
            <w:r>
              <w:rPr>
                <w:color w:val="2D3748"/>
                <w:sz w:val="19"/>
              </w:rPr>
              <w:t>High (Dual storage)</w:t>
            </w:r>
          </w:p>
        </w:tc>
        <w:tc>
          <w:tcPr>
            <w:tcW w:type="dxa" w:w="1728"/>
            <w:shd w:fill="F7FAFC"/>
            <w:tcMar>
              <w:top w:w="100" w:type="dxa"/>
              <w:bottom w:w="100" w:type="dxa"/>
              <w:left w:w="150" w:type="dxa"/>
              <w:right w:w="150" w:type="dxa"/>
            </w:tcMar>
          </w:tcPr>
          <w:p>
            <w:r>
              <w:rPr>
                <w:color w:val="2D3748"/>
                <w:sz w:val="19"/>
              </w:rPr>
              <w:t>High (Sync across WAN)</w:t>
            </w:r>
          </w:p>
        </w:tc>
        <w:tc>
          <w:tcPr>
            <w:tcW w:type="dxa" w:w="1872"/>
            <w:shd w:fill="F7FAFC"/>
            <w:tcMar>
              <w:top w:w="100" w:type="dxa"/>
              <w:bottom w:w="100" w:type="dxa"/>
              <w:left w:w="150" w:type="dxa"/>
              <w:right w:w="150" w:type="dxa"/>
            </w:tcMar>
          </w:tcPr>
          <w:p>
            <w:r>
              <w:rPr>
                <w:color w:val="2D3748"/>
                <w:sz w:val="19"/>
              </w:rPr>
              <w:t>High (Dual storage engines)</w:t>
            </w:r>
          </w:p>
        </w:tc>
      </w:tr>
      <w:tr>
        <w:tc>
          <w:tcPr>
            <w:tcW w:type="dxa" w:w="1872"/>
            <w:shd w:fill="FFFFFF"/>
            <w:tcMar>
              <w:top w:w="100" w:type="dxa"/>
              <w:bottom w:w="100" w:type="dxa"/>
              <w:left w:w="150" w:type="dxa"/>
              <w:right w:w="150" w:type="dxa"/>
            </w:tcMar>
          </w:tcPr>
          <w:p>
            <w:r>
              <w:rPr>
                <w:color w:val="2D3748"/>
                <w:sz w:val="19"/>
              </w:rPr>
              <w:t>Data Privacy &amp; Offline Deployment</w:t>
            </w:r>
          </w:p>
        </w:tc>
        <w:tc>
          <w:tcPr>
            <w:tcW w:type="dxa" w:w="1872"/>
            <w:shd w:fill="FFFFFF"/>
            <w:tcMar>
              <w:top w:w="100" w:type="dxa"/>
              <w:bottom w:w="100" w:type="dxa"/>
              <w:left w:w="150" w:type="dxa"/>
              <w:right w:w="150" w:type="dxa"/>
            </w:tcMar>
          </w:tcPr>
          <w:p>
            <w:r>
              <w:rPr>
                <w:color w:val="2D3748"/>
                <w:sz w:val="19"/>
              </w:rPr>
              <w:t>100% Offline / On-Premise</w:t>
            </w:r>
          </w:p>
        </w:tc>
        <w:tc>
          <w:tcPr>
            <w:tcW w:type="dxa" w:w="1728"/>
            <w:shd w:fill="FFFFFF"/>
            <w:tcMar>
              <w:top w:w="100" w:type="dxa"/>
              <w:bottom w:w="100" w:type="dxa"/>
              <w:left w:w="150" w:type="dxa"/>
              <w:right w:w="150" w:type="dxa"/>
            </w:tcMar>
          </w:tcPr>
          <w:p>
            <w:r>
              <w:rPr>
                <w:color w:val="2D3748"/>
                <w:sz w:val="19"/>
              </w:rPr>
              <w:t>Offline / Embedded</w:t>
            </w:r>
          </w:p>
        </w:tc>
        <w:tc>
          <w:tcPr>
            <w:tcW w:type="dxa" w:w="1728"/>
            <w:shd w:fill="FFFFFF"/>
            <w:tcMar>
              <w:top w:w="100" w:type="dxa"/>
              <w:bottom w:w="100" w:type="dxa"/>
              <w:left w:w="150" w:type="dxa"/>
              <w:right w:w="150" w:type="dxa"/>
            </w:tcMar>
          </w:tcPr>
          <w:p>
            <w:r>
              <w:rPr>
                <w:color w:val="2D3748"/>
                <w:sz w:val="19"/>
              </w:rPr>
              <w:t>Offline / Self-Hosted</w:t>
            </w:r>
          </w:p>
        </w:tc>
        <w:tc>
          <w:tcPr>
            <w:tcW w:type="dxa" w:w="1728"/>
            <w:shd w:fill="FFFFFF"/>
            <w:tcMar>
              <w:top w:w="100" w:type="dxa"/>
              <w:bottom w:w="100" w:type="dxa"/>
              <w:left w:w="150" w:type="dxa"/>
              <w:right w:w="150" w:type="dxa"/>
            </w:tcMar>
          </w:tcPr>
          <w:p>
            <w:r>
              <w:rPr>
                <w:color w:val="2D3748"/>
                <w:sz w:val="19"/>
              </w:rPr>
              <w:t>FAILED (Cloud SaaS strictly)</w:t>
            </w:r>
          </w:p>
        </w:tc>
        <w:tc>
          <w:tcPr>
            <w:tcW w:type="dxa" w:w="1872"/>
            <w:shd w:fill="FFFFFF"/>
            <w:tcMar>
              <w:top w:w="100" w:type="dxa"/>
              <w:bottom w:w="100" w:type="dxa"/>
              <w:left w:w="150" w:type="dxa"/>
              <w:right w:w="150" w:type="dxa"/>
            </w:tcMar>
          </w:tcPr>
          <w:p>
            <w:r>
              <w:rPr>
                <w:color w:val="2D3748"/>
                <w:sz w:val="19"/>
              </w:rPr>
              <w:t>Offline / Heavy Infrastructure</w:t>
            </w:r>
          </w:p>
        </w:tc>
      </w:tr>
      <w:tr>
        <w:tc>
          <w:tcPr>
            <w:tcW w:type="dxa" w:w="1872"/>
            <w:shd w:fill="F7FAFC"/>
            <w:tcMar>
              <w:top w:w="100" w:type="dxa"/>
              <w:bottom w:w="100" w:type="dxa"/>
              <w:left w:w="150" w:type="dxa"/>
              <w:right w:w="150" w:type="dxa"/>
            </w:tcMar>
          </w:tcPr>
          <w:p>
            <w:r>
              <w:rPr>
                <w:color w:val="2D3748"/>
                <w:sz w:val="19"/>
              </w:rPr>
              <w:t>Backup &amp; Recovery</w:t>
            </w:r>
          </w:p>
        </w:tc>
        <w:tc>
          <w:tcPr>
            <w:tcW w:type="dxa" w:w="1872"/>
            <w:shd w:fill="F7FAFC"/>
            <w:tcMar>
              <w:top w:w="100" w:type="dxa"/>
              <w:bottom w:w="100" w:type="dxa"/>
              <w:left w:w="150" w:type="dxa"/>
              <w:right w:w="150" w:type="dxa"/>
            </w:tcMar>
          </w:tcPr>
          <w:p>
            <w:r>
              <w:rPr>
                <w:color w:val="2D3748"/>
                <w:sz w:val="19"/>
              </w:rPr>
              <w:t>Standard pg_dump &amp; WAL</w:t>
            </w:r>
          </w:p>
        </w:tc>
        <w:tc>
          <w:tcPr>
            <w:tcW w:type="dxa" w:w="1728"/>
            <w:shd w:fill="F7FAFC"/>
            <w:tcMar>
              <w:top w:w="100" w:type="dxa"/>
              <w:bottom w:w="100" w:type="dxa"/>
              <w:left w:w="150" w:type="dxa"/>
              <w:right w:w="150" w:type="dxa"/>
            </w:tcMar>
          </w:tcPr>
          <w:p>
            <w:r>
              <w:rPr>
                <w:color w:val="2D3748"/>
                <w:sz w:val="19"/>
              </w:rPr>
              <w:t>Custom file copy scripts</w:t>
            </w:r>
          </w:p>
        </w:tc>
        <w:tc>
          <w:tcPr>
            <w:tcW w:type="dxa" w:w="1728"/>
            <w:shd w:fill="F7FAFC"/>
            <w:tcMar>
              <w:top w:w="100" w:type="dxa"/>
              <w:bottom w:w="100" w:type="dxa"/>
              <w:left w:w="150" w:type="dxa"/>
              <w:right w:w="150" w:type="dxa"/>
            </w:tcMar>
          </w:tcPr>
          <w:p>
            <w:r>
              <w:rPr>
                <w:color w:val="2D3748"/>
                <w:sz w:val="19"/>
              </w:rPr>
              <w:t>Snapshot export tools</w:t>
            </w:r>
          </w:p>
        </w:tc>
        <w:tc>
          <w:tcPr>
            <w:tcW w:type="dxa" w:w="1728"/>
            <w:shd w:fill="F7FAFC"/>
            <w:tcMar>
              <w:top w:w="100" w:type="dxa"/>
              <w:bottom w:w="100" w:type="dxa"/>
              <w:left w:w="150" w:type="dxa"/>
              <w:right w:w="150" w:type="dxa"/>
            </w:tcMar>
          </w:tcPr>
          <w:p>
            <w:r>
              <w:rPr>
                <w:color w:val="2D3748"/>
                <w:sz w:val="19"/>
              </w:rPr>
              <w:t>Vendor Cloud Backups</w:t>
            </w:r>
          </w:p>
        </w:tc>
        <w:tc>
          <w:tcPr>
            <w:tcW w:type="dxa" w:w="1872"/>
            <w:shd w:fill="F7FAFC"/>
            <w:tcMar>
              <w:top w:w="100" w:type="dxa"/>
              <w:bottom w:w="100" w:type="dxa"/>
              <w:left w:w="150" w:type="dxa"/>
              <w:right w:w="150" w:type="dxa"/>
            </w:tcMar>
          </w:tcPr>
          <w:p>
            <w:r>
              <w:rPr>
                <w:color w:val="2D3748"/>
                <w:sz w:val="19"/>
              </w:rPr>
              <w:t>Complex cluster backup</w:t>
            </w:r>
          </w:p>
        </w:tc>
      </w:tr>
      <w:tr>
        <w:tc>
          <w:tcPr>
            <w:tcW w:type="dxa" w:w="1872"/>
            <w:shd w:fill="FFFFFF"/>
            <w:tcMar>
              <w:top w:w="100" w:type="dxa"/>
              <w:bottom w:w="100" w:type="dxa"/>
              <w:left w:w="150" w:type="dxa"/>
              <w:right w:w="150" w:type="dxa"/>
            </w:tcMar>
          </w:tcPr>
          <w:p>
            <w:r>
              <w:rPr>
                <w:color w:val="2D3748"/>
                <w:sz w:val="19"/>
              </w:rPr>
              <w:t>Index Architecture</w:t>
            </w:r>
          </w:p>
        </w:tc>
        <w:tc>
          <w:tcPr>
            <w:tcW w:type="dxa" w:w="1872"/>
            <w:shd w:fill="FFFFFF"/>
            <w:tcMar>
              <w:top w:w="100" w:type="dxa"/>
              <w:bottom w:w="100" w:type="dxa"/>
              <w:left w:w="150" w:type="dxa"/>
              <w:right w:w="150" w:type="dxa"/>
            </w:tcMar>
          </w:tcPr>
          <w:p>
            <w:r>
              <w:rPr>
                <w:color w:val="2D3748"/>
                <w:sz w:val="19"/>
              </w:rPr>
              <w:t>HNSW / IVFFlat (Native)</w:t>
            </w:r>
          </w:p>
        </w:tc>
        <w:tc>
          <w:tcPr>
            <w:tcW w:type="dxa" w:w="1728"/>
            <w:shd w:fill="FFFFFF"/>
            <w:tcMar>
              <w:top w:w="100" w:type="dxa"/>
              <w:bottom w:w="100" w:type="dxa"/>
              <w:left w:w="150" w:type="dxa"/>
              <w:right w:w="150" w:type="dxa"/>
            </w:tcMar>
          </w:tcPr>
          <w:p>
            <w:r>
              <w:rPr>
                <w:color w:val="2D3748"/>
                <w:sz w:val="19"/>
              </w:rPr>
              <w:t>HNSW / DuckDB</w:t>
            </w:r>
          </w:p>
        </w:tc>
        <w:tc>
          <w:tcPr>
            <w:tcW w:type="dxa" w:w="1728"/>
            <w:shd w:fill="FFFFFF"/>
            <w:tcMar>
              <w:top w:w="100" w:type="dxa"/>
              <w:bottom w:w="100" w:type="dxa"/>
              <w:left w:w="150" w:type="dxa"/>
              <w:right w:w="150" w:type="dxa"/>
            </w:tcMar>
          </w:tcPr>
          <w:p>
            <w:r>
              <w:rPr>
                <w:color w:val="2D3748"/>
                <w:sz w:val="19"/>
              </w:rPr>
              <w:t>HNSW (Custom Rust)</w:t>
            </w:r>
          </w:p>
        </w:tc>
        <w:tc>
          <w:tcPr>
            <w:tcW w:type="dxa" w:w="1728"/>
            <w:shd w:fill="FFFFFF"/>
            <w:tcMar>
              <w:top w:w="100" w:type="dxa"/>
              <w:bottom w:w="100" w:type="dxa"/>
              <w:left w:w="150" w:type="dxa"/>
              <w:right w:w="150" w:type="dxa"/>
            </w:tcMar>
          </w:tcPr>
          <w:p>
            <w:r>
              <w:rPr>
                <w:color w:val="2D3748"/>
                <w:sz w:val="19"/>
              </w:rPr>
              <w:t>Proprietary Cloud Index</w:t>
            </w:r>
          </w:p>
        </w:tc>
        <w:tc>
          <w:tcPr>
            <w:tcW w:type="dxa" w:w="1872"/>
            <w:shd w:fill="FFFFFF"/>
            <w:tcMar>
              <w:top w:w="100" w:type="dxa"/>
              <w:bottom w:w="100" w:type="dxa"/>
              <w:left w:w="150" w:type="dxa"/>
              <w:right w:w="150" w:type="dxa"/>
            </w:tcMar>
          </w:tcPr>
          <w:p>
            <w:r>
              <w:rPr>
                <w:color w:val="2D3748"/>
                <w:sz w:val="19"/>
              </w:rPr>
              <w:t>HNSW / Knowhere Index</w:t>
            </w:r>
          </w:p>
        </w:tc>
      </w:tr>
      <w:tr>
        <w:tc>
          <w:tcPr>
            <w:tcW w:type="dxa" w:w="1872"/>
            <w:shd w:fill="F7FAFC"/>
            <w:tcMar>
              <w:top w:w="100" w:type="dxa"/>
              <w:bottom w:w="100" w:type="dxa"/>
              <w:left w:w="150" w:type="dxa"/>
              <w:right w:w="150" w:type="dxa"/>
            </w:tcMar>
          </w:tcPr>
          <w:p>
            <w:r>
              <w:rPr>
                <w:color w:val="2D3748"/>
                <w:sz w:val="19"/>
              </w:rPr>
              <w:t>Memory &amp; CPU Footprint</w:t>
            </w:r>
          </w:p>
        </w:tc>
        <w:tc>
          <w:tcPr>
            <w:tcW w:type="dxa" w:w="1872"/>
            <w:shd w:fill="F7FAFC"/>
            <w:tcMar>
              <w:top w:w="100" w:type="dxa"/>
              <w:bottom w:w="100" w:type="dxa"/>
              <w:left w:w="150" w:type="dxa"/>
              <w:right w:w="150" w:type="dxa"/>
            </w:tcMar>
          </w:tcPr>
          <w:p>
            <w:r>
              <w:rPr>
                <w:color w:val="2D3748"/>
                <w:sz w:val="19"/>
              </w:rPr>
              <w:t>Minimal (Shared buffer pool)</w:t>
            </w:r>
          </w:p>
        </w:tc>
        <w:tc>
          <w:tcPr>
            <w:tcW w:type="dxa" w:w="1728"/>
            <w:shd w:fill="F7FAFC"/>
            <w:tcMar>
              <w:top w:w="100" w:type="dxa"/>
              <w:bottom w:w="100" w:type="dxa"/>
              <w:left w:w="150" w:type="dxa"/>
              <w:right w:w="150" w:type="dxa"/>
            </w:tcMar>
          </w:tcPr>
          <w:p>
            <w:r>
              <w:rPr>
                <w:color w:val="2D3748"/>
                <w:sz w:val="19"/>
              </w:rPr>
              <w:t>High RAM spikes</w:t>
            </w:r>
          </w:p>
        </w:tc>
        <w:tc>
          <w:tcPr>
            <w:tcW w:type="dxa" w:w="1728"/>
            <w:shd w:fill="F7FAFC"/>
            <w:tcMar>
              <w:top w:w="100" w:type="dxa"/>
              <w:bottom w:w="100" w:type="dxa"/>
              <w:left w:w="150" w:type="dxa"/>
              <w:right w:w="150" w:type="dxa"/>
            </w:tcMar>
          </w:tcPr>
          <w:p>
            <w:r>
              <w:rPr>
                <w:color w:val="2D3748"/>
                <w:sz w:val="19"/>
              </w:rPr>
              <w:t>Moderate-High RAM</w:t>
            </w:r>
          </w:p>
        </w:tc>
        <w:tc>
          <w:tcPr>
            <w:tcW w:type="dxa" w:w="1728"/>
            <w:shd w:fill="F7FAFC"/>
            <w:tcMar>
              <w:top w:w="100" w:type="dxa"/>
              <w:bottom w:w="100" w:type="dxa"/>
              <w:left w:w="150" w:type="dxa"/>
              <w:right w:w="150" w:type="dxa"/>
            </w:tcMar>
          </w:tcPr>
          <w:p>
            <w:r>
              <w:rPr>
                <w:color w:val="2D3748"/>
                <w:sz w:val="19"/>
              </w:rPr>
              <w:t>N/A (Paid Cloud)</w:t>
            </w:r>
          </w:p>
        </w:tc>
        <w:tc>
          <w:tcPr>
            <w:tcW w:type="dxa" w:w="1872"/>
            <w:shd w:fill="F7FAFC"/>
            <w:tcMar>
              <w:top w:w="100" w:type="dxa"/>
              <w:bottom w:w="100" w:type="dxa"/>
              <w:left w:w="150" w:type="dxa"/>
              <w:right w:w="150" w:type="dxa"/>
            </w:tcMar>
          </w:tcPr>
          <w:p>
            <w:r>
              <w:rPr>
                <w:color w:val="2D3748"/>
                <w:sz w:val="19"/>
              </w:rPr>
              <w:t>Very Heavy (16GB+ RAM min)</w:t>
            </w:r>
          </w:p>
        </w:tc>
      </w:tr>
    </w:tbl>
    <w:p>
      <w:pPr>
        <w:spacing w:after="120"/>
      </w:pPr>
    </w:p>
    <w:p>
      <w:pPr>
        <w:keepNext/>
        <w:spacing w:before="280" w:after="80"/>
      </w:pPr>
      <w:r>
        <w:rPr>
          <w:rFonts w:ascii="Calibri" w:hAnsi="Calibri"/>
          <w:b/>
          <w:color w:val="2B6CB0"/>
          <w:sz w:val="27"/>
        </w:rPr>
        <w:t>2.2 In-Depth Breakdown: Technical Justifications for pgvector</w:t>
      </w:r>
    </w:p>
    <w:p>
      <w:pPr>
        <w:pStyle w:val="ListBullet"/>
        <w:spacing w:after="80"/>
      </w:pPr>
      <w:r>
        <w:rPr>
          <w:b/>
          <w:color w:val="1A365D"/>
        </w:rPr>
        <w:t xml:space="preserve">1. Elimination of Dual-Database Synchronization (Data Drift): </w:t>
      </w:r>
      <w:r>
        <w:t>In architectures using standalone vector databases like ChromaDB or Qdrant alongside a relational DB, developers must write sync mechanisms to ensure document embeddings match relational records. If an application status changes or a survey document is deleted in PostgreSQL, a separate API call must update ChromaDB. If that call fails, data drift occurs. With pgvector, knowledge embeddings reside in the exact same database engine in the 'knowledge_embeddings' table. Vector vectors and relational metadata are updated within atomic SQL transactions.</w:t>
      </w:r>
    </w:p>
    <w:p>
      <w:pPr>
        <w:pStyle w:val="ListBullet"/>
        <w:spacing w:after="80"/>
      </w:pPr>
      <w:r>
        <w:rPr>
          <w:b/>
          <w:color w:val="1A365D"/>
        </w:rPr>
        <w:t xml:space="preserve">2. Full ACID Transaction Safety: </w:t>
      </w:r>
      <w:r>
        <w:t>Land survey administrative operations require strict transactional integrity. pgvector leverages PostgreSQL's Write-Ahead Logging (WAL), multiversion concurrency control (MVCC), and ACID transaction guarantees. Embedding updates roll back safely if an ingestion script fails, preventing corrupted state.</w:t>
      </w:r>
    </w:p>
    <w:p>
      <w:pPr>
        <w:pStyle w:val="ListBullet"/>
        <w:spacing w:after="80"/>
      </w:pPr>
      <w:r>
        <w:rPr>
          <w:b/>
          <w:color w:val="1A365D"/>
        </w:rPr>
        <w:t xml:space="preserve">3. Single SQL Query for Metadata Filtering + Cosine Similarity: </w:t>
      </w:r>
      <w:r>
        <w:t>Unlike ChromaDB or Pinecone where filtering metadata requires proprietary JSON filters before vector scoring, pgvector allows standard SQL queries. In backend/services/pgvector_store.py, we execute HNSW cosine similarity search combined with SQL WHERE clauses (e.g. language = 'ta' AND category = 'workflow') directly inside PostgreSQL's query optimizer.</w:t>
      </w:r>
    </w:p>
    <w:p>
      <w:pPr>
        <w:pStyle w:val="ListBullet"/>
        <w:spacing w:after="80"/>
      </w:pPr>
      <w:r>
        <w:rPr>
          <w:b/>
          <w:color w:val="1A365D"/>
        </w:rPr>
        <w:t xml:space="preserve">4. Simplified Backup, Disaster Recovery &amp; Security Auditing: </w:t>
      </w:r>
      <w:r>
        <w:t>Government IT infrastructure priorities operational simplicity. Using pgvector means administrators only back up a single PostgreSQL instance using native pg_dump or pg_restore tools. There are no additional ports to expose, no separate security patches for vector daemons, and zero risk of data leaving on-premise networks (unlike Pinecone).</w:t>
      </w:r>
    </w:p>
    <w:p>
      <w:pPr>
        <w:pStyle w:val="ListBullet"/>
        <w:spacing w:after="80"/>
      </w:pPr>
      <w:r>
        <w:rPr>
          <w:b/>
          <w:color w:val="1A365D"/>
        </w:rPr>
        <w:t xml:space="preserve">5. Performance &amp; Resource Constraints on Hardware: </w:t>
      </w:r>
      <w:r>
        <w:t>Milvus and Weaviate require substantial RAM (minimum 16GB–32GB for production clusters) and multiple background daemons (Etcd, MinIO, Pulsar). Qdrant requires running a dedicated Rust service. pgvector runs inside the existing PostgreSQL process, consuming minimal additional RAM while serving HNSW vector queries in under 5 milliseconds.</w:t>
      </w:r>
    </w:p>
    <w:tbl>
      <w:tblPr>
        <w:tblW w:type="auto" w:w="0"/>
        <w:jc w:val="center"/>
        <w:tblLook w:firstColumn="1" w:firstRow="1" w:lastColumn="0" w:lastRow="0" w:noHBand="0" w:noVBand="1" w:val="04A0"/>
      </w:tblPr>
      <w:tblGrid>
        <w:gridCol w:w="9360"/>
      </w:tblGrid>
      <w:tr>
        <w:tc>
          <w:tcPr>
            <w:tcW w:type="dxa" w:w="9360"/>
            <w:shd w:fill="EBF8FF"/>
            <w:tcMar>
              <w:top w:w="140" w:type="dxa"/>
              <w:bottom w:w="140" w:type="dxa"/>
              <w:left w:w="200" w:type="dxa"/>
              <w:right w:w="200" w:type="dxa"/>
            </w:tcMar>
          </w:tcPr>
          <w:p>
            <w:pPr>
              <w:spacing w:after="0"/>
            </w:pPr>
            <w:r>
              <w:rPr>
                <w:b/>
                <w:color w:val="2B6CB0"/>
              </w:rPr>
              <w:t xml:space="preserve">[WHY PGVECTOR WINS FOR E-GOVERNANCE] </w:t>
            </w:r>
            <w:r>
              <w:t>Conclusion on Vector DB Choice: By adopting pgvector, the SIS Chatbot achieves 100% data consistency, single-tool maintenance (PostgreSQL), native ACID safety, and sub-10ms similarity search without adding third-party infrastructure complexity or security vulnerabilities.</w:t>
            </w:r>
          </w:p>
        </w:tc>
      </w:tr>
    </w:tbl>
    <w:p>
      <w:pPr>
        <w:spacing w:after="80"/>
      </w:pPr>
    </w:p>
    <w:p>
      <w:pPr>
        <w:keepNext/>
        <w:spacing w:before="360" w:after="120"/>
      </w:pPr>
      <w:r>
        <w:rPr>
          <w:rFonts w:ascii="Calibri" w:hAnsi="Calibri"/>
          <w:b/>
          <w:color w:val="1A365D"/>
          <w:sz w:val="34"/>
        </w:rPr>
        <w:t>3. Comprehensive Feature Breakdown, Inputs, Outputs &amp; Outcomes</w:t>
      </w:r>
    </w:p>
    <w:p>
      <w:r>
        <w:t>The SIS AI Assistant includes ten major functional features tailored specifically to survey application workflows. Below is an exhaustive breakdown of each feature, its input parameters, backend processing mechanisms, output structures, and administrative outcomes.</w:t>
      </w:r>
    </w:p>
    <w:p>
      <w:pPr>
        <w:keepNext/>
        <w:spacing w:before="280" w:after="80"/>
      </w:pPr>
      <w:r>
        <w:rPr>
          <w:rFonts w:ascii="Calibri" w:hAnsi="Calibri"/>
          <w:b/>
          <w:color w:val="2B6CB0"/>
          <w:sz w:val="27"/>
        </w:rPr>
        <w:t>Feature 1: Multi-Lingual &amp; Tanglish Natural Language Processing Engine</w:t>
      </w:r>
    </w:p>
    <w:p>
      <w:pPr>
        <w:pStyle w:val="ListBullet"/>
        <w:spacing w:after="80"/>
      </w:pPr>
      <w:r>
        <w:rPr>
          <w:b/>
          <w:color w:val="1A365D"/>
        </w:rPr>
        <w:t xml:space="preserve">Input Data: </w:t>
      </w:r>
      <w:r>
        <w:t>User query in Tamil script, English, or Romanized Tanglish (e.g., 'Ennoda pending applications kaattu').</w:t>
      </w:r>
    </w:p>
    <w:p>
      <w:pPr>
        <w:pStyle w:val="ListBullet"/>
        <w:spacing w:after="80"/>
      </w:pPr>
      <w:r>
        <w:rPr>
          <w:b/>
          <w:color w:val="1A365D"/>
        </w:rPr>
        <w:t xml:space="preserve">Processing Logic: </w:t>
      </w:r>
      <w:r>
        <w:t>detect_language() calculates Tamil character ratio (U+0B80-U+0BFF). If &gt;50% -&gt; 'ta'. If Tamil keywords present -&gt; 'tanglish'. Parses intent via regex &amp; Damerau-Levenshtein distance matching in fuzzy.py.</w:t>
      </w:r>
    </w:p>
    <w:p>
      <w:pPr>
        <w:pStyle w:val="ListBullet"/>
        <w:spacing w:after="80"/>
      </w:pPr>
      <w:r>
        <w:rPr>
          <w:b/>
          <w:color w:val="1A365D"/>
        </w:rPr>
        <w:t xml:space="preserve">Output Result: </w:t>
      </w:r>
      <w:r>
        <w:t>Language code ('ta', 'tanglish', 'en'), structured intent classification, and localized response template.</w:t>
      </w:r>
    </w:p>
    <w:p>
      <w:pPr>
        <w:pStyle w:val="ListBullet"/>
        <w:spacing w:after="80"/>
      </w:pPr>
      <w:r>
        <w:rPr>
          <w:b/>
          <w:color w:val="1A365D"/>
        </w:rPr>
        <w:t xml:space="preserve">Administrative Outcome: </w:t>
      </w:r>
      <w:r>
        <w:t>Surveyors can communicate naturally without learning formal command syntax or toggling input methods.</w:t>
      </w:r>
    </w:p>
    <w:p>
      <w:pPr>
        <w:keepNext/>
        <w:spacing w:before="280" w:after="80"/>
      </w:pPr>
      <w:r>
        <w:rPr>
          <w:rFonts w:ascii="Calibri" w:hAnsi="Calibri"/>
          <w:b/>
          <w:color w:val="2B6CB0"/>
          <w:sz w:val="27"/>
        </w:rPr>
        <w:t>Feature 2: Offline Speech-to-Text Voice Interaction Engine</w:t>
      </w:r>
    </w:p>
    <w:p>
      <w:pPr>
        <w:pStyle w:val="ListBullet"/>
        <w:spacing w:after="80"/>
      </w:pPr>
      <w:r>
        <w:rPr>
          <w:b/>
          <w:color w:val="1A365D"/>
        </w:rPr>
        <w:t xml:space="preserve">Input Data: </w:t>
      </w:r>
      <w:r>
        <w:t>Audio recording (webm/wav/ogg format) captured via browser MediaRecorder API.</w:t>
      </w:r>
    </w:p>
    <w:p>
      <w:pPr>
        <w:pStyle w:val="ListBullet"/>
        <w:spacing w:after="80"/>
      </w:pPr>
      <w:r>
        <w:rPr>
          <w:b/>
          <w:color w:val="1A365D"/>
        </w:rPr>
        <w:t xml:space="preserve">Processing Logic: </w:t>
      </w:r>
      <w:r>
        <w:t>Uploaded to /api/v1/speech/transcribe. Processed by Faster-Whisper (small model, int8 quantization) with Voice Activity Detection (VAD) filter.</w:t>
      </w:r>
    </w:p>
    <w:p>
      <w:pPr>
        <w:pStyle w:val="ListBullet"/>
        <w:spacing w:after="80"/>
      </w:pPr>
      <w:r>
        <w:rPr>
          <w:b/>
          <w:color w:val="1A365D"/>
        </w:rPr>
        <w:t xml:space="preserve">Output Result: </w:t>
      </w:r>
      <w:r>
        <w:t>Transcribed text string, detected language code, and language confidence probability score.</w:t>
      </w:r>
    </w:p>
    <w:p>
      <w:pPr>
        <w:pStyle w:val="ListBullet"/>
        <w:spacing w:after="80"/>
      </w:pPr>
      <w:r>
        <w:rPr>
          <w:b/>
          <w:color w:val="1A365D"/>
        </w:rPr>
        <w:t xml:space="preserve">Administrative Outcome: </w:t>
      </w:r>
      <w:r>
        <w:t>Enables hands-free operation for field officers inspecting survey blocks or conducting ground measurements.</w:t>
      </w:r>
    </w:p>
    <w:p>
      <w:pPr>
        <w:keepNext/>
        <w:spacing w:before="280" w:after="80"/>
      </w:pPr>
      <w:r>
        <w:rPr>
          <w:rFonts w:ascii="Calibri" w:hAnsi="Calibri"/>
          <w:b/>
          <w:color w:val="2B6CB0"/>
          <w:sz w:val="27"/>
        </w:rPr>
        <w:t>Feature 3: Jurisdiction-Aware Data Isolation &amp; Security Control</w:t>
      </w:r>
    </w:p>
    <w:p>
      <w:pPr>
        <w:pStyle w:val="ListBullet"/>
        <w:spacing w:after="80"/>
      </w:pPr>
      <w:r>
        <w:rPr>
          <w:b/>
          <w:color w:val="1A365D"/>
        </w:rPr>
        <w:t xml:space="preserve">Input Data: </w:t>
      </w:r>
      <w:r>
        <w:t>Officer JWT Token containing authenticated officer employee ID.</w:t>
      </w:r>
    </w:p>
    <w:p>
      <w:pPr>
        <w:pStyle w:val="ListBullet"/>
        <w:spacing w:after="80"/>
      </w:pPr>
      <w:r>
        <w:rPr>
          <w:b/>
          <w:color w:val="1A365D"/>
        </w:rPr>
        <w:t xml:space="preserve">Processing Logic: </w:t>
      </w:r>
      <w:r>
        <w:t>auth_service.py recursively resolves officer jurisdiction hierarchy (District -&gt; Taluk -&gt; Town -&gt; Ward -&gt; Block). Scopes all DB queries strictly to assigned block IDs.</w:t>
      </w:r>
    </w:p>
    <w:p>
      <w:pPr>
        <w:pStyle w:val="ListBullet"/>
        <w:spacing w:after="80"/>
      </w:pPr>
      <w:r>
        <w:rPr>
          <w:b/>
          <w:color w:val="1A365D"/>
        </w:rPr>
        <w:t xml:space="preserve">Output Result: </w:t>
      </w:r>
      <w:r>
        <w:t>Query filters preventing cross-jurisdiction data access.</w:t>
      </w:r>
    </w:p>
    <w:p>
      <w:pPr>
        <w:pStyle w:val="ListBullet"/>
        <w:spacing w:after="80"/>
      </w:pPr>
      <w:r>
        <w:rPr>
          <w:b/>
          <w:color w:val="1A365D"/>
        </w:rPr>
        <w:t xml:space="preserve">Administrative Outcome: </w:t>
      </w:r>
      <w:r>
        <w:t>Guarantees complete data privacy; block-level officers cannot view unauthorized applications from adjacent taluks.</w:t>
      </w:r>
    </w:p>
    <w:p>
      <w:pPr>
        <w:keepNext/>
        <w:spacing w:before="280" w:after="80"/>
      </w:pPr>
      <w:r>
        <w:rPr>
          <w:rFonts w:ascii="Calibri" w:hAnsi="Calibri"/>
          <w:b/>
          <w:color w:val="2B6CB0"/>
          <w:sz w:val="27"/>
        </w:rPr>
        <w:t>Feature 4: Real-Time Application Workflow &amp; Subdivision Status Tracking</w:t>
      </w:r>
    </w:p>
    <w:p>
      <w:pPr>
        <w:pStyle w:val="ListBullet"/>
        <w:spacing w:after="80"/>
      </w:pPr>
      <w:r>
        <w:rPr>
          <w:b/>
          <w:color w:val="1A365D"/>
        </w:rPr>
        <w:t xml:space="preserve">Input Data: </w:t>
      </w:r>
      <w:r>
        <w:t>Application Number (APP-YYYY-NNNNNN) or query like 'Show pending applications'.</w:t>
      </w:r>
    </w:p>
    <w:p>
      <w:pPr>
        <w:pStyle w:val="ListBullet"/>
        <w:spacing w:after="80"/>
      </w:pPr>
      <w:r>
        <w:rPr>
          <w:b/>
          <w:color w:val="1A365D"/>
        </w:rPr>
        <w:t xml:space="preserve">Processing Logic: </w:t>
      </w:r>
      <w:r>
        <w:t>postgres.py queries applications table joined with applicants, survey_numbers, and blocks, excluding rejected applications.</w:t>
      </w:r>
    </w:p>
    <w:p>
      <w:pPr>
        <w:pStyle w:val="ListBullet"/>
        <w:spacing w:after="80"/>
      </w:pPr>
      <w:r>
        <w:rPr>
          <w:b/>
          <w:color w:val="1A365D"/>
        </w:rPr>
        <w:t xml:space="preserve">Output Result: </w:t>
      </w:r>
      <w:r>
        <w:t>Structured JSON table data rendered as an interactive, sortable HTML table with current stage badges (SIS, SD, DIS, TAHSILDAR).</w:t>
      </w:r>
    </w:p>
    <w:p>
      <w:pPr>
        <w:pStyle w:val="ListBullet"/>
        <w:spacing w:after="80"/>
      </w:pPr>
      <w:r>
        <w:rPr>
          <w:b/>
          <w:color w:val="1A365D"/>
        </w:rPr>
        <w:t xml:space="preserve">Administrative Outcome: </w:t>
      </w:r>
      <w:r>
        <w:t>Reduces application tracking lookups from 5 minutes (manual search) to under 2 seconds.</w:t>
      </w:r>
    </w:p>
    <w:p>
      <w:pPr>
        <w:keepNext/>
        <w:spacing w:before="280" w:after="80"/>
      </w:pPr>
      <w:r>
        <w:rPr>
          <w:rFonts w:ascii="Calibri" w:hAnsi="Calibri"/>
          <w:b/>
          <w:color w:val="2B6CB0"/>
          <w:sz w:val="27"/>
        </w:rPr>
        <w:t>Feature 5: Missing Document Checklist &amp; Sale Deed Verification Engine</w:t>
      </w:r>
    </w:p>
    <w:p>
      <w:pPr>
        <w:pStyle w:val="ListBullet"/>
        <w:spacing w:after="80"/>
      </w:pPr>
      <w:r>
        <w:rPr>
          <w:b/>
          <w:color w:val="1A365D"/>
        </w:rPr>
        <w:t xml:space="preserve">Input Data: </w:t>
      </w:r>
      <w:r>
        <w:t>Application number reference (explicit or implicit from chat context).</w:t>
      </w:r>
    </w:p>
    <w:p>
      <w:pPr>
        <w:pStyle w:val="ListBullet"/>
        <w:spacing w:after="80"/>
      </w:pPr>
      <w:r>
        <w:rPr>
          <w:b/>
          <w:color w:val="1A365D"/>
        </w:rPr>
        <w:t xml:space="preserve">Processing Logic: </w:t>
      </w:r>
      <w:r>
        <w:t>Queries application_documents table to verify mandatory document flags (Sale Deed, Chitta, Adangal, Encumbrance Certificate). Checks sale_deed_registered boolean flag.</w:t>
      </w:r>
    </w:p>
    <w:p>
      <w:pPr>
        <w:pStyle w:val="ListBullet"/>
        <w:spacing w:after="80"/>
      </w:pPr>
      <w:r>
        <w:rPr>
          <w:b/>
          <w:color w:val="1A365D"/>
        </w:rPr>
        <w:t xml:space="preserve">Output Result: </w:t>
      </w:r>
      <w:r>
        <w:t>Itemized document verification report highlighting missing or unverified documents in red/yellow status indicators.</w:t>
      </w:r>
    </w:p>
    <w:p>
      <w:pPr>
        <w:pStyle w:val="ListBullet"/>
        <w:spacing w:after="80"/>
      </w:pPr>
      <w:r>
        <w:rPr>
          <w:b/>
          <w:color w:val="1A365D"/>
        </w:rPr>
        <w:t xml:space="preserve">Administrative Outcome: </w:t>
      </w:r>
      <w:r>
        <w:t>Eliminates manual file auditing errors and prevents applications from advancing to Tahsildar without mandatory attachments.</w:t>
      </w:r>
    </w:p>
    <w:p>
      <w:pPr>
        <w:keepNext/>
        <w:spacing w:before="280" w:after="80"/>
      </w:pPr>
      <w:r>
        <w:rPr>
          <w:rFonts w:ascii="Calibri" w:hAnsi="Calibri"/>
          <w:b/>
          <w:color w:val="2B6CB0"/>
          <w:sz w:val="27"/>
        </w:rPr>
        <w:t>Feature 6: Joint Ownership &amp; Patta Ownership Share Calculator</w:t>
      </w:r>
    </w:p>
    <w:p>
      <w:pPr>
        <w:pStyle w:val="ListBullet"/>
        <w:spacing w:after="80"/>
      </w:pPr>
      <w:r>
        <w:rPr>
          <w:b/>
          <w:color w:val="1A365D"/>
        </w:rPr>
        <w:t xml:space="preserve">Input Data: </w:t>
      </w:r>
      <w:r>
        <w:t>Survey number inquiry (e.g., 'Who are the joint owners of Survey 145/1A?').</w:t>
      </w:r>
    </w:p>
    <w:p>
      <w:pPr>
        <w:pStyle w:val="ListBullet"/>
        <w:spacing w:after="80"/>
      </w:pPr>
      <w:r>
        <w:rPr>
          <w:b/>
          <w:color w:val="1A365D"/>
        </w:rPr>
        <w:t xml:space="preserve">Processing Logic: </w:t>
      </w:r>
      <w:r>
        <w:t>Queries survey_ownership table joined with owners table. Calculates total ownership shares (Numeric 5,2) and flags joint ownership status.</w:t>
      </w:r>
    </w:p>
    <w:p>
      <w:pPr>
        <w:pStyle w:val="ListBullet"/>
        <w:spacing w:after="80"/>
      </w:pPr>
      <w:r>
        <w:rPr>
          <w:b/>
          <w:color w:val="1A365D"/>
        </w:rPr>
        <w:t xml:space="preserve">Output Result: </w:t>
      </w:r>
      <w:r>
        <w:t>List of co-owners, Aadhaar last 4 digits, mobile numbers, and exact percentage land share.</w:t>
      </w:r>
    </w:p>
    <w:p>
      <w:pPr>
        <w:pStyle w:val="ListBullet"/>
        <w:spacing w:after="80"/>
      </w:pPr>
      <w:r>
        <w:rPr>
          <w:b/>
          <w:color w:val="1A365D"/>
        </w:rPr>
        <w:t xml:space="preserve">Administrative Outcome: </w:t>
      </w:r>
      <w:r>
        <w:t>Resolves complex patta partition disputes instantly during ground field inspections.</w:t>
      </w:r>
    </w:p>
    <w:p>
      <w:pPr>
        <w:keepNext/>
        <w:spacing w:before="280" w:after="80"/>
      </w:pPr>
      <w:r>
        <w:rPr>
          <w:rFonts w:ascii="Calibri" w:hAnsi="Calibri"/>
          <w:b/>
          <w:color w:val="2B6CB0"/>
          <w:sz w:val="27"/>
        </w:rPr>
        <w:t>Feature 7: Overdue Field Visit Inspection Alert System</w:t>
      </w:r>
    </w:p>
    <w:p>
      <w:pPr>
        <w:pStyle w:val="ListBullet"/>
        <w:spacing w:after="80"/>
      </w:pPr>
      <w:r>
        <w:rPr>
          <w:b/>
          <w:color w:val="1A365D"/>
        </w:rPr>
        <w:t xml:space="preserve">Input Data: </w:t>
      </w:r>
      <w:r>
        <w:t>Officer schedule inquiry (e.g., 'Show overdue field visits').</w:t>
      </w:r>
    </w:p>
    <w:p>
      <w:pPr>
        <w:pStyle w:val="ListBullet"/>
        <w:spacing w:after="80"/>
      </w:pPr>
      <w:r>
        <w:rPr>
          <w:b/>
          <w:color w:val="1A365D"/>
        </w:rPr>
        <w:t xml:space="preserve">Processing Logic: </w:t>
      </w:r>
      <w:r>
        <w:t>Queries field_visits table filtering for scheduled_date &lt; CURRENT_DATE and status = 'scheduled', excluding rejected applications.</w:t>
      </w:r>
    </w:p>
    <w:p>
      <w:pPr>
        <w:pStyle w:val="ListBullet"/>
        <w:spacing w:after="80"/>
      </w:pPr>
      <w:r>
        <w:rPr>
          <w:b/>
          <w:color w:val="1A365D"/>
        </w:rPr>
        <w:t xml:space="preserve">Output Result: </w:t>
      </w:r>
      <w:r>
        <w:t>Formatted schedule table highlighting overdue field visits with visual warning badges and applicant contact details.</w:t>
      </w:r>
    </w:p>
    <w:p>
      <w:pPr>
        <w:pStyle w:val="ListBullet"/>
        <w:spacing w:after="80"/>
      </w:pPr>
      <w:r>
        <w:rPr>
          <w:b/>
          <w:color w:val="1A365D"/>
        </w:rPr>
        <w:t xml:space="preserve">Administrative Outcome: </w:t>
      </w:r>
      <w:r>
        <w:t>Prevents survey application bottlenecks and enforces compliance with SLA timelines for field inspections.</w:t>
      </w:r>
    </w:p>
    <w:p>
      <w:pPr>
        <w:keepNext/>
        <w:spacing w:before="280" w:after="80"/>
      </w:pPr>
      <w:r>
        <w:rPr>
          <w:rFonts w:ascii="Calibri" w:hAnsi="Calibri"/>
          <w:b/>
          <w:color w:val="2B6CB0"/>
          <w:sz w:val="27"/>
        </w:rPr>
        <w:t>Feature 8: Direct Database Execution for Zero-Hallucination Numeric Counting</w:t>
      </w:r>
    </w:p>
    <w:p>
      <w:pPr>
        <w:pStyle w:val="ListBullet"/>
        <w:spacing w:after="80"/>
      </w:pPr>
      <w:r>
        <w:rPr>
          <w:b/>
          <w:color w:val="1A365D"/>
        </w:rPr>
        <w:t xml:space="preserve">Input Data: </w:t>
      </w:r>
      <w:r>
        <w:t>Numeric questions like 'How many applications received in July?'.</w:t>
      </w:r>
    </w:p>
    <w:p>
      <w:pPr>
        <w:pStyle w:val="ListBullet"/>
        <w:spacing w:after="80"/>
      </w:pPr>
      <w:r>
        <w:rPr>
          <w:b/>
          <w:color w:val="1A365D"/>
        </w:rPr>
        <w:t xml:space="preserve">Processing Logic: </w:t>
      </w:r>
      <w:r>
        <w:t>Intercepts query in chatbot.py. Extracts month using fuzzy.py Damerau-Levenshtein month matching. Executes SQL COUNT() directly on applications table. Bypasses LLM generation.</w:t>
      </w:r>
    </w:p>
    <w:p>
      <w:pPr>
        <w:pStyle w:val="ListBullet"/>
        <w:spacing w:after="80"/>
      </w:pPr>
      <w:r>
        <w:rPr>
          <w:b/>
          <w:color w:val="1A365D"/>
        </w:rPr>
        <w:t xml:space="preserve">Output Result: </w:t>
      </w:r>
      <w:r>
        <w:t>Exact numeric count statement (e.g., 'Total pending applications in July: 14').</w:t>
      </w:r>
    </w:p>
    <w:p>
      <w:pPr>
        <w:pStyle w:val="ListBullet"/>
        <w:spacing w:after="80"/>
      </w:pPr>
      <w:r>
        <w:rPr>
          <w:b/>
          <w:color w:val="1A365D"/>
        </w:rPr>
        <w:t xml:space="preserve">Administrative Outcome: </w:t>
      </w:r>
      <w:r>
        <w:t>Completely eliminates LLM hallucination for administrative statistics and numbers.</w:t>
      </w:r>
    </w:p>
    <w:p>
      <w:pPr>
        <w:keepNext/>
        <w:spacing w:before="280" w:after="80"/>
      </w:pPr>
      <w:r>
        <w:rPr>
          <w:rFonts w:ascii="Calibri" w:hAnsi="Calibri"/>
          <w:b/>
          <w:color w:val="2B6CB0"/>
          <w:sz w:val="27"/>
        </w:rPr>
        <w:t>Feature 9: RAG Procedural Manual &amp; Workflow Guidance System</w:t>
      </w:r>
    </w:p>
    <w:p>
      <w:pPr>
        <w:pStyle w:val="ListBullet"/>
        <w:spacing w:after="80"/>
      </w:pPr>
      <w:r>
        <w:rPr>
          <w:b/>
          <w:color w:val="1A365D"/>
        </w:rPr>
        <w:t xml:space="preserve">Input Data: </w:t>
      </w:r>
      <w:r>
        <w:t>Questions on survey rules, boundary partition procedures, or escalation guidelines.</w:t>
      </w:r>
    </w:p>
    <w:p>
      <w:pPr>
        <w:pStyle w:val="ListBullet"/>
        <w:spacing w:after="80"/>
      </w:pPr>
      <w:r>
        <w:rPr>
          <w:b/>
          <w:color w:val="1A365D"/>
        </w:rPr>
        <w:t xml:space="preserve">Processing Logic: </w:t>
      </w:r>
      <w:r>
        <w:t>Generates vector embedding of query via nomic-embed-text. Performs pgvector HNSW cosine search against knowledge_embeddings table. Injects top 5 chunks into Llama 3.1:8b prompt.</w:t>
      </w:r>
    </w:p>
    <w:p>
      <w:pPr>
        <w:pStyle w:val="ListBullet"/>
        <w:spacing w:after="80"/>
      </w:pPr>
      <w:r>
        <w:rPr>
          <w:b/>
          <w:color w:val="1A365D"/>
        </w:rPr>
        <w:t xml:space="preserve">Output Result: </w:t>
      </w:r>
      <w:r>
        <w:t>Natural language procedural explanation streamed token-by-token via Server-Sent Events (SSE).</w:t>
      </w:r>
    </w:p>
    <w:p>
      <w:pPr>
        <w:pStyle w:val="ListBullet"/>
        <w:spacing w:after="80"/>
      </w:pPr>
      <w:r>
        <w:rPr>
          <w:b/>
          <w:color w:val="1A365D"/>
        </w:rPr>
        <w:t xml:space="preserve">Administrative Outcome: </w:t>
      </w:r>
      <w:r>
        <w:t>Acts as an instant digital survey manual for junior surveyors, improving administrative standardization.</w:t>
      </w:r>
    </w:p>
    <w:p>
      <w:pPr>
        <w:keepNext/>
        <w:spacing w:before="280" w:after="80"/>
      </w:pPr>
      <w:r>
        <w:rPr>
          <w:rFonts w:ascii="Calibri" w:hAnsi="Calibri"/>
          <w:b/>
          <w:color w:val="2B6CB0"/>
          <w:sz w:val="27"/>
        </w:rPr>
        <w:t>Feature 10: Security Audit Logging &amp; Session Playback</w:t>
      </w:r>
    </w:p>
    <w:p>
      <w:pPr>
        <w:pStyle w:val="ListBullet"/>
        <w:spacing w:after="80"/>
      </w:pPr>
      <w:r>
        <w:rPr>
          <w:b/>
          <w:color w:val="1A365D"/>
        </w:rPr>
        <w:t xml:space="preserve">Input Data: </w:t>
      </w:r>
      <w:r>
        <w:t>All officer chat interactions, login events, and workflow queries.</w:t>
      </w:r>
    </w:p>
    <w:p>
      <w:pPr>
        <w:pStyle w:val="ListBullet"/>
        <w:spacing w:after="80"/>
      </w:pPr>
      <w:r>
        <w:rPr>
          <w:b/>
          <w:color w:val="1A365D"/>
        </w:rPr>
        <w:t xml:space="preserve">Processing Logic: </w:t>
      </w:r>
      <w:r>
        <w:t>Writes audit records to audit_logs table with officer ID, employee ID string copy, IP address, timestamp, and JSONB payload of structured data shown.</w:t>
      </w:r>
    </w:p>
    <w:p>
      <w:pPr>
        <w:pStyle w:val="ListBullet"/>
        <w:spacing w:after="80"/>
      </w:pPr>
      <w:r>
        <w:rPr>
          <w:b/>
          <w:color w:val="1A365D"/>
        </w:rPr>
        <w:t xml:space="preserve">Output Result: </w:t>
      </w:r>
      <w:r>
        <w:t>Immutable database audit log surviving officer account deletion.</w:t>
      </w:r>
    </w:p>
    <w:p>
      <w:pPr>
        <w:pStyle w:val="ListBullet"/>
        <w:spacing w:after="80"/>
      </w:pPr>
      <w:r>
        <w:rPr>
          <w:b/>
          <w:color w:val="1A365D"/>
        </w:rPr>
        <w:t xml:space="preserve">Administrative Outcome: </w:t>
      </w:r>
      <w:r>
        <w:t>Ensures full accountability, legal compliance, and security oversight for all e-governance data queries.</w:t>
      </w:r>
    </w:p>
    <w:p>
      <w:pPr>
        <w:keepNext/>
        <w:spacing w:before="360" w:after="120"/>
      </w:pPr>
      <w:r>
        <w:rPr>
          <w:rFonts w:ascii="Calibri" w:hAnsi="Calibri"/>
          <w:b/>
          <w:color w:val="1A365D"/>
          <w:sz w:val="34"/>
        </w:rPr>
        <w:t>4. Exhaustive Project Structure &amp; File Directory Inventory</w:t>
      </w:r>
    </w:p>
    <w:p>
      <w:r>
        <w:t>Below is the complete, comprehensive file directory layout of the nic_internship repository, detailing the function and purpose of every single directory and source file.</w:t>
      </w:r>
    </w:p>
    <w:tbl>
      <w:tblPr>
        <w:tblW w:type="auto" w:w="0"/>
        <w:jc w:val="center"/>
        <w:tblLook w:firstColumn="1" w:firstRow="1" w:lastColumn="0" w:lastRow="0" w:noHBand="0" w:noVBand="1" w:val="04A0"/>
      </w:tblPr>
      <w:tblGrid>
        <w:gridCol w:w="3120"/>
        <w:gridCol w:w="3120"/>
        <w:gridCol w:w="3120"/>
      </w:tblGrid>
      <w:tr>
        <w:tc>
          <w:tcPr>
            <w:tcW w:type="dxa" w:w="2592"/>
            <w:shd w:fill="1A365D"/>
            <w:tcMar>
              <w:top w:w="120" w:type="dxa"/>
              <w:bottom w:w="120" w:type="dxa"/>
              <w:left w:w="150" w:type="dxa"/>
              <w:right w:w="150" w:type="dxa"/>
            </w:tcMar>
          </w:tcPr>
          <w:p>
            <w:pPr>
              <w:jc w:val="left"/>
            </w:pPr>
            <w:r>
              <w:rPr>
                <w:b/>
                <w:color w:val="FFFFFF"/>
                <w:sz w:val="20"/>
              </w:rPr>
              <w:t>File / Directory Path</w:t>
            </w:r>
          </w:p>
        </w:tc>
        <w:tc>
          <w:tcPr>
            <w:tcW w:type="dxa" w:w="1872"/>
            <w:shd w:fill="1A365D"/>
            <w:tcMar>
              <w:top w:w="120" w:type="dxa"/>
              <w:bottom w:w="120" w:type="dxa"/>
              <w:left w:w="150" w:type="dxa"/>
              <w:right w:w="150" w:type="dxa"/>
            </w:tcMar>
          </w:tcPr>
          <w:p>
            <w:pPr>
              <w:jc w:val="left"/>
            </w:pPr>
            <w:r>
              <w:rPr>
                <w:b/>
                <w:color w:val="FFFFFF"/>
                <w:sz w:val="20"/>
              </w:rPr>
              <w:t>Layer / Scope</w:t>
            </w:r>
          </w:p>
        </w:tc>
        <w:tc>
          <w:tcPr>
            <w:tcW w:type="dxa" w:w="4896"/>
            <w:shd w:fill="1A365D"/>
            <w:tcMar>
              <w:top w:w="120" w:type="dxa"/>
              <w:bottom w:w="120" w:type="dxa"/>
              <w:left w:w="150" w:type="dxa"/>
              <w:right w:w="150" w:type="dxa"/>
            </w:tcMar>
          </w:tcPr>
          <w:p>
            <w:pPr>
              <w:jc w:val="left"/>
            </w:pPr>
            <w:r>
              <w:rPr>
                <w:b/>
                <w:color w:val="FFFFFF"/>
                <w:sz w:val="20"/>
              </w:rPr>
              <w:t>Technical Purpose &amp; Implementation Logic</w:t>
            </w:r>
          </w:p>
        </w:tc>
      </w:tr>
      <w:tr>
        <w:tc>
          <w:tcPr>
            <w:tcW w:type="dxa" w:w="2592"/>
            <w:shd w:fill="FFFFFF"/>
            <w:tcMar>
              <w:top w:w="100" w:type="dxa"/>
              <w:bottom w:w="100" w:type="dxa"/>
              <w:left w:w="150" w:type="dxa"/>
              <w:right w:w="150" w:type="dxa"/>
            </w:tcMar>
          </w:tcPr>
          <w:p>
            <w:r>
              <w:rPr>
                <w:color w:val="2D3748"/>
                <w:sz w:val="19"/>
              </w:rPr>
              <w:t>nic_internship/</w:t>
            </w:r>
          </w:p>
        </w:tc>
        <w:tc>
          <w:tcPr>
            <w:tcW w:type="dxa" w:w="1872"/>
            <w:shd w:fill="FFFFFF"/>
            <w:tcMar>
              <w:top w:w="100" w:type="dxa"/>
              <w:bottom w:w="100" w:type="dxa"/>
              <w:left w:w="150" w:type="dxa"/>
              <w:right w:w="150" w:type="dxa"/>
            </w:tcMar>
          </w:tcPr>
          <w:p>
            <w:r>
              <w:rPr>
                <w:color w:val="2D3748"/>
                <w:sz w:val="19"/>
              </w:rPr>
              <w:t>Root Directory</w:t>
            </w:r>
          </w:p>
        </w:tc>
        <w:tc>
          <w:tcPr>
            <w:tcW w:type="dxa" w:w="4896"/>
            <w:shd w:fill="FFFFFF"/>
            <w:tcMar>
              <w:top w:w="100" w:type="dxa"/>
              <w:bottom w:w="100" w:type="dxa"/>
              <w:left w:w="150" w:type="dxa"/>
              <w:right w:w="150" w:type="dxa"/>
            </w:tcMar>
          </w:tcPr>
          <w:p>
            <w:r>
              <w:rPr>
                <w:color w:val="2D3748"/>
                <w:sz w:val="19"/>
              </w:rPr>
              <w:t>Project workspace root containing backend, frontend, tools, and setup scripts.</w:t>
            </w:r>
          </w:p>
        </w:tc>
      </w:tr>
      <w:tr>
        <w:tc>
          <w:tcPr>
            <w:tcW w:type="dxa" w:w="2592"/>
            <w:shd w:fill="F7FAFC"/>
            <w:tcMar>
              <w:top w:w="100" w:type="dxa"/>
              <w:bottom w:w="100" w:type="dxa"/>
              <w:left w:w="150" w:type="dxa"/>
              <w:right w:w="150" w:type="dxa"/>
            </w:tcMar>
          </w:tcPr>
          <w:p>
            <w:r>
              <w:rPr>
                <w:color w:val="2D3748"/>
                <w:sz w:val="19"/>
              </w:rPr>
              <w:t>.env</w:t>
            </w:r>
          </w:p>
        </w:tc>
        <w:tc>
          <w:tcPr>
            <w:tcW w:type="dxa" w:w="1872"/>
            <w:shd w:fill="F7FAFC"/>
            <w:tcMar>
              <w:top w:w="100" w:type="dxa"/>
              <w:bottom w:w="100" w:type="dxa"/>
              <w:left w:w="150" w:type="dxa"/>
              <w:right w:w="150" w:type="dxa"/>
            </w:tcMar>
          </w:tcPr>
          <w:p>
            <w:r>
              <w:rPr>
                <w:color w:val="2D3748"/>
                <w:sz w:val="19"/>
              </w:rPr>
              <w:t>Configuration</w:t>
            </w:r>
          </w:p>
        </w:tc>
        <w:tc>
          <w:tcPr>
            <w:tcW w:type="dxa" w:w="4896"/>
            <w:shd w:fill="F7FAFC"/>
            <w:tcMar>
              <w:top w:w="100" w:type="dxa"/>
              <w:bottom w:w="100" w:type="dxa"/>
              <w:left w:w="150" w:type="dxa"/>
              <w:right w:w="150" w:type="dxa"/>
            </w:tcMar>
          </w:tcPr>
          <w:p>
            <w:r>
              <w:rPr>
                <w:color w:val="2D3748"/>
                <w:sz w:val="19"/>
              </w:rPr>
              <w:t>Environment file containing PostgreSQL URLs, JWT Secret Keys, and Ollama model configuration.</w:t>
            </w:r>
          </w:p>
        </w:tc>
      </w:tr>
      <w:tr>
        <w:tc>
          <w:tcPr>
            <w:tcW w:type="dxa" w:w="2592"/>
            <w:shd w:fill="FFFFFF"/>
            <w:tcMar>
              <w:top w:w="100" w:type="dxa"/>
              <w:bottom w:w="100" w:type="dxa"/>
              <w:left w:w="150" w:type="dxa"/>
              <w:right w:w="150" w:type="dxa"/>
            </w:tcMar>
          </w:tcPr>
          <w:p>
            <w:r>
              <w:rPr>
                <w:color w:val="2D3748"/>
                <w:sz w:val="19"/>
              </w:rPr>
              <w:t>.env.example</w:t>
            </w:r>
          </w:p>
        </w:tc>
        <w:tc>
          <w:tcPr>
            <w:tcW w:type="dxa" w:w="1872"/>
            <w:shd w:fill="FFFFFF"/>
            <w:tcMar>
              <w:top w:w="100" w:type="dxa"/>
              <w:bottom w:w="100" w:type="dxa"/>
              <w:left w:w="150" w:type="dxa"/>
              <w:right w:w="150" w:type="dxa"/>
            </w:tcMar>
          </w:tcPr>
          <w:p>
            <w:r>
              <w:rPr>
                <w:color w:val="2D3748"/>
                <w:sz w:val="19"/>
              </w:rPr>
              <w:t>Configuration</w:t>
            </w:r>
          </w:p>
        </w:tc>
        <w:tc>
          <w:tcPr>
            <w:tcW w:type="dxa" w:w="4896"/>
            <w:shd w:fill="FFFFFF"/>
            <w:tcMar>
              <w:top w:w="100" w:type="dxa"/>
              <w:bottom w:w="100" w:type="dxa"/>
              <w:left w:w="150" w:type="dxa"/>
              <w:right w:w="150" w:type="dxa"/>
            </w:tcMar>
          </w:tcPr>
          <w:p>
            <w:r>
              <w:rPr>
                <w:color w:val="2D3748"/>
                <w:sz w:val="19"/>
              </w:rPr>
              <w:t>Template environment file showing required keys for deployment setup.</w:t>
            </w:r>
          </w:p>
        </w:tc>
      </w:tr>
      <w:tr>
        <w:tc>
          <w:tcPr>
            <w:tcW w:type="dxa" w:w="2592"/>
            <w:shd w:fill="F7FAFC"/>
            <w:tcMar>
              <w:top w:w="100" w:type="dxa"/>
              <w:bottom w:w="100" w:type="dxa"/>
              <w:left w:w="150" w:type="dxa"/>
              <w:right w:w="150" w:type="dxa"/>
            </w:tcMar>
          </w:tcPr>
          <w:p>
            <w:r>
              <w:rPr>
                <w:color w:val="2D3748"/>
                <w:sz w:val="19"/>
              </w:rPr>
              <w:t>requirements.txt</w:t>
            </w:r>
          </w:p>
        </w:tc>
        <w:tc>
          <w:tcPr>
            <w:tcW w:type="dxa" w:w="1872"/>
            <w:shd w:fill="F7FAFC"/>
            <w:tcMar>
              <w:top w:w="100" w:type="dxa"/>
              <w:bottom w:w="100" w:type="dxa"/>
              <w:left w:w="150" w:type="dxa"/>
              <w:right w:w="150" w:type="dxa"/>
            </w:tcMar>
          </w:tcPr>
          <w:p>
            <w:r>
              <w:rPr>
                <w:color w:val="2D3748"/>
                <w:sz w:val="19"/>
              </w:rPr>
              <w:t>Dependencies</w:t>
            </w:r>
          </w:p>
        </w:tc>
        <w:tc>
          <w:tcPr>
            <w:tcW w:type="dxa" w:w="4896"/>
            <w:shd w:fill="F7FAFC"/>
            <w:tcMar>
              <w:top w:w="100" w:type="dxa"/>
              <w:bottom w:w="100" w:type="dxa"/>
              <w:left w:w="150" w:type="dxa"/>
              <w:right w:w="150" w:type="dxa"/>
            </w:tcMar>
          </w:tcPr>
          <w:p>
            <w:r>
              <w:rPr>
                <w:color w:val="2D3748"/>
                <w:sz w:val="19"/>
              </w:rPr>
              <w:t>Python package dependencies (FastAPI, SQLAlchemy, pgvector, Ollama, Faster-Whisper, etc.).</w:t>
            </w:r>
          </w:p>
        </w:tc>
      </w:tr>
      <w:tr>
        <w:tc>
          <w:tcPr>
            <w:tcW w:type="dxa" w:w="2592"/>
            <w:shd w:fill="FFFFFF"/>
            <w:tcMar>
              <w:top w:w="100" w:type="dxa"/>
              <w:bottom w:w="100" w:type="dxa"/>
              <w:left w:w="150" w:type="dxa"/>
              <w:right w:w="150" w:type="dxa"/>
            </w:tcMar>
          </w:tcPr>
          <w:p>
            <w:r>
              <w:rPr>
                <w:color w:val="2D3748"/>
                <w:sz w:val="19"/>
              </w:rPr>
              <w:t>create_database.py</w:t>
            </w:r>
          </w:p>
        </w:tc>
        <w:tc>
          <w:tcPr>
            <w:tcW w:type="dxa" w:w="1872"/>
            <w:shd w:fill="FFFFFF"/>
            <w:tcMar>
              <w:top w:w="100" w:type="dxa"/>
              <w:bottom w:w="100" w:type="dxa"/>
              <w:left w:w="150" w:type="dxa"/>
              <w:right w:w="150" w:type="dxa"/>
            </w:tcMar>
          </w:tcPr>
          <w:p>
            <w:r>
              <w:rPr>
                <w:color w:val="2D3748"/>
                <w:sz w:val="19"/>
              </w:rPr>
              <w:t>Database Setup</w:t>
            </w:r>
          </w:p>
        </w:tc>
        <w:tc>
          <w:tcPr>
            <w:tcW w:type="dxa" w:w="4896"/>
            <w:shd w:fill="FFFFFF"/>
            <w:tcMar>
              <w:top w:w="100" w:type="dxa"/>
              <w:bottom w:w="100" w:type="dxa"/>
              <w:left w:w="150" w:type="dxa"/>
              <w:right w:w="150" w:type="dxa"/>
            </w:tcMar>
          </w:tcPr>
          <w:p>
            <w:r>
              <w:rPr>
                <w:color w:val="2D3748"/>
                <w:sz w:val="19"/>
              </w:rPr>
              <w:t>Script to create the sis_chatbot PostgreSQL database and enable vector extension.</w:t>
            </w:r>
          </w:p>
        </w:tc>
      </w:tr>
      <w:tr>
        <w:tc>
          <w:tcPr>
            <w:tcW w:type="dxa" w:w="2592"/>
            <w:shd w:fill="F7FAFC"/>
            <w:tcMar>
              <w:top w:w="100" w:type="dxa"/>
              <w:bottom w:w="100" w:type="dxa"/>
              <w:left w:w="150" w:type="dxa"/>
              <w:right w:w="150" w:type="dxa"/>
            </w:tcMar>
          </w:tcPr>
          <w:p>
            <w:r>
              <w:rPr>
                <w:color w:val="2D3748"/>
                <w:sz w:val="19"/>
              </w:rPr>
              <w:t>reset_database.py</w:t>
            </w:r>
          </w:p>
        </w:tc>
        <w:tc>
          <w:tcPr>
            <w:tcW w:type="dxa" w:w="1872"/>
            <w:shd w:fill="F7FAFC"/>
            <w:tcMar>
              <w:top w:w="100" w:type="dxa"/>
              <w:bottom w:w="100" w:type="dxa"/>
              <w:left w:w="150" w:type="dxa"/>
              <w:right w:w="150" w:type="dxa"/>
            </w:tcMar>
          </w:tcPr>
          <w:p>
            <w:r>
              <w:rPr>
                <w:color w:val="2D3748"/>
                <w:sz w:val="19"/>
              </w:rPr>
              <w:t>Database Setup</w:t>
            </w:r>
          </w:p>
        </w:tc>
        <w:tc>
          <w:tcPr>
            <w:tcW w:type="dxa" w:w="4896"/>
            <w:shd w:fill="F7FAFC"/>
            <w:tcMar>
              <w:top w:w="100" w:type="dxa"/>
              <w:bottom w:w="100" w:type="dxa"/>
              <w:left w:w="150" w:type="dxa"/>
              <w:right w:w="150" w:type="dxa"/>
            </w:tcMar>
          </w:tcPr>
          <w:p>
            <w:r>
              <w:rPr>
                <w:color w:val="2D3748"/>
                <w:sz w:val="19"/>
              </w:rPr>
              <w:t>Script to drop and recreate database tables during fresh development cycles.</w:t>
            </w:r>
          </w:p>
        </w:tc>
      </w:tr>
      <w:tr>
        <w:tc>
          <w:tcPr>
            <w:tcW w:type="dxa" w:w="2592"/>
            <w:shd w:fill="FFFFFF"/>
            <w:tcMar>
              <w:top w:w="100" w:type="dxa"/>
              <w:bottom w:w="100" w:type="dxa"/>
              <w:left w:w="150" w:type="dxa"/>
              <w:right w:w="150" w:type="dxa"/>
            </w:tcMar>
          </w:tcPr>
          <w:p>
            <w:r>
              <w:rPr>
                <w:color w:val="2D3748"/>
                <w:sz w:val="19"/>
              </w:rPr>
              <w:t>quick_setup.py</w:t>
            </w:r>
          </w:p>
        </w:tc>
        <w:tc>
          <w:tcPr>
            <w:tcW w:type="dxa" w:w="1872"/>
            <w:shd w:fill="FFFFFF"/>
            <w:tcMar>
              <w:top w:w="100" w:type="dxa"/>
              <w:bottom w:w="100" w:type="dxa"/>
              <w:left w:w="150" w:type="dxa"/>
              <w:right w:w="150" w:type="dxa"/>
            </w:tcMar>
          </w:tcPr>
          <w:p>
            <w:r>
              <w:rPr>
                <w:color w:val="2D3748"/>
                <w:sz w:val="19"/>
              </w:rPr>
              <w:t>Setup Utility</w:t>
            </w:r>
          </w:p>
        </w:tc>
        <w:tc>
          <w:tcPr>
            <w:tcW w:type="dxa" w:w="4896"/>
            <w:shd w:fill="FFFFFF"/>
            <w:tcMar>
              <w:top w:w="100" w:type="dxa"/>
              <w:bottom w:w="100" w:type="dxa"/>
              <w:left w:w="150" w:type="dxa"/>
              <w:right w:w="150" w:type="dxa"/>
            </w:tcMar>
          </w:tcPr>
          <w:p>
            <w:r>
              <w:rPr>
                <w:color w:val="2D3748"/>
                <w:sz w:val="19"/>
              </w:rPr>
              <w:t>Automated setup script that runs database creation, seeding, and ingestion in sequence.</w:t>
            </w:r>
          </w:p>
        </w:tc>
      </w:tr>
      <w:tr>
        <w:tc>
          <w:tcPr>
            <w:tcW w:type="dxa" w:w="2592"/>
            <w:shd w:fill="F7FAFC"/>
            <w:tcMar>
              <w:top w:w="100" w:type="dxa"/>
              <w:bottom w:w="100" w:type="dxa"/>
              <w:left w:w="150" w:type="dxa"/>
              <w:right w:w="150" w:type="dxa"/>
            </w:tcMar>
          </w:tcPr>
          <w:p>
            <w:r>
              <w:rPr>
                <w:color w:val="2D3748"/>
                <w:sz w:val="19"/>
              </w:rPr>
              <w:t>verify_no_duplicates.py</w:t>
            </w:r>
          </w:p>
        </w:tc>
        <w:tc>
          <w:tcPr>
            <w:tcW w:type="dxa" w:w="1872"/>
            <w:shd w:fill="F7FAFC"/>
            <w:tcMar>
              <w:top w:w="100" w:type="dxa"/>
              <w:bottom w:w="100" w:type="dxa"/>
              <w:left w:w="150" w:type="dxa"/>
              <w:right w:w="150" w:type="dxa"/>
            </w:tcMar>
          </w:tcPr>
          <w:p>
            <w:r>
              <w:rPr>
                <w:color w:val="2D3748"/>
                <w:sz w:val="19"/>
              </w:rPr>
              <w:t>Data Integrity</w:t>
            </w:r>
          </w:p>
        </w:tc>
        <w:tc>
          <w:tcPr>
            <w:tcW w:type="dxa" w:w="4896"/>
            <w:shd w:fill="F7FAFC"/>
            <w:tcMar>
              <w:top w:w="100" w:type="dxa"/>
              <w:bottom w:w="100" w:type="dxa"/>
              <w:left w:w="150" w:type="dxa"/>
              <w:right w:w="150" w:type="dxa"/>
            </w:tcMar>
          </w:tcPr>
          <w:p>
            <w:r>
              <w:rPr>
                <w:color w:val="2D3748"/>
                <w:sz w:val="19"/>
              </w:rPr>
              <w:t>Sanity script verifying unique active application constraints per survey number.</w:t>
            </w:r>
          </w:p>
        </w:tc>
      </w:tr>
      <w:tr>
        <w:tc>
          <w:tcPr>
            <w:tcW w:type="dxa" w:w="2592"/>
            <w:shd w:fill="FFFFFF"/>
            <w:tcMar>
              <w:top w:w="100" w:type="dxa"/>
              <w:bottom w:w="100" w:type="dxa"/>
              <w:left w:w="150" w:type="dxa"/>
              <w:right w:w="150" w:type="dxa"/>
            </w:tcMar>
          </w:tcPr>
          <w:p>
            <w:r>
              <w:rPr>
                <w:color w:val="2D3748"/>
                <w:sz w:val="19"/>
              </w:rPr>
              <w:t>check_missing_values.py</w:t>
            </w:r>
          </w:p>
        </w:tc>
        <w:tc>
          <w:tcPr>
            <w:tcW w:type="dxa" w:w="1872"/>
            <w:shd w:fill="FFFFFF"/>
            <w:tcMar>
              <w:top w:w="100" w:type="dxa"/>
              <w:bottom w:w="100" w:type="dxa"/>
              <w:left w:w="150" w:type="dxa"/>
              <w:right w:w="150" w:type="dxa"/>
            </w:tcMar>
          </w:tcPr>
          <w:p>
            <w:r>
              <w:rPr>
                <w:color w:val="2D3748"/>
                <w:sz w:val="19"/>
              </w:rPr>
              <w:t>Data Integrity</w:t>
            </w:r>
          </w:p>
        </w:tc>
        <w:tc>
          <w:tcPr>
            <w:tcW w:type="dxa" w:w="4896"/>
            <w:shd w:fill="FFFFFF"/>
            <w:tcMar>
              <w:top w:w="100" w:type="dxa"/>
              <w:bottom w:w="100" w:type="dxa"/>
              <w:left w:w="150" w:type="dxa"/>
              <w:right w:w="150" w:type="dxa"/>
            </w:tcMar>
          </w:tcPr>
          <w:p>
            <w:r>
              <w:rPr>
                <w:color w:val="2D3748"/>
                <w:sz w:val="19"/>
              </w:rPr>
              <w:t>Deep validation tool scanning all database tables for missing required fields.</w:t>
            </w:r>
          </w:p>
        </w:tc>
      </w:tr>
      <w:tr>
        <w:tc>
          <w:tcPr>
            <w:tcW w:type="dxa" w:w="2592"/>
            <w:shd w:fill="F7FAFC"/>
            <w:tcMar>
              <w:top w:w="100" w:type="dxa"/>
              <w:bottom w:w="100" w:type="dxa"/>
              <w:left w:w="150" w:type="dxa"/>
              <w:right w:w="150" w:type="dxa"/>
            </w:tcMar>
          </w:tcPr>
          <w:p>
            <w:r>
              <w:rPr>
                <w:color w:val="2D3748"/>
                <w:sz w:val="19"/>
              </w:rPr>
              <w:t>start_backend.ps1</w:t>
            </w:r>
          </w:p>
        </w:tc>
        <w:tc>
          <w:tcPr>
            <w:tcW w:type="dxa" w:w="1872"/>
            <w:shd w:fill="F7FAFC"/>
            <w:tcMar>
              <w:top w:w="100" w:type="dxa"/>
              <w:bottom w:w="100" w:type="dxa"/>
              <w:left w:w="150" w:type="dxa"/>
              <w:right w:w="150" w:type="dxa"/>
            </w:tcMar>
          </w:tcPr>
          <w:p>
            <w:r>
              <w:rPr>
                <w:color w:val="2D3748"/>
                <w:sz w:val="19"/>
              </w:rPr>
              <w:t>Execution</w:t>
            </w:r>
          </w:p>
        </w:tc>
        <w:tc>
          <w:tcPr>
            <w:tcW w:type="dxa" w:w="4896"/>
            <w:shd w:fill="F7FAFC"/>
            <w:tcMar>
              <w:top w:w="100" w:type="dxa"/>
              <w:bottom w:w="100" w:type="dxa"/>
              <w:left w:w="150" w:type="dxa"/>
              <w:right w:w="150" w:type="dxa"/>
            </w:tcMar>
          </w:tcPr>
          <w:p>
            <w:r>
              <w:rPr>
                <w:color w:val="2D3748"/>
                <w:sz w:val="19"/>
              </w:rPr>
              <w:t>PowerShell startup script to activate virtualenv and launch Uvicorn backend.</w:t>
            </w:r>
          </w:p>
        </w:tc>
      </w:tr>
      <w:tr>
        <w:tc>
          <w:tcPr>
            <w:tcW w:type="dxa" w:w="2592"/>
            <w:shd w:fill="FFFFFF"/>
            <w:tcMar>
              <w:top w:w="100" w:type="dxa"/>
              <w:bottom w:w="100" w:type="dxa"/>
              <w:left w:w="150" w:type="dxa"/>
              <w:right w:w="150" w:type="dxa"/>
            </w:tcMar>
          </w:tcPr>
          <w:p>
            <w:r>
              <w:rPr>
                <w:color w:val="2D3748"/>
                <w:sz w:val="19"/>
              </w:rPr>
              <w:t>test_questions_100.txt</w:t>
            </w:r>
          </w:p>
        </w:tc>
        <w:tc>
          <w:tcPr>
            <w:tcW w:type="dxa" w:w="1872"/>
            <w:shd w:fill="FFFFFF"/>
            <w:tcMar>
              <w:top w:w="100" w:type="dxa"/>
              <w:bottom w:w="100" w:type="dxa"/>
              <w:left w:w="150" w:type="dxa"/>
              <w:right w:w="150" w:type="dxa"/>
            </w:tcMar>
          </w:tcPr>
          <w:p>
            <w:r>
              <w:rPr>
                <w:color w:val="2D3748"/>
                <w:sz w:val="19"/>
              </w:rPr>
              <w:t>Testing Suite</w:t>
            </w:r>
          </w:p>
        </w:tc>
        <w:tc>
          <w:tcPr>
            <w:tcW w:type="dxa" w:w="4896"/>
            <w:shd w:fill="FFFFFF"/>
            <w:tcMar>
              <w:top w:w="100" w:type="dxa"/>
              <w:bottom w:w="100" w:type="dxa"/>
              <w:left w:w="150" w:type="dxa"/>
              <w:right w:w="150" w:type="dxa"/>
            </w:tcMar>
          </w:tcPr>
          <w:p>
            <w:r>
              <w:rPr>
                <w:color w:val="2D3748"/>
                <w:sz w:val="19"/>
              </w:rPr>
              <w:t>Comprehensive benchmark dataset of 100 bilingual questions for chatbot evaluation.</w:t>
            </w:r>
          </w:p>
        </w:tc>
      </w:tr>
      <w:tr>
        <w:tc>
          <w:tcPr>
            <w:tcW w:type="dxa" w:w="2592"/>
            <w:shd w:fill="F7FAFC"/>
            <w:tcMar>
              <w:top w:w="100" w:type="dxa"/>
              <w:bottom w:w="100" w:type="dxa"/>
              <w:left w:w="150" w:type="dxa"/>
              <w:right w:w="150" w:type="dxa"/>
            </w:tcMar>
          </w:tcPr>
          <w:p>
            <w:r>
              <w:rPr>
                <w:color w:val="2D3748"/>
                <w:sz w:val="19"/>
              </w:rPr>
              <w:t>build_word_doc.py</w:t>
            </w:r>
          </w:p>
        </w:tc>
        <w:tc>
          <w:tcPr>
            <w:tcW w:type="dxa" w:w="1872"/>
            <w:shd w:fill="F7FAFC"/>
            <w:tcMar>
              <w:top w:w="100" w:type="dxa"/>
              <w:bottom w:w="100" w:type="dxa"/>
              <w:left w:w="150" w:type="dxa"/>
              <w:right w:w="150" w:type="dxa"/>
            </w:tcMar>
          </w:tcPr>
          <w:p>
            <w:r>
              <w:rPr>
                <w:color w:val="2D3748"/>
                <w:sz w:val="19"/>
              </w:rPr>
              <w:t>Documentation</w:t>
            </w:r>
          </w:p>
        </w:tc>
        <w:tc>
          <w:tcPr>
            <w:tcW w:type="dxa" w:w="4896"/>
            <w:shd w:fill="F7FAFC"/>
            <w:tcMar>
              <w:top w:w="100" w:type="dxa"/>
              <w:bottom w:w="100" w:type="dxa"/>
              <w:left w:w="150" w:type="dxa"/>
              <w:right w:w="150" w:type="dxa"/>
            </w:tcMar>
          </w:tcPr>
          <w:p>
            <w:r>
              <w:rPr>
                <w:color w:val="2D3748"/>
                <w:sz w:val="19"/>
              </w:rPr>
              <w:t>Python script using python-docx to generate this technical report.</w:t>
            </w:r>
          </w:p>
        </w:tc>
      </w:tr>
      <w:tr>
        <w:tc>
          <w:tcPr>
            <w:tcW w:type="dxa" w:w="2592"/>
            <w:shd w:fill="FFFFFF"/>
            <w:tcMar>
              <w:top w:w="100" w:type="dxa"/>
              <w:bottom w:w="100" w:type="dxa"/>
              <w:left w:w="150" w:type="dxa"/>
              <w:right w:w="150" w:type="dxa"/>
            </w:tcMar>
          </w:tcPr>
          <w:p>
            <w:r>
              <w:rPr>
                <w:color w:val="2D3748"/>
                <w:sz w:val="19"/>
              </w:rPr>
              <w:t>backend/</w:t>
            </w:r>
          </w:p>
        </w:tc>
        <w:tc>
          <w:tcPr>
            <w:tcW w:type="dxa" w:w="1872"/>
            <w:shd w:fill="FFFFFF"/>
            <w:tcMar>
              <w:top w:w="100" w:type="dxa"/>
              <w:bottom w:w="100" w:type="dxa"/>
              <w:left w:w="150" w:type="dxa"/>
              <w:right w:w="150" w:type="dxa"/>
            </w:tcMar>
          </w:tcPr>
          <w:p>
            <w:r>
              <w:rPr>
                <w:color w:val="2D3748"/>
                <w:sz w:val="19"/>
              </w:rPr>
              <w:t>Backend Module</w:t>
            </w:r>
          </w:p>
        </w:tc>
        <w:tc>
          <w:tcPr>
            <w:tcW w:type="dxa" w:w="4896"/>
            <w:shd w:fill="FFFFFF"/>
            <w:tcMar>
              <w:top w:w="100" w:type="dxa"/>
              <w:bottom w:w="100" w:type="dxa"/>
              <w:left w:w="150" w:type="dxa"/>
              <w:right w:w="150" w:type="dxa"/>
            </w:tcMar>
          </w:tcPr>
          <w:p>
            <w:r>
              <w:rPr>
                <w:color w:val="2D3748"/>
                <w:sz w:val="19"/>
              </w:rPr>
              <w:t>Directory containing FastAPI backend application logic.</w:t>
            </w:r>
          </w:p>
        </w:tc>
      </w:tr>
      <w:tr>
        <w:tc>
          <w:tcPr>
            <w:tcW w:type="dxa" w:w="2592"/>
            <w:shd w:fill="F7FAFC"/>
            <w:tcMar>
              <w:top w:w="100" w:type="dxa"/>
              <w:bottom w:w="100" w:type="dxa"/>
              <w:left w:w="150" w:type="dxa"/>
              <w:right w:w="150" w:type="dxa"/>
            </w:tcMar>
          </w:tcPr>
          <w:p>
            <w:r>
              <w:rPr>
                <w:color w:val="2D3748"/>
                <w:sz w:val="19"/>
              </w:rPr>
              <w:t>backend/main.py</w:t>
            </w:r>
          </w:p>
        </w:tc>
        <w:tc>
          <w:tcPr>
            <w:tcW w:type="dxa" w:w="1872"/>
            <w:shd w:fill="F7FAFC"/>
            <w:tcMar>
              <w:top w:w="100" w:type="dxa"/>
              <w:bottom w:w="100" w:type="dxa"/>
              <w:left w:w="150" w:type="dxa"/>
              <w:right w:w="150" w:type="dxa"/>
            </w:tcMar>
          </w:tcPr>
          <w:p>
            <w:r>
              <w:rPr>
                <w:color w:val="2D3748"/>
                <w:sz w:val="19"/>
              </w:rPr>
              <w:t>Backend Core</w:t>
            </w:r>
          </w:p>
        </w:tc>
        <w:tc>
          <w:tcPr>
            <w:tcW w:type="dxa" w:w="4896"/>
            <w:shd w:fill="F7FAFC"/>
            <w:tcMar>
              <w:top w:w="100" w:type="dxa"/>
              <w:bottom w:w="100" w:type="dxa"/>
              <w:left w:w="150" w:type="dxa"/>
              <w:right w:w="150" w:type="dxa"/>
            </w:tcMar>
          </w:tcPr>
          <w:p>
            <w:r>
              <w:rPr>
                <w:color w:val="2D3748"/>
                <w:sz w:val="19"/>
              </w:rPr>
              <w:t>FastAPI app initialization, CORS, lifespan startup/shutdown hooks, exception handlers.</w:t>
            </w:r>
          </w:p>
        </w:tc>
      </w:tr>
      <w:tr>
        <w:tc>
          <w:tcPr>
            <w:tcW w:type="dxa" w:w="2592"/>
            <w:shd w:fill="FFFFFF"/>
            <w:tcMar>
              <w:top w:w="100" w:type="dxa"/>
              <w:bottom w:w="100" w:type="dxa"/>
              <w:left w:w="150" w:type="dxa"/>
              <w:right w:w="150" w:type="dxa"/>
            </w:tcMar>
          </w:tcPr>
          <w:p>
            <w:r>
              <w:rPr>
                <w:color w:val="2D3748"/>
                <w:sz w:val="19"/>
              </w:rPr>
              <w:t>backend/config.py</w:t>
            </w:r>
          </w:p>
        </w:tc>
        <w:tc>
          <w:tcPr>
            <w:tcW w:type="dxa" w:w="1872"/>
            <w:shd w:fill="FFFFFF"/>
            <w:tcMar>
              <w:top w:w="100" w:type="dxa"/>
              <w:bottom w:w="100" w:type="dxa"/>
              <w:left w:w="150" w:type="dxa"/>
              <w:right w:w="150" w:type="dxa"/>
            </w:tcMar>
          </w:tcPr>
          <w:p>
            <w:r>
              <w:rPr>
                <w:color w:val="2D3748"/>
                <w:sz w:val="19"/>
              </w:rPr>
              <w:t>Backend Core</w:t>
            </w:r>
          </w:p>
        </w:tc>
        <w:tc>
          <w:tcPr>
            <w:tcW w:type="dxa" w:w="4896"/>
            <w:shd w:fill="FFFFFF"/>
            <w:tcMar>
              <w:top w:w="100" w:type="dxa"/>
              <w:bottom w:w="100" w:type="dxa"/>
              <w:left w:w="150" w:type="dxa"/>
              <w:right w:w="150" w:type="dxa"/>
            </w:tcMar>
          </w:tcPr>
          <w:p>
            <w:r>
              <w:rPr>
                <w:color w:val="2D3748"/>
                <w:sz w:val="19"/>
              </w:rPr>
              <w:t>Pydantic BaseSettings class, environment reader, and district code mapping.</w:t>
            </w:r>
          </w:p>
        </w:tc>
      </w:tr>
      <w:tr>
        <w:tc>
          <w:tcPr>
            <w:tcW w:type="dxa" w:w="2592"/>
            <w:shd w:fill="F7FAFC"/>
            <w:tcMar>
              <w:top w:w="100" w:type="dxa"/>
              <w:bottom w:w="100" w:type="dxa"/>
              <w:left w:w="150" w:type="dxa"/>
              <w:right w:w="150" w:type="dxa"/>
            </w:tcMar>
          </w:tcPr>
          <w:p>
            <w:r>
              <w:rPr>
                <w:color w:val="2D3748"/>
                <w:sz w:val="19"/>
              </w:rPr>
              <w:t>backend/database.py</w:t>
            </w:r>
          </w:p>
        </w:tc>
        <w:tc>
          <w:tcPr>
            <w:tcW w:type="dxa" w:w="1872"/>
            <w:shd w:fill="F7FAFC"/>
            <w:tcMar>
              <w:top w:w="100" w:type="dxa"/>
              <w:bottom w:w="100" w:type="dxa"/>
              <w:left w:w="150" w:type="dxa"/>
              <w:right w:w="150" w:type="dxa"/>
            </w:tcMar>
          </w:tcPr>
          <w:p>
            <w:r>
              <w:rPr>
                <w:color w:val="2D3748"/>
                <w:sz w:val="19"/>
              </w:rPr>
              <w:t>Database Core</w:t>
            </w:r>
          </w:p>
        </w:tc>
        <w:tc>
          <w:tcPr>
            <w:tcW w:type="dxa" w:w="4896"/>
            <w:shd w:fill="F7FAFC"/>
            <w:tcMar>
              <w:top w:w="100" w:type="dxa"/>
              <w:bottom w:w="100" w:type="dxa"/>
              <w:left w:w="150" w:type="dxa"/>
              <w:right w:w="150" w:type="dxa"/>
            </w:tcMar>
          </w:tcPr>
          <w:p>
            <w:r>
              <w:rPr>
                <w:color w:val="2D3748"/>
                <w:sz w:val="19"/>
              </w:rPr>
              <w:t>Async SQLAlchemy engine setup, session maker, and Base declarative model class.</w:t>
            </w:r>
          </w:p>
        </w:tc>
      </w:tr>
      <w:tr>
        <w:tc>
          <w:tcPr>
            <w:tcW w:type="dxa" w:w="2592"/>
            <w:shd w:fill="FFFFFF"/>
            <w:tcMar>
              <w:top w:w="100" w:type="dxa"/>
              <w:bottom w:w="100" w:type="dxa"/>
              <w:left w:w="150" w:type="dxa"/>
              <w:right w:w="150" w:type="dxa"/>
            </w:tcMar>
          </w:tcPr>
          <w:p>
            <w:r>
              <w:rPr>
                <w:color w:val="2D3748"/>
                <w:sz w:val="19"/>
              </w:rPr>
              <w:t>backend/models.py</w:t>
            </w:r>
          </w:p>
        </w:tc>
        <w:tc>
          <w:tcPr>
            <w:tcW w:type="dxa" w:w="1872"/>
            <w:shd w:fill="FFFFFF"/>
            <w:tcMar>
              <w:top w:w="100" w:type="dxa"/>
              <w:bottom w:w="100" w:type="dxa"/>
              <w:left w:w="150" w:type="dxa"/>
              <w:right w:w="150" w:type="dxa"/>
            </w:tcMar>
          </w:tcPr>
          <w:p>
            <w:r>
              <w:rPr>
                <w:color w:val="2D3748"/>
                <w:sz w:val="19"/>
              </w:rPr>
              <w:t>ORM Schemas</w:t>
            </w:r>
          </w:p>
        </w:tc>
        <w:tc>
          <w:tcPr>
            <w:tcW w:type="dxa" w:w="4896"/>
            <w:shd w:fill="FFFFFF"/>
            <w:tcMar>
              <w:top w:w="100" w:type="dxa"/>
              <w:bottom w:w="100" w:type="dxa"/>
              <w:left w:w="150" w:type="dxa"/>
              <w:right w:w="150" w:type="dxa"/>
            </w:tcMar>
          </w:tcPr>
          <w:p>
            <w:r>
              <w:rPr>
                <w:color w:val="2D3748"/>
                <w:sz w:val="19"/>
              </w:rPr>
              <w:t>All 18 SQLAlchemy ORM database models, table relationships, and index definitions.</w:t>
            </w:r>
          </w:p>
        </w:tc>
      </w:tr>
      <w:tr>
        <w:tc>
          <w:tcPr>
            <w:tcW w:type="dxa" w:w="2592"/>
            <w:shd w:fill="F7FAFC"/>
            <w:tcMar>
              <w:top w:w="100" w:type="dxa"/>
              <w:bottom w:w="100" w:type="dxa"/>
              <w:left w:w="150" w:type="dxa"/>
              <w:right w:w="150" w:type="dxa"/>
            </w:tcMar>
          </w:tcPr>
          <w:p>
            <w:r>
              <w:rPr>
                <w:color w:val="2D3748"/>
                <w:sz w:val="19"/>
              </w:rPr>
              <w:t>backend/schemas.py</w:t>
            </w:r>
          </w:p>
        </w:tc>
        <w:tc>
          <w:tcPr>
            <w:tcW w:type="dxa" w:w="1872"/>
            <w:shd w:fill="F7FAFC"/>
            <w:tcMar>
              <w:top w:w="100" w:type="dxa"/>
              <w:bottom w:w="100" w:type="dxa"/>
              <w:left w:w="150" w:type="dxa"/>
              <w:right w:w="150" w:type="dxa"/>
            </w:tcMar>
          </w:tcPr>
          <w:p>
            <w:r>
              <w:rPr>
                <w:color w:val="2D3748"/>
                <w:sz w:val="19"/>
              </w:rPr>
              <w:t>Pydantic Schemas</w:t>
            </w:r>
          </w:p>
        </w:tc>
        <w:tc>
          <w:tcPr>
            <w:tcW w:type="dxa" w:w="4896"/>
            <w:shd w:fill="F7FAFC"/>
            <w:tcMar>
              <w:top w:w="100" w:type="dxa"/>
              <w:bottom w:w="100" w:type="dxa"/>
              <w:left w:w="150" w:type="dxa"/>
              <w:right w:w="150" w:type="dxa"/>
            </w:tcMar>
          </w:tcPr>
          <w:p>
            <w:r>
              <w:rPr>
                <w:color w:val="2D3748"/>
                <w:sz w:val="19"/>
              </w:rPr>
              <w:t>Request and response validation models for API endpoints.</w:t>
            </w:r>
          </w:p>
        </w:tc>
      </w:tr>
      <w:tr>
        <w:tc>
          <w:tcPr>
            <w:tcW w:type="dxa" w:w="2592"/>
            <w:shd w:fill="FFFFFF"/>
            <w:tcMar>
              <w:top w:w="100" w:type="dxa"/>
              <w:bottom w:w="100" w:type="dxa"/>
              <w:left w:w="150" w:type="dxa"/>
              <w:right w:w="150" w:type="dxa"/>
            </w:tcMar>
          </w:tcPr>
          <w:p>
            <w:r>
              <w:rPr>
                <w:color w:val="2D3748"/>
                <w:sz w:val="19"/>
              </w:rPr>
              <w:t>backend/dependencies.py</w:t>
            </w:r>
          </w:p>
        </w:tc>
        <w:tc>
          <w:tcPr>
            <w:tcW w:type="dxa" w:w="1872"/>
            <w:shd w:fill="FFFFFF"/>
            <w:tcMar>
              <w:top w:w="100" w:type="dxa"/>
              <w:bottom w:w="100" w:type="dxa"/>
              <w:left w:w="150" w:type="dxa"/>
              <w:right w:w="150" w:type="dxa"/>
            </w:tcMar>
          </w:tcPr>
          <w:p>
            <w:r>
              <w:rPr>
                <w:color w:val="2D3748"/>
                <w:sz w:val="19"/>
              </w:rPr>
              <w:t>Security Guard</w:t>
            </w:r>
          </w:p>
        </w:tc>
        <w:tc>
          <w:tcPr>
            <w:tcW w:type="dxa" w:w="4896"/>
            <w:shd w:fill="FFFFFF"/>
            <w:tcMar>
              <w:top w:w="100" w:type="dxa"/>
              <w:bottom w:w="100" w:type="dxa"/>
              <w:left w:w="150" w:type="dxa"/>
              <w:right w:w="150" w:type="dxa"/>
            </w:tcMar>
          </w:tcPr>
          <w:p>
            <w:r>
              <w:rPr>
                <w:color w:val="2D3748"/>
                <w:sz w:val="19"/>
              </w:rPr>
              <w:t>FastAPI dependency (get_current_officer) enforcing JWT authentication.</w:t>
            </w:r>
          </w:p>
        </w:tc>
      </w:tr>
      <w:tr>
        <w:tc>
          <w:tcPr>
            <w:tcW w:type="dxa" w:w="2592"/>
            <w:shd w:fill="F7FAFC"/>
            <w:tcMar>
              <w:top w:w="100" w:type="dxa"/>
              <w:bottom w:w="100" w:type="dxa"/>
              <w:left w:w="150" w:type="dxa"/>
              <w:right w:w="150" w:type="dxa"/>
            </w:tcMar>
          </w:tcPr>
          <w:p>
            <w:r>
              <w:rPr>
                <w:color w:val="2D3748"/>
                <w:sz w:val="19"/>
              </w:rPr>
              <w:t>backend/seed.py</w:t>
            </w:r>
          </w:p>
        </w:tc>
        <w:tc>
          <w:tcPr>
            <w:tcW w:type="dxa" w:w="1872"/>
            <w:shd w:fill="F7FAFC"/>
            <w:tcMar>
              <w:top w:w="100" w:type="dxa"/>
              <w:bottom w:w="100" w:type="dxa"/>
              <w:left w:w="150" w:type="dxa"/>
              <w:right w:w="150" w:type="dxa"/>
            </w:tcMar>
          </w:tcPr>
          <w:p>
            <w:r>
              <w:rPr>
                <w:color w:val="2D3748"/>
                <w:sz w:val="19"/>
              </w:rPr>
              <w:t>Database Seeding</w:t>
            </w:r>
          </w:p>
        </w:tc>
        <w:tc>
          <w:tcPr>
            <w:tcW w:type="dxa" w:w="4896"/>
            <w:shd w:fill="F7FAFC"/>
            <w:tcMar>
              <w:top w:w="100" w:type="dxa"/>
              <w:bottom w:w="100" w:type="dxa"/>
              <w:left w:w="150" w:type="dxa"/>
              <w:right w:w="150" w:type="dxa"/>
            </w:tcMar>
          </w:tcPr>
          <w:p>
            <w:r>
              <w:rPr>
                <w:color w:val="2D3748"/>
                <w:sz w:val="19"/>
              </w:rPr>
              <w:t>Populates database with realistic survey officers, survey numbers, and applications.</w:t>
            </w:r>
          </w:p>
        </w:tc>
      </w:tr>
      <w:tr>
        <w:tc>
          <w:tcPr>
            <w:tcW w:type="dxa" w:w="2592"/>
            <w:shd w:fill="FFFFFF"/>
            <w:tcMar>
              <w:top w:w="100" w:type="dxa"/>
              <w:bottom w:w="100" w:type="dxa"/>
              <w:left w:w="150" w:type="dxa"/>
              <w:right w:w="150" w:type="dxa"/>
            </w:tcMar>
          </w:tcPr>
          <w:p>
            <w:r>
              <w:rPr>
                <w:color w:val="2D3748"/>
                <w:sz w:val="19"/>
              </w:rPr>
              <w:t>backend/ingest.py</w:t>
            </w:r>
          </w:p>
        </w:tc>
        <w:tc>
          <w:tcPr>
            <w:tcW w:type="dxa" w:w="1872"/>
            <w:shd w:fill="FFFFFF"/>
            <w:tcMar>
              <w:top w:w="100" w:type="dxa"/>
              <w:bottom w:w="100" w:type="dxa"/>
              <w:left w:w="150" w:type="dxa"/>
              <w:right w:w="150" w:type="dxa"/>
            </w:tcMar>
          </w:tcPr>
          <w:p>
            <w:r>
              <w:rPr>
                <w:color w:val="2D3748"/>
                <w:sz w:val="19"/>
              </w:rPr>
              <w:t>RAG Ingestion</w:t>
            </w:r>
          </w:p>
        </w:tc>
        <w:tc>
          <w:tcPr>
            <w:tcW w:type="dxa" w:w="4896"/>
            <w:shd w:fill="FFFFFF"/>
            <w:tcMar>
              <w:top w:w="100" w:type="dxa"/>
              <w:bottom w:w="100" w:type="dxa"/>
              <w:left w:w="150" w:type="dxa"/>
              <w:right w:w="150" w:type="dxa"/>
            </w:tcMar>
          </w:tcPr>
          <w:p>
            <w:r>
              <w:rPr>
                <w:color w:val="2D3748"/>
                <w:sz w:val="19"/>
              </w:rPr>
              <w:t>Ingests survey manuals and FAQs into pgvector using nomic-embed-text embeddings.</w:t>
            </w:r>
          </w:p>
        </w:tc>
      </w:tr>
      <w:tr>
        <w:tc>
          <w:tcPr>
            <w:tcW w:type="dxa" w:w="2592"/>
            <w:shd w:fill="F7FAFC"/>
            <w:tcMar>
              <w:top w:w="100" w:type="dxa"/>
              <w:bottom w:w="100" w:type="dxa"/>
              <w:left w:w="150" w:type="dxa"/>
              <w:right w:w="150" w:type="dxa"/>
            </w:tcMar>
          </w:tcPr>
          <w:p>
            <w:r>
              <w:rPr>
                <w:color w:val="2D3748"/>
                <w:sz w:val="19"/>
              </w:rPr>
              <w:t>backend/routers/</w:t>
            </w:r>
          </w:p>
        </w:tc>
        <w:tc>
          <w:tcPr>
            <w:tcW w:type="dxa" w:w="1872"/>
            <w:shd w:fill="F7FAFC"/>
            <w:tcMar>
              <w:top w:w="100" w:type="dxa"/>
              <w:bottom w:w="100" w:type="dxa"/>
              <w:left w:w="150" w:type="dxa"/>
              <w:right w:w="150" w:type="dxa"/>
            </w:tcMar>
          </w:tcPr>
          <w:p>
            <w:r>
              <w:rPr>
                <w:color w:val="2D3748"/>
                <w:sz w:val="19"/>
              </w:rPr>
              <w:t>API Routers</w:t>
            </w:r>
          </w:p>
        </w:tc>
        <w:tc>
          <w:tcPr>
            <w:tcW w:type="dxa" w:w="4896"/>
            <w:shd w:fill="F7FAFC"/>
            <w:tcMar>
              <w:top w:w="100" w:type="dxa"/>
              <w:bottom w:w="100" w:type="dxa"/>
              <w:left w:w="150" w:type="dxa"/>
              <w:right w:w="150" w:type="dxa"/>
            </w:tcMar>
          </w:tcPr>
          <w:p>
            <w:r>
              <w:rPr>
                <w:color w:val="2D3748"/>
                <w:sz w:val="19"/>
              </w:rPr>
              <w:t>Directory containing all FastAPI REST API router endpoints.</w:t>
            </w:r>
          </w:p>
        </w:tc>
      </w:tr>
      <w:tr>
        <w:tc>
          <w:tcPr>
            <w:tcW w:type="dxa" w:w="2592"/>
            <w:shd w:fill="FFFFFF"/>
            <w:tcMar>
              <w:top w:w="100" w:type="dxa"/>
              <w:bottom w:w="100" w:type="dxa"/>
              <w:left w:w="150" w:type="dxa"/>
              <w:right w:w="150" w:type="dxa"/>
            </w:tcMar>
          </w:tcPr>
          <w:p>
            <w:r>
              <w:rPr>
                <w:color w:val="2D3748"/>
                <w:sz w:val="19"/>
              </w:rPr>
              <w:t>backend/routers/auth.py</w:t>
            </w:r>
          </w:p>
        </w:tc>
        <w:tc>
          <w:tcPr>
            <w:tcW w:type="dxa" w:w="1872"/>
            <w:shd w:fill="FFFFFF"/>
            <w:tcMar>
              <w:top w:w="100" w:type="dxa"/>
              <w:bottom w:w="100" w:type="dxa"/>
              <w:left w:w="150" w:type="dxa"/>
              <w:right w:w="150" w:type="dxa"/>
            </w:tcMar>
          </w:tcPr>
          <w:p>
            <w:r>
              <w:rPr>
                <w:color w:val="2D3748"/>
                <w:sz w:val="19"/>
              </w:rPr>
              <w:t>API Endpoints</w:t>
            </w:r>
          </w:p>
        </w:tc>
        <w:tc>
          <w:tcPr>
            <w:tcW w:type="dxa" w:w="4896"/>
            <w:shd w:fill="FFFFFF"/>
            <w:tcMar>
              <w:top w:w="100" w:type="dxa"/>
              <w:bottom w:w="100" w:type="dxa"/>
              <w:left w:w="150" w:type="dxa"/>
              <w:right w:w="150" w:type="dxa"/>
            </w:tcMar>
          </w:tcPr>
          <w:p>
            <w:r>
              <w:rPr>
                <w:color w:val="2D3748"/>
                <w:sz w:val="19"/>
              </w:rPr>
              <w:t>POST /auth/login authentication endpoint.</w:t>
            </w:r>
          </w:p>
        </w:tc>
      </w:tr>
      <w:tr>
        <w:tc>
          <w:tcPr>
            <w:tcW w:type="dxa" w:w="2592"/>
            <w:shd w:fill="F7FAFC"/>
            <w:tcMar>
              <w:top w:w="100" w:type="dxa"/>
              <w:bottom w:w="100" w:type="dxa"/>
              <w:left w:w="150" w:type="dxa"/>
              <w:right w:w="150" w:type="dxa"/>
            </w:tcMar>
          </w:tcPr>
          <w:p>
            <w:r>
              <w:rPr>
                <w:color w:val="2D3748"/>
                <w:sz w:val="19"/>
              </w:rPr>
              <w:t>backend/routers/chat.py</w:t>
            </w:r>
          </w:p>
        </w:tc>
        <w:tc>
          <w:tcPr>
            <w:tcW w:type="dxa" w:w="1872"/>
            <w:shd w:fill="F7FAFC"/>
            <w:tcMar>
              <w:top w:w="100" w:type="dxa"/>
              <w:bottom w:w="100" w:type="dxa"/>
              <w:left w:w="150" w:type="dxa"/>
              <w:right w:w="150" w:type="dxa"/>
            </w:tcMar>
          </w:tcPr>
          <w:p>
            <w:r>
              <w:rPr>
                <w:color w:val="2D3748"/>
                <w:sz w:val="19"/>
              </w:rPr>
              <w:t>API Endpoints</w:t>
            </w:r>
          </w:p>
        </w:tc>
        <w:tc>
          <w:tcPr>
            <w:tcW w:type="dxa" w:w="4896"/>
            <w:shd w:fill="F7FAFC"/>
            <w:tcMar>
              <w:top w:w="100" w:type="dxa"/>
              <w:bottom w:w="100" w:type="dxa"/>
              <w:left w:w="150" w:type="dxa"/>
              <w:right w:w="150" w:type="dxa"/>
            </w:tcMar>
          </w:tcPr>
          <w:p>
            <w:r>
              <w:rPr>
                <w:color w:val="2D3748"/>
                <w:sz w:val="19"/>
              </w:rPr>
              <w:t>POST /chat/stream streaming chat endpoint and GET /chat/history.</w:t>
            </w:r>
          </w:p>
        </w:tc>
      </w:tr>
      <w:tr>
        <w:tc>
          <w:tcPr>
            <w:tcW w:type="dxa" w:w="2592"/>
            <w:shd w:fill="FFFFFF"/>
            <w:tcMar>
              <w:top w:w="100" w:type="dxa"/>
              <w:bottom w:w="100" w:type="dxa"/>
              <w:left w:w="150" w:type="dxa"/>
              <w:right w:w="150" w:type="dxa"/>
            </w:tcMar>
          </w:tcPr>
          <w:p>
            <w:r>
              <w:rPr>
                <w:color w:val="2D3748"/>
                <w:sz w:val="19"/>
              </w:rPr>
              <w:t>backend/routers/applications.py</w:t>
            </w:r>
          </w:p>
        </w:tc>
        <w:tc>
          <w:tcPr>
            <w:tcW w:type="dxa" w:w="1872"/>
            <w:shd w:fill="FFFFFF"/>
            <w:tcMar>
              <w:top w:w="100" w:type="dxa"/>
              <w:bottom w:w="100" w:type="dxa"/>
              <w:left w:w="150" w:type="dxa"/>
              <w:right w:w="150" w:type="dxa"/>
            </w:tcMar>
          </w:tcPr>
          <w:p>
            <w:r>
              <w:rPr>
                <w:color w:val="2D3748"/>
                <w:sz w:val="19"/>
              </w:rPr>
              <w:t>API Endpoints</w:t>
            </w:r>
          </w:p>
        </w:tc>
        <w:tc>
          <w:tcPr>
            <w:tcW w:type="dxa" w:w="4896"/>
            <w:shd w:fill="FFFFFF"/>
            <w:tcMar>
              <w:top w:w="100" w:type="dxa"/>
              <w:bottom w:w="100" w:type="dxa"/>
              <w:left w:w="150" w:type="dxa"/>
              <w:right w:w="150" w:type="dxa"/>
            </w:tcMar>
          </w:tcPr>
          <w:p>
            <w:r>
              <w:rPr>
                <w:color w:val="2D3748"/>
                <w:sz w:val="19"/>
              </w:rPr>
              <w:t>GET /applications, GET /applications/{id}, PUT /applications/{id} CRUD routes.</w:t>
            </w:r>
          </w:p>
        </w:tc>
      </w:tr>
      <w:tr>
        <w:tc>
          <w:tcPr>
            <w:tcW w:type="dxa" w:w="2592"/>
            <w:shd w:fill="F7FAFC"/>
            <w:tcMar>
              <w:top w:w="100" w:type="dxa"/>
              <w:bottom w:w="100" w:type="dxa"/>
              <w:left w:w="150" w:type="dxa"/>
              <w:right w:w="150" w:type="dxa"/>
            </w:tcMar>
          </w:tcPr>
          <w:p>
            <w:r>
              <w:rPr>
                <w:color w:val="2D3748"/>
                <w:sz w:val="19"/>
              </w:rPr>
              <w:t>backend/routers/survey.py</w:t>
            </w:r>
          </w:p>
        </w:tc>
        <w:tc>
          <w:tcPr>
            <w:tcW w:type="dxa" w:w="1872"/>
            <w:shd w:fill="F7FAFC"/>
            <w:tcMar>
              <w:top w:w="100" w:type="dxa"/>
              <w:bottom w:w="100" w:type="dxa"/>
              <w:left w:w="150" w:type="dxa"/>
              <w:right w:w="150" w:type="dxa"/>
            </w:tcMar>
          </w:tcPr>
          <w:p>
            <w:r>
              <w:rPr>
                <w:color w:val="2D3748"/>
                <w:sz w:val="19"/>
              </w:rPr>
              <w:t>API Endpoints</w:t>
            </w:r>
          </w:p>
        </w:tc>
        <w:tc>
          <w:tcPr>
            <w:tcW w:type="dxa" w:w="4896"/>
            <w:shd w:fill="F7FAFC"/>
            <w:tcMar>
              <w:top w:w="100" w:type="dxa"/>
              <w:bottom w:w="100" w:type="dxa"/>
              <w:left w:w="150" w:type="dxa"/>
              <w:right w:w="150" w:type="dxa"/>
            </w:tcMar>
          </w:tcPr>
          <w:p>
            <w:r>
              <w:rPr>
                <w:color w:val="2D3748"/>
                <w:sz w:val="19"/>
              </w:rPr>
              <w:t>GET /surveys listing and detail lookup endpoints.</w:t>
            </w:r>
          </w:p>
        </w:tc>
      </w:tr>
      <w:tr>
        <w:tc>
          <w:tcPr>
            <w:tcW w:type="dxa" w:w="2592"/>
            <w:shd w:fill="FFFFFF"/>
            <w:tcMar>
              <w:top w:w="100" w:type="dxa"/>
              <w:bottom w:w="100" w:type="dxa"/>
              <w:left w:w="150" w:type="dxa"/>
              <w:right w:w="150" w:type="dxa"/>
            </w:tcMar>
          </w:tcPr>
          <w:p>
            <w:r>
              <w:rPr>
                <w:color w:val="2D3748"/>
                <w:sz w:val="19"/>
              </w:rPr>
              <w:t>backend/routers/speech.py</w:t>
            </w:r>
          </w:p>
        </w:tc>
        <w:tc>
          <w:tcPr>
            <w:tcW w:type="dxa" w:w="1872"/>
            <w:shd w:fill="FFFFFF"/>
            <w:tcMar>
              <w:top w:w="100" w:type="dxa"/>
              <w:bottom w:w="100" w:type="dxa"/>
              <w:left w:w="150" w:type="dxa"/>
              <w:right w:w="150" w:type="dxa"/>
            </w:tcMar>
          </w:tcPr>
          <w:p>
            <w:r>
              <w:rPr>
                <w:color w:val="2D3748"/>
                <w:sz w:val="19"/>
              </w:rPr>
              <w:t>API Endpoints</w:t>
            </w:r>
          </w:p>
        </w:tc>
        <w:tc>
          <w:tcPr>
            <w:tcW w:type="dxa" w:w="4896"/>
            <w:shd w:fill="FFFFFF"/>
            <w:tcMar>
              <w:top w:w="100" w:type="dxa"/>
              <w:bottom w:w="100" w:type="dxa"/>
              <w:left w:w="150" w:type="dxa"/>
              <w:right w:w="150" w:type="dxa"/>
            </w:tcMar>
          </w:tcPr>
          <w:p>
            <w:r>
              <w:rPr>
                <w:color w:val="2D3748"/>
                <w:sz w:val="19"/>
              </w:rPr>
              <w:t>POST /speech/transcribe audio transcription endpoint.</w:t>
            </w:r>
          </w:p>
        </w:tc>
      </w:tr>
      <w:tr>
        <w:tc>
          <w:tcPr>
            <w:tcW w:type="dxa" w:w="2592"/>
            <w:shd w:fill="F7FAFC"/>
            <w:tcMar>
              <w:top w:w="100" w:type="dxa"/>
              <w:bottom w:w="100" w:type="dxa"/>
              <w:left w:w="150" w:type="dxa"/>
              <w:right w:w="150" w:type="dxa"/>
            </w:tcMar>
          </w:tcPr>
          <w:p>
            <w:r>
              <w:rPr>
                <w:color w:val="2D3748"/>
                <w:sz w:val="19"/>
              </w:rPr>
              <w:t>backend/services/</w:t>
            </w:r>
          </w:p>
        </w:tc>
        <w:tc>
          <w:tcPr>
            <w:tcW w:type="dxa" w:w="1872"/>
            <w:shd w:fill="F7FAFC"/>
            <w:tcMar>
              <w:top w:w="100" w:type="dxa"/>
              <w:bottom w:w="100" w:type="dxa"/>
              <w:left w:w="150" w:type="dxa"/>
              <w:right w:w="150" w:type="dxa"/>
            </w:tcMar>
          </w:tcPr>
          <w:p>
            <w:r>
              <w:rPr>
                <w:color w:val="2D3748"/>
                <w:sz w:val="19"/>
              </w:rPr>
              <w:t>Business Services</w:t>
            </w:r>
          </w:p>
        </w:tc>
        <w:tc>
          <w:tcPr>
            <w:tcW w:type="dxa" w:w="4896"/>
            <w:shd w:fill="F7FAFC"/>
            <w:tcMar>
              <w:top w:w="100" w:type="dxa"/>
              <w:bottom w:w="100" w:type="dxa"/>
              <w:left w:w="150" w:type="dxa"/>
              <w:right w:w="150" w:type="dxa"/>
            </w:tcMar>
          </w:tcPr>
          <w:p>
            <w:r>
              <w:rPr>
                <w:color w:val="2D3748"/>
                <w:sz w:val="19"/>
              </w:rPr>
              <w:t>Core business logic services directory.</w:t>
            </w:r>
          </w:p>
        </w:tc>
      </w:tr>
      <w:tr>
        <w:tc>
          <w:tcPr>
            <w:tcW w:type="dxa" w:w="2592"/>
            <w:shd w:fill="FFFFFF"/>
            <w:tcMar>
              <w:top w:w="100" w:type="dxa"/>
              <w:bottom w:w="100" w:type="dxa"/>
              <w:left w:w="150" w:type="dxa"/>
              <w:right w:w="150" w:type="dxa"/>
            </w:tcMar>
          </w:tcPr>
          <w:p>
            <w:r>
              <w:rPr>
                <w:color w:val="2D3748"/>
                <w:sz w:val="19"/>
              </w:rPr>
              <w:t>backend/services/chatbot.py</w:t>
            </w:r>
          </w:p>
        </w:tc>
        <w:tc>
          <w:tcPr>
            <w:tcW w:type="dxa" w:w="1872"/>
            <w:shd w:fill="FFFFFF"/>
            <w:tcMar>
              <w:top w:w="100" w:type="dxa"/>
              <w:bottom w:w="100" w:type="dxa"/>
              <w:left w:w="150" w:type="dxa"/>
              <w:right w:w="150" w:type="dxa"/>
            </w:tcMar>
          </w:tcPr>
          <w:p>
            <w:r>
              <w:rPr>
                <w:color w:val="2D3748"/>
                <w:sz w:val="19"/>
              </w:rPr>
              <w:t>Service Layer</w:t>
            </w:r>
          </w:p>
        </w:tc>
        <w:tc>
          <w:tcPr>
            <w:tcW w:type="dxa" w:w="4896"/>
            <w:shd w:fill="FFFFFF"/>
            <w:tcMar>
              <w:top w:w="100" w:type="dxa"/>
              <w:bottom w:w="100" w:type="dxa"/>
              <w:left w:w="150" w:type="dxa"/>
              <w:right w:w="150" w:type="dxa"/>
            </w:tcMar>
          </w:tcPr>
          <w:p>
            <w:r>
              <w:rPr>
                <w:color w:val="2D3748"/>
                <w:sz w:val="19"/>
              </w:rPr>
              <w:t>Chatbot orchestrator handling user message flow, session state, and direct count queries.</w:t>
            </w:r>
          </w:p>
        </w:tc>
      </w:tr>
      <w:tr>
        <w:tc>
          <w:tcPr>
            <w:tcW w:type="dxa" w:w="2592"/>
            <w:shd w:fill="F7FAFC"/>
            <w:tcMar>
              <w:top w:w="100" w:type="dxa"/>
              <w:bottom w:w="100" w:type="dxa"/>
              <w:left w:w="150" w:type="dxa"/>
              <w:right w:w="150" w:type="dxa"/>
            </w:tcMar>
          </w:tcPr>
          <w:p>
            <w:r>
              <w:rPr>
                <w:color w:val="2D3748"/>
                <w:sz w:val="19"/>
              </w:rPr>
              <w:t>backend/services/rag.py</w:t>
            </w:r>
          </w:p>
        </w:tc>
        <w:tc>
          <w:tcPr>
            <w:tcW w:type="dxa" w:w="1872"/>
            <w:shd w:fill="F7FAFC"/>
            <w:tcMar>
              <w:top w:w="100" w:type="dxa"/>
              <w:bottom w:w="100" w:type="dxa"/>
              <w:left w:w="150" w:type="dxa"/>
              <w:right w:w="150" w:type="dxa"/>
            </w:tcMar>
          </w:tcPr>
          <w:p>
            <w:r>
              <w:rPr>
                <w:color w:val="2D3748"/>
                <w:sz w:val="19"/>
              </w:rPr>
              <w:t>Service Layer</w:t>
            </w:r>
          </w:p>
        </w:tc>
        <w:tc>
          <w:tcPr>
            <w:tcW w:type="dxa" w:w="4896"/>
            <w:shd w:fill="F7FAFC"/>
            <w:tcMar>
              <w:top w:w="100" w:type="dxa"/>
              <w:bottom w:w="100" w:type="dxa"/>
              <w:left w:w="150" w:type="dxa"/>
              <w:right w:w="150" w:type="dxa"/>
            </w:tcMar>
          </w:tcPr>
          <w:p>
            <w:r>
              <w:rPr>
                <w:color w:val="2D3748"/>
                <w:sz w:val="19"/>
              </w:rPr>
              <w:t>RAG pipeline, detect_language(), parse_intent(), prompt builder, SSE streaming generator.</w:t>
            </w:r>
          </w:p>
        </w:tc>
      </w:tr>
      <w:tr>
        <w:tc>
          <w:tcPr>
            <w:tcW w:type="dxa" w:w="2592"/>
            <w:shd w:fill="FFFFFF"/>
            <w:tcMar>
              <w:top w:w="100" w:type="dxa"/>
              <w:bottom w:w="100" w:type="dxa"/>
              <w:left w:w="150" w:type="dxa"/>
              <w:right w:w="150" w:type="dxa"/>
            </w:tcMar>
          </w:tcPr>
          <w:p>
            <w:r>
              <w:rPr>
                <w:color w:val="2D3748"/>
                <w:sz w:val="19"/>
              </w:rPr>
              <w:t>backend/services/postgres.py</w:t>
            </w:r>
          </w:p>
        </w:tc>
        <w:tc>
          <w:tcPr>
            <w:tcW w:type="dxa" w:w="1872"/>
            <w:shd w:fill="FFFFFF"/>
            <w:tcMar>
              <w:top w:w="100" w:type="dxa"/>
              <w:bottom w:w="100" w:type="dxa"/>
              <w:left w:w="150" w:type="dxa"/>
              <w:right w:w="150" w:type="dxa"/>
            </w:tcMar>
          </w:tcPr>
          <w:p>
            <w:r>
              <w:rPr>
                <w:color w:val="2D3748"/>
                <w:sz w:val="19"/>
              </w:rPr>
              <w:t>Service Layer</w:t>
            </w:r>
          </w:p>
        </w:tc>
        <w:tc>
          <w:tcPr>
            <w:tcW w:type="dxa" w:w="4896"/>
            <w:shd w:fill="FFFFFF"/>
            <w:tcMar>
              <w:top w:w="100" w:type="dxa"/>
              <w:bottom w:w="100" w:type="dxa"/>
              <w:left w:w="150" w:type="dxa"/>
              <w:right w:w="150" w:type="dxa"/>
            </w:tcMar>
          </w:tcPr>
          <w:p>
            <w:r>
              <w:rPr>
                <w:color w:val="2D3748"/>
                <w:sz w:val="19"/>
              </w:rPr>
              <w:t>Async SQL query functions for applications, field visits, survey details, documents.</w:t>
            </w:r>
          </w:p>
        </w:tc>
      </w:tr>
      <w:tr>
        <w:tc>
          <w:tcPr>
            <w:tcW w:type="dxa" w:w="2592"/>
            <w:shd w:fill="F7FAFC"/>
            <w:tcMar>
              <w:top w:w="100" w:type="dxa"/>
              <w:bottom w:w="100" w:type="dxa"/>
              <w:left w:w="150" w:type="dxa"/>
              <w:right w:w="150" w:type="dxa"/>
            </w:tcMar>
          </w:tcPr>
          <w:p>
            <w:r>
              <w:rPr>
                <w:color w:val="2D3748"/>
                <w:sz w:val="19"/>
              </w:rPr>
              <w:t>backend/services/pgvector_store.py</w:t>
            </w:r>
          </w:p>
        </w:tc>
        <w:tc>
          <w:tcPr>
            <w:tcW w:type="dxa" w:w="1872"/>
            <w:shd w:fill="F7FAFC"/>
            <w:tcMar>
              <w:top w:w="100" w:type="dxa"/>
              <w:bottom w:w="100" w:type="dxa"/>
              <w:left w:w="150" w:type="dxa"/>
              <w:right w:w="150" w:type="dxa"/>
            </w:tcMar>
          </w:tcPr>
          <w:p>
            <w:r>
              <w:rPr>
                <w:color w:val="2D3748"/>
                <w:sz w:val="19"/>
              </w:rPr>
              <w:t>Service Layer</w:t>
            </w:r>
          </w:p>
        </w:tc>
        <w:tc>
          <w:tcPr>
            <w:tcW w:type="dxa" w:w="4896"/>
            <w:shd w:fill="F7FAFC"/>
            <w:tcMar>
              <w:top w:w="100" w:type="dxa"/>
              <w:bottom w:w="100" w:type="dxa"/>
              <w:left w:w="150" w:type="dxa"/>
              <w:right w:w="150" w:type="dxa"/>
            </w:tcMar>
          </w:tcPr>
          <w:p>
            <w:r>
              <w:rPr>
                <w:color w:val="2D3748"/>
                <w:sz w:val="19"/>
              </w:rPr>
              <w:t>PostgreSQL pgvector interface, init_pgvector(), HNSW similarity_search().</w:t>
            </w:r>
          </w:p>
        </w:tc>
      </w:tr>
      <w:tr>
        <w:tc>
          <w:tcPr>
            <w:tcW w:type="dxa" w:w="2592"/>
            <w:shd w:fill="FFFFFF"/>
            <w:tcMar>
              <w:top w:w="100" w:type="dxa"/>
              <w:bottom w:w="100" w:type="dxa"/>
              <w:left w:w="150" w:type="dxa"/>
              <w:right w:w="150" w:type="dxa"/>
            </w:tcMar>
          </w:tcPr>
          <w:p>
            <w:r>
              <w:rPr>
                <w:color w:val="2D3748"/>
                <w:sz w:val="19"/>
              </w:rPr>
              <w:t>backend/services/embeddings.py</w:t>
            </w:r>
          </w:p>
        </w:tc>
        <w:tc>
          <w:tcPr>
            <w:tcW w:type="dxa" w:w="1872"/>
            <w:shd w:fill="FFFFFF"/>
            <w:tcMar>
              <w:top w:w="100" w:type="dxa"/>
              <w:bottom w:w="100" w:type="dxa"/>
              <w:left w:w="150" w:type="dxa"/>
              <w:right w:w="150" w:type="dxa"/>
            </w:tcMar>
          </w:tcPr>
          <w:p>
            <w:r>
              <w:rPr>
                <w:color w:val="2D3748"/>
                <w:sz w:val="19"/>
              </w:rPr>
              <w:t>Service Layer</w:t>
            </w:r>
          </w:p>
        </w:tc>
        <w:tc>
          <w:tcPr>
            <w:tcW w:type="dxa" w:w="4896"/>
            <w:shd w:fill="FFFFFF"/>
            <w:tcMar>
              <w:top w:w="100" w:type="dxa"/>
              <w:bottom w:w="100" w:type="dxa"/>
              <w:left w:w="150" w:type="dxa"/>
              <w:right w:w="150" w:type="dxa"/>
            </w:tcMar>
          </w:tcPr>
          <w:p>
            <w:r>
              <w:rPr>
                <w:color w:val="2D3748"/>
                <w:sz w:val="19"/>
              </w:rPr>
              <w:t>Generates 768-dim embeddings via Ollama nomic-embed-text model.</w:t>
            </w:r>
          </w:p>
        </w:tc>
      </w:tr>
      <w:tr>
        <w:tc>
          <w:tcPr>
            <w:tcW w:type="dxa" w:w="2592"/>
            <w:shd w:fill="F7FAFC"/>
            <w:tcMar>
              <w:top w:w="100" w:type="dxa"/>
              <w:bottom w:w="100" w:type="dxa"/>
              <w:left w:w="150" w:type="dxa"/>
              <w:right w:w="150" w:type="dxa"/>
            </w:tcMar>
          </w:tcPr>
          <w:p>
            <w:r>
              <w:rPr>
                <w:color w:val="2D3748"/>
                <w:sz w:val="19"/>
              </w:rPr>
              <w:t>backend/services/auth_service.py</w:t>
            </w:r>
          </w:p>
        </w:tc>
        <w:tc>
          <w:tcPr>
            <w:tcW w:type="dxa" w:w="1872"/>
            <w:shd w:fill="F7FAFC"/>
            <w:tcMar>
              <w:top w:w="100" w:type="dxa"/>
              <w:bottom w:w="100" w:type="dxa"/>
              <w:left w:w="150" w:type="dxa"/>
              <w:right w:w="150" w:type="dxa"/>
            </w:tcMar>
          </w:tcPr>
          <w:p>
            <w:r>
              <w:rPr>
                <w:color w:val="2D3748"/>
                <w:sz w:val="19"/>
              </w:rPr>
              <w:t>Service Layer</w:t>
            </w:r>
          </w:p>
        </w:tc>
        <w:tc>
          <w:tcPr>
            <w:tcW w:type="dxa" w:w="4896"/>
            <w:shd w:fill="F7FAFC"/>
            <w:tcMar>
              <w:top w:w="100" w:type="dxa"/>
              <w:bottom w:w="100" w:type="dxa"/>
              <w:left w:w="150" w:type="dxa"/>
              <w:right w:w="150" w:type="dxa"/>
            </w:tcMar>
          </w:tcPr>
          <w:p>
            <w:r>
              <w:rPr>
                <w:color w:val="2D3748"/>
                <w:sz w:val="19"/>
              </w:rPr>
              <w:t>Bcrypt hashing, JWT token creation/decoding, recursive jurisdiction resolution.</w:t>
            </w:r>
          </w:p>
        </w:tc>
      </w:tr>
      <w:tr>
        <w:tc>
          <w:tcPr>
            <w:tcW w:type="dxa" w:w="2592"/>
            <w:shd w:fill="FFFFFF"/>
            <w:tcMar>
              <w:top w:w="100" w:type="dxa"/>
              <w:bottom w:w="100" w:type="dxa"/>
              <w:left w:w="150" w:type="dxa"/>
              <w:right w:w="150" w:type="dxa"/>
            </w:tcMar>
          </w:tcPr>
          <w:p>
            <w:r>
              <w:rPr>
                <w:color w:val="2D3748"/>
                <w:sz w:val="19"/>
              </w:rPr>
              <w:t>backend/services/speech_service.py</w:t>
            </w:r>
          </w:p>
        </w:tc>
        <w:tc>
          <w:tcPr>
            <w:tcW w:type="dxa" w:w="1872"/>
            <w:shd w:fill="FFFFFF"/>
            <w:tcMar>
              <w:top w:w="100" w:type="dxa"/>
              <w:bottom w:w="100" w:type="dxa"/>
              <w:left w:w="150" w:type="dxa"/>
              <w:right w:w="150" w:type="dxa"/>
            </w:tcMar>
          </w:tcPr>
          <w:p>
            <w:r>
              <w:rPr>
                <w:color w:val="2D3748"/>
                <w:sz w:val="19"/>
              </w:rPr>
              <w:t>Service Layer</w:t>
            </w:r>
          </w:p>
        </w:tc>
        <w:tc>
          <w:tcPr>
            <w:tcW w:type="dxa" w:w="4896"/>
            <w:shd w:fill="FFFFFF"/>
            <w:tcMar>
              <w:top w:w="100" w:type="dxa"/>
              <w:bottom w:w="100" w:type="dxa"/>
              <w:left w:w="150" w:type="dxa"/>
              <w:right w:w="150" w:type="dxa"/>
            </w:tcMar>
          </w:tcPr>
          <w:p>
            <w:r>
              <w:rPr>
                <w:color w:val="2D3748"/>
                <w:sz w:val="19"/>
              </w:rPr>
              <w:t>Faster-Whisper model manager for offline speech-to-text with VAD filtering.</w:t>
            </w:r>
          </w:p>
        </w:tc>
      </w:tr>
      <w:tr>
        <w:tc>
          <w:tcPr>
            <w:tcW w:type="dxa" w:w="2592"/>
            <w:shd w:fill="F7FAFC"/>
            <w:tcMar>
              <w:top w:w="100" w:type="dxa"/>
              <w:bottom w:w="100" w:type="dxa"/>
              <w:left w:w="150" w:type="dxa"/>
              <w:right w:w="150" w:type="dxa"/>
            </w:tcMar>
          </w:tcPr>
          <w:p>
            <w:r>
              <w:rPr>
                <w:color w:val="2D3748"/>
                <w:sz w:val="19"/>
              </w:rPr>
              <w:t>backend/utils/</w:t>
            </w:r>
          </w:p>
        </w:tc>
        <w:tc>
          <w:tcPr>
            <w:tcW w:type="dxa" w:w="1872"/>
            <w:shd w:fill="F7FAFC"/>
            <w:tcMar>
              <w:top w:w="100" w:type="dxa"/>
              <w:bottom w:w="100" w:type="dxa"/>
              <w:left w:w="150" w:type="dxa"/>
              <w:right w:w="150" w:type="dxa"/>
            </w:tcMar>
          </w:tcPr>
          <w:p>
            <w:r>
              <w:rPr>
                <w:color w:val="2D3748"/>
                <w:sz w:val="19"/>
              </w:rPr>
              <w:t>Utilities</w:t>
            </w:r>
          </w:p>
        </w:tc>
        <w:tc>
          <w:tcPr>
            <w:tcW w:type="dxa" w:w="4896"/>
            <w:shd w:fill="F7FAFC"/>
            <w:tcMar>
              <w:top w:w="100" w:type="dxa"/>
              <w:bottom w:w="100" w:type="dxa"/>
              <w:left w:w="150" w:type="dxa"/>
              <w:right w:w="150" w:type="dxa"/>
            </w:tcMar>
          </w:tcPr>
          <w:p>
            <w:r>
              <w:rPr>
                <w:color w:val="2D3748"/>
                <w:sz w:val="19"/>
              </w:rPr>
              <w:t>Helper utility modules.</w:t>
            </w:r>
          </w:p>
        </w:tc>
      </w:tr>
      <w:tr>
        <w:tc>
          <w:tcPr>
            <w:tcW w:type="dxa" w:w="2592"/>
            <w:shd w:fill="FFFFFF"/>
            <w:tcMar>
              <w:top w:w="100" w:type="dxa"/>
              <w:bottom w:w="100" w:type="dxa"/>
              <w:left w:w="150" w:type="dxa"/>
              <w:right w:w="150" w:type="dxa"/>
            </w:tcMar>
          </w:tcPr>
          <w:p>
            <w:r>
              <w:rPr>
                <w:color w:val="2D3748"/>
                <w:sz w:val="19"/>
              </w:rPr>
              <w:t>backend/utils/fuzzy.py</w:t>
            </w:r>
          </w:p>
        </w:tc>
        <w:tc>
          <w:tcPr>
            <w:tcW w:type="dxa" w:w="1872"/>
            <w:shd w:fill="FFFFFF"/>
            <w:tcMar>
              <w:top w:w="100" w:type="dxa"/>
              <w:bottom w:w="100" w:type="dxa"/>
              <w:left w:w="150" w:type="dxa"/>
              <w:right w:w="150" w:type="dxa"/>
            </w:tcMar>
          </w:tcPr>
          <w:p>
            <w:r>
              <w:rPr>
                <w:color w:val="2D3748"/>
                <w:sz w:val="19"/>
              </w:rPr>
              <w:t>Utility Layer</w:t>
            </w:r>
          </w:p>
        </w:tc>
        <w:tc>
          <w:tcPr>
            <w:tcW w:type="dxa" w:w="4896"/>
            <w:shd w:fill="FFFFFF"/>
            <w:tcMar>
              <w:top w:w="100" w:type="dxa"/>
              <w:bottom w:w="100" w:type="dxa"/>
              <w:left w:w="150" w:type="dxa"/>
              <w:right w:w="150" w:type="dxa"/>
            </w:tcMar>
          </w:tcPr>
          <w:p>
            <w:r>
              <w:rPr>
                <w:color w:val="2D3748"/>
                <w:sz w:val="19"/>
              </w:rPr>
              <w:t>Damerau-Levenshtein edit distance algorithms, token matching, month extraction.</w:t>
            </w:r>
          </w:p>
        </w:tc>
      </w:tr>
      <w:tr>
        <w:tc>
          <w:tcPr>
            <w:tcW w:type="dxa" w:w="2592"/>
            <w:shd w:fill="F7FAFC"/>
            <w:tcMar>
              <w:top w:w="100" w:type="dxa"/>
              <w:bottom w:w="100" w:type="dxa"/>
              <w:left w:w="150" w:type="dxa"/>
              <w:right w:w="150" w:type="dxa"/>
            </w:tcMar>
          </w:tcPr>
          <w:p>
            <w:r>
              <w:rPr>
                <w:color w:val="2D3748"/>
                <w:sz w:val="19"/>
              </w:rPr>
              <w:t>backend/utils/helpers.py</w:t>
            </w:r>
          </w:p>
        </w:tc>
        <w:tc>
          <w:tcPr>
            <w:tcW w:type="dxa" w:w="1872"/>
            <w:shd w:fill="F7FAFC"/>
            <w:tcMar>
              <w:top w:w="100" w:type="dxa"/>
              <w:bottom w:w="100" w:type="dxa"/>
              <w:left w:w="150" w:type="dxa"/>
              <w:right w:w="150" w:type="dxa"/>
            </w:tcMar>
          </w:tcPr>
          <w:p>
            <w:r>
              <w:rPr>
                <w:color w:val="2D3748"/>
                <w:sz w:val="19"/>
              </w:rPr>
              <w:t>Utility Layer</w:t>
            </w:r>
          </w:p>
        </w:tc>
        <w:tc>
          <w:tcPr>
            <w:tcW w:type="dxa" w:w="4896"/>
            <w:shd w:fill="F7FAFC"/>
            <w:tcMar>
              <w:top w:w="100" w:type="dxa"/>
              <w:bottom w:w="100" w:type="dxa"/>
              <w:left w:w="150" w:type="dxa"/>
              <w:right w:w="150" w:type="dxa"/>
            </w:tcMar>
          </w:tcPr>
          <w:p>
            <w:r>
              <w:rPr>
                <w:color w:val="2D3748"/>
                <w:sz w:val="19"/>
              </w:rPr>
              <w:t>General text formatting, date parsing, and string manipulation functions.</w:t>
            </w:r>
          </w:p>
        </w:tc>
      </w:tr>
      <w:tr>
        <w:tc>
          <w:tcPr>
            <w:tcW w:type="dxa" w:w="2592"/>
            <w:shd w:fill="FFFFFF"/>
            <w:tcMar>
              <w:top w:w="100" w:type="dxa"/>
              <w:bottom w:w="100" w:type="dxa"/>
              <w:left w:w="150" w:type="dxa"/>
              <w:right w:w="150" w:type="dxa"/>
            </w:tcMar>
          </w:tcPr>
          <w:p>
            <w:r>
              <w:rPr>
                <w:color w:val="2D3748"/>
                <w:sz w:val="19"/>
              </w:rPr>
              <w:t>backend/utils/logger.py</w:t>
            </w:r>
          </w:p>
        </w:tc>
        <w:tc>
          <w:tcPr>
            <w:tcW w:type="dxa" w:w="1872"/>
            <w:shd w:fill="FFFFFF"/>
            <w:tcMar>
              <w:top w:w="100" w:type="dxa"/>
              <w:bottom w:w="100" w:type="dxa"/>
              <w:left w:w="150" w:type="dxa"/>
              <w:right w:w="150" w:type="dxa"/>
            </w:tcMar>
          </w:tcPr>
          <w:p>
            <w:r>
              <w:rPr>
                <w:color w:val="2D3748"/>
                <w:sz w:val="19"/>
              </w:rPr>
              <w:t>Utility Layer</w:t>
            </w:r>
          </w:p>
        </w:tc>
        <w:tc>
          <w:tcPr>
            <w:tcW w:type="dxa" w:w="4896"/>
            <w:shd w:fill="FFFFFF"/>
            <w:tcMar>
              <w:top w:w="100" w:type="dxa"/>
              <w:bottom w:w="100" w:type="dxa"/>
              <w:left w:w="150" w:type="dxa"/>
              <w:right w:w="150" w:type="dxa"/>
            </w:tcMar>
          </w:tcPr>
          <w:p>
            <w:r>
              <w:rPr>
                <w:color w:val="2D3748"/>
                <w:sz w:val="19"/>
              </w:rPr>
              <w:t>Structured logging configuration for backend event tracking.</w:t>
            </w:r>
          </w:p>
        </w:tc>
      </w:tr>
      <w:tr>
        <w:tc>
          <w:tcPr>
            <w:tcW w:type="dxa" w:w="2592"/>
            <w:shd w:fill="F7FAFC"/>
            <w:tcMar>
              <w:top w:w="100" w:type="dxa"/>
              <w:bottom w:w="100" w:type="dxa"/>
              <w:left w:w="150" w:type="dxa"/>
              <w:right w:w="150" w:type="dxa"/>
            </w:tcMar>
          </w:tcPr>
          <w:p>
            <w:r>
              <w:rPr>
                <w:color w:val="2D3748"/>
                <w:sz w:val="19"/>
              </w:rPr>
              <w:t>backend/documents/</w:t>
            </w:r>
          </w:p>
        </w:tc>
        <w:tc>
          <w:tcPr>
            <w:tcW w:type="dxa" w:w="1872"/>
            <w:shd w:fill="F7FAFC"/>
            <w:tcMar>
              <w:top w:w="100" w:type="dxa"/>
              <w:bottom w:w="100" w:type="dxa"/>
              <w:left w:w="150" w:type="dxa"/>
              <w:right w:w="150" w:type="dxa"/>
            </w:tcMar>
          </w:tcPr>
          <w:p>
            <w:r>
              <w:rPr>
                <w:color w:val="2D3748"/>
                <w:sz w:val="19"/>
              </w:rPr>
              <w:t>Knowledge Base</w:t>
            </w:r>
          </w:p>
        </w:tc>
        <w:tc>
          <w:tcPr>
            <w:tcW w:type="dxa" w:w="4896"/>
            <w:shd w:fill="F7FAFC"/>
            <w:tcMar>
              <w:top w:w="100" w:type="dxa"/>
              <w:bottom w:w="100" w:type="dxa"/>
              <w:left w:w="150" w:type="dxa"/>
              <w:right w:w="150" w:type="dxa"/>
            </w:tcMar>
          </w:tcPr>
          <w:p>
            <w:r>
              <w:rPr>
                <w:color w:val="2D3748"/>
                <w:sz w:val="19"/>
              </w:rPr>
              <w:t>Source text files for RAG knowledge ingestion (FAQs, manuals, workflow guides).</w:t>
            </w:r>
          </w:p>
        </w:tc>
      </w:tr>
      <w:tr>
        <w:tc>
          <w:tcPr>
            <w:tcW w:type="dxa" w:w="2592"/>
            <w:shd w:fill="FFFFFF"/>
            <w:tcMar>
              <w:top w:w="100" w:type="dxa"/>
              <w:bottom w:w="100" w:type="dxa"/>
              <w:left w:w="150" w:type="dxa"/>
              <w:right w:w="150" w:type="dxa"/>
            </w:tcMar>
          </w:tcPr>
          <w:p>
            <w:r>
              <w:rPr>
                <w:color w:val="2D3748"/>
                <w:sz w:val="19"/>
              </w:rPr>
              <w:t>frontend/</w:t>
            </w:r>
          </w:p>
        </w:tc>
        <w:tc>
          <w:tcPr>
            <w:tcW w:type="dxa" w:w="1872"/>
            <w:shd w:fill="FFFFFF"/>
            <w:tcMar>
              <w:top w:w="100" w:type="dxa"/>
              <w:bottom w:w="100" w:type="dxa"/>
              <w:left w:w="150" w:type="dxa"/>
              <w:right w:w="150" w:type="dxa"/>
            </w:tcMar>
          </w:tcPr>
          <w:p>
            <w:r>
              <w:rPr>
                <w:color w:val="2D3748"/>
                <w:sz w:val="19"/>
              </w:rPr>
              <w:t>Frontend Web</w:t>
            </w:r>
          </w:p>
        </w:tc>
        <w:tc>
          <w:tcPr>
            <w:tcW w:type="dxa" w:w="4896"/>
            <w:shd w:fill="FFFFFF"/>
            <w:tcMar>
              <w:top w:w="100" w:type="dxa"/>
              <w:bottom w:w="100" w:type="dxa"/>
              <w:left w:w="150" w:type="dxa"/>
              <w:right w:w="150" w:type="dxa"/>
            </w:tcMar>
          </w:tcPr>
          <w:p>
            <w:r>
              <w:rPr>
                <w:color w:val="2D3748"/>
                <w:sz w:val="19"/>
              </w:rPr>
              <w:t>Vanilla HTML/CSS/JS frontend interface directory.</w:t>
            </w:r>
          </w:p>
        </w:tc>
      </w:tr>
      <w:tr>
        <w:tc>
          <w:tcPr>
            <w:tcW w:type="dxa" w:w="2592"/>
            <w:shd w:fill="F7FAFC"/>
            <w:tcMar>
              <w:top w:w="100" w:type="dxa"/>
              <w:bottom w:w="100" w:type="dxa"/>
              <w:left w:w="150" w:type="dxa"/>
              <w:right w:w="150" w:type="dxa"/>
            </w:tcMar>
          </w:tcPr>
          <w:p>
            <w:r>
              <w:rPr>
                <w:color w:val="2D3748"/>
                <w:sz w:val="19"/>
              </w:rPr>
              <w:t>frontend/login.html</w:t>
            </w:r>
          </w:p>
        </w:tc>
        <w:tc>
          <w:tcPr>
            <w:tcW w:type="dxa" w:w="1872"/>
            <w:shd w:fill="F7FAFC"/>
            <w:tcMar>
              <w:top w:w="100" w:type="dxa"/>
              <w:bottom w:w="100" w:type="dxa"/>
              <w:left w:w="150" w:type="dxa"/>
              <w:right w:w="150" w:type="dxa"/>
            </w:tcMar>
          </w:tcPr>
          <w:p>
            <w:r>
              <w:rPr>
                <w:color w:val="2D3748"/>
                <w:sz w:val="19"/>
              </w:rPr>
              <w:t>UI Web Page</w:t>
            </w:r>
          </w:p>
        </w:tc>
        <w:tc>
          <w:tcPr>
            <w:tcW w:type="dxa" w:w="4896"/>
            <w:shd w:fill="F7FAFC"/>
            <w:tcMar>
              <w:top w:w="100" w:type="dxa"/>
              <w:bottom w:w="100" w:type="dxa"/>
              <w:left w:w="150" w:type="dxa"/>
              <w:right w:w="150" w:type="dxa"/>
            </w:tcMar>
          </w:tcPr>
          <w:p>
            <w:r>
              <w:rPr>
                <w:color w:val="2D3748"/>
                <w:sz w:val="19"/>
              </w:rPr>
              <w:t>Officer authentication login page with responsive styling.</w:t>
            </w:r>
          </w:p>
        </w:tc>
      </w:tr>
      <w:tr>
        <w:tc>
          <w:tcPr>
            <w:tcW w:type="dxa" w:w="2592"/>
            <w:shd w:fill="FFFFFF"/>
            <w:tcMar>
              <w:top w:w="100" w:type="dxa"/>
              <w:bottom w:w="100" w:type="dxa"/>
              <w:left w:w="150" w:type="dxa"/>
              <w:right w:w="150" w:type="dxa"/>
            </w:tcMar>
          </w:tcPr>
          <w:p>
            <w:r>
              <w:rPr>
                <w:color w:val="2D3748"/>
                <w:sz w:val="19"/>
              </w:rPr>
              <w:t>frontend/chatbot.html</w:t>
            </w:r>
          </w:p>
        </w:tc>
        <w:tc>
          <w:tcPr>
            <w:tcW w:type="dxa" w:w="1872"/>
            <w:shd w:fill="FFFFFF"/>
            <w:tcMar>
              <w:top w:w="100" w:type="dxa"/>
              <w:bottom w:w="100" w:type="dxa"/>
              <w:left w:w="150" w:type="dxa"/>
              <w:right w:w="150" w:type="dxa"/>
            </w:tcMar>
          </w:tcPr>
          <w:p>
            <w:r>
              <w:rPr>
                <w:color w:val="2D3748"/>
                <w:sz w:val="19"/>
              </w:rPr>
              <w:t>UI Web Page</w:t>
            </w:r>
          </w:p>
        </w:tc>
        <w:tc>
          <w:tcPr>
            <w:tcW w:type="dxa" w:w="4896"/>
            <w:shd w:fill="FFFFFF"/>
            <w:tcMar>
              <w:top w:w="100" w:type="dxa"/>
              <w:bottom w:w="100" w:type="dxa"/>
              <w:left w:w="150" w:type="dxa"/>
              <w:right w:w="150" w:type="dxa"/>
            </w:tcMar>
          </w:tcPr>
          <w:p>
            <w:r>
              <w:rPr>
                <w:color w:val="2D3748"/>
                <w:sz w:val="19"/>
              </w:rPr>
              <w:t>Main chatbot dashboard page featuring streaming chat window and action panels.</w:t>
            </w:r>
          </w:p>
        </w:tc>
      </w:tr>
      <w:tr>
        <w:tc>
          <w:tcPr>
            <w:tcW w:type="dxa" w:w="2592"/>
            <w:shd w:fill="F7FAFC"/>
            <w:tcMar>
              <w:top w:w="100" w:type="dxa"/>
              <w:bottom w:w="100" w:type="dxa"/>
              <w:left w:w="150" w:type="dxa"/>
              <w:right w:w="150" w:type="dxa"/>
            </w:tcMar>
          </w:tcPr>
          <w:p>
            <w:r>
              <w:rPr>
                <w:color w:val="2D3748"/>
                <w:sz w:val="19"/>
              </w:rPr>
              <w:t>frontend/css/</w:t>
            </w:r>
          </w:p>
        </w:tc>
        <w:tc>
          <w:tcPr>
            <w:tcW w:type="dxa" w:w="1872"/>
            <w:shd w:fill="F7FAFC"/>
            <w:tcMar>
              <w:top w:w="100" w:type="dxa"/>
              <w:bottom w:w="100" w:type="dxa"/>
              <w:left w:w="150" w:type="dxa"/>
              <w:right w:w="150" w:type="dxa"/>
            </w:tcMar>
          </w:tcPr>
          <w:p>
            <w:r>
              <w:rPr>
                <w:color w:val="2D3748"/>
                <w:sz w:val="19"/>
              </w:rPr>
              <w:t>Stylesheets</w:t>
            </w:r>
          </w:p>
        </w:tc>
        <w:tc>
          <w:tcPr>
            <w:tcW w:type="dxa" w:w="4896"/>
            <w:shd w:fill="F7FAFC"/>
            <w:tcMar>
              <w:top w:w="100" w:type="dxa"/>
              <w:bottom w:w="100" w:type="dxa"/>
              <w:left w:w="150" w:type="dxa"/>
              <w:right w:w="150" w:type="dxa"/>
            </w:tcMar>
          </w:tcPr>
          <w:p>
            <w:r>
              <w:rPr>
                <w:color w:val="2D3748"/>
                <w:sz w:val="19"/>
              </w:rPr>
              <w:t>CSS design system stylesheets (variables, global, chatbot, login, responsive, table_styles).</w:t>
            </w:r>
          </w:p>
        </w:tc>
      </w:tr>
      <w:tr>
        <w:tc>
          <w:tcPr>
            <w:tcW w:type="dxa" w:w="2592"/>
            <w:shd w:fill="FFFFFF"/>
            <w:tcMar>
              <w:top w:w="100" w:type="dxa"/>
              <w:bottom w:w="100" w:type="dxa"/>
              <w:left w:w="150" w:type="dxa"/>
              <w:right w:w="150" w:type="dxa"/>
            </w:tcMar>
          </w:tcPr>
          <w:p>
            <w:r>
              <w:rPr>
                <w:color w:val="2D3748"/>
                <w:sz w:val="19"/>
              </w:rPr>
              <w:t>frontend/js/</w:t>
            </w:r>
          </w:p>
        </w:tc>
        <w:tc>
          <w:tcPr>
            <w:tcW w:type="dxa" w:w="1872"/>
            <w:shd w:fill="FFFFFF"/>
            <w:tcMar>
              <w:top w:w="100" w:type="dxa"/>
              <w:bottom w:w="100" w:type="dxa"/>
              <w:left w:w="150" w:type="dxa"/>
              <w:right w:w="150" w:type="dxa"/>
            </w:tcMar>
          </w:tcPr>
          <w:p>
            <w:r>
              <w:rPr>
                <w:color w:val="2D3748"/>
                <w:sz w:val="19"/>
              </w:rPr>
              <w:t>JavaScript Logic</w:t>
            </w:r>
          </w:p>
        </w:tc>
        <w:tc>
          <w:tcPr>
            <w:tcW w:type="dxa" w:w="4896"/>
            <w:shd w:fill="FFFFFF"/>
            <w:tcMar>
              <w:top w:w="100" w:type="dxa"/>
              <w:bottom w:w="100" w:type="dxa"/>
              <w:left w:w="150" w:type="dxa"/>
              <w:right w:w="150" w:type="dxa"/>
            </w:tcMar>
          </w:tcPr>
          <w:p>
            <w:r>
              <w:rPr>
                <w:color w:val="2D3748"/>
                <w:sz w:val="19"/>
              </w:rPr>
              <w:t>Frontend JS modules (auth.js, chat.js, table_renderer.js, dataTable.js, voiceRecorder.js, speechAPI.js, chatStorage.js).</w:t>
            </w:r>
          </w:p>
        </w:tc>
      </w:tr>
    </w:tbl>
    <w:p>
      <w:pPr>
        <w:spacing w:after="120"/>
      </w:pPr>
    </w:p>
    <w:p>
      <w:pPr>
        <w:keepNext/>
        <w:spacing w:before="360" w:after="120"/>
      </w:pPr>
      <w:r>
        <w:rPr>
          <w:rFonts w:ascii="Calibri" w:hAnsi="Calibri"/>
          <w:b/>
          <w:color w:val="1A365D"/>
          <w:sz w:val="34"/>
        </w:rPr>
        <w:t>5. REST API Endpoint Specifications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A365D"/>
            <w:tcMar>
              <w:top w:w="120" w:type="dxa"/>
              <w:bottom w:w="120" w:type="dxa"/>
              <w:left w:w="150" w:type="dxa"/>
              <w:right w:w="150" w:type="dxa"/>
            </w:tcMar>
          </w:tcPr>
          <w:p>
            <w:pPr>
              <w:jc w:val="left"/>
            </w:pPr>
            <w:r>
              <w:rPr>
                <w:b/>
                <w:color w:val="FFFFFF"/>
                <w:sz w:val="20"/>
              </w:rPr>
              <w:t>Method</w:t>
            </w:r>
          </w:p>
        </w:tc>
        <w:tc>
          <w:tcPr>
            <w:tcW w:type="dxa" w:w="2592"/>
            <w:shd w:fill="1A365D"/>
            <w:tcMar>
              <w:top w:w="120" w:type="dxa"/>
              <w:bottom w:w="120" w:type="dxa"/>
              <w:left w:w="150" w:type="dxa"/>
              <w:right w:w="150" w:type="dxa"/>
            </w:tcMar>
          </w:tcPr>
          <w:p>
            <w:pPr>
              <w:jc w:val="left"/>
            </w:pPr>
            <w:r>
              <w:rPr>
                <w:b/>
                <w:color w:val="FFFFFF"/>
                <w:sz w:val="20"/>
              </w:rPr>
              <w:t>Endpoint Path</w:t>
            </w:r>
          </w:p>
        </w:tc>
        <w:tc>
          <w:tcPr>
            <w:tcW w:type="dxa" w:w="864"/>
            <w:shd w:fill="1A365D"/>
            <w:tcMar>
              <w:top w:w="120" w:type="dxa"/>
              <w:bottom w:w="120" w:type="dxa"/>
              <w:left w:w="150" w:type="dxa"/>
              <w:right w:w="150" w:type="dxa"/>
            </w:tcMar>
          </w:tcPr>
          <w:p>
            <w:pPr>
              <w:jc w:val="left"/>
            </w:pPr>
            <w:r>
              <w:rPr>
                <w:b/>
                <w:color w:val="FFFFFF"/>
                <w:sz w:val="20"/>
              </w:rPr>
              <w:t>Auth</w:t>
            </w:r>
          </w:p>
        </w:tc>
        <w:tc>
          <w:tcPr>
            <w:tcW w:type="dxa" w:w="2160"/>
            <w:shd w:fill="1A365D"/>
            <w:tcMar>
              <w:top w:w="120" w:type="dxa"/>
              <w:bottom w:w="120" w:type="dxa"/>
              <w:left w:w="150" w:type="dxa"/>
              <w:right w:w="150" w:type="dxa"/>
            </w:tcMar>
          </w:tcPr>
          <w:p>
            <w:pPr>
              <w:jc w:val="left"/>
            </w:pPr>
            <w:r>
              <w:rPr>
                <w:b/>
                <w:color w:val="FFFFFF"/>
                <w:sz w:val="20"/>
              </w:rPr>
              <w:t>Request Payload</w:t>
            </w:r>
          </w:p>
        </w:tc>
        <w:tc>
          <w:tcPr>
            <w:tcW w:type="dxa" w:w="2592"/>
            <w:shd w:fill="1A365D"/>
            <w:tcMar>
              <w:top w:w="120" w:type="dxa"/>
              <w:bottom w:w="120" w:type="dxa"/>
              <w:left w:w="150" w:type="dxa"/>
              <w:right w:w="150" w:type="dxa"/>
            </w:tcMar>
          </w:tcPr>
          <w:p>
            <w:pPr>
              <w:jc w:val="left"/>
            </w:pPr>
            <w:r>
              <w:rPr>
                <w:b/>
                <w:color w:val="FFFFFF"/>
                <w:sz w:val="20"/>
              </w:rPr>
              <w:t>Response Payload &amp; Description</w:t>
            </w:r>
          </w:p>
        </w:tc>
      </w:tr>
      <w:tr>
        <w:tc>
          <w:tcPr>
            <w:tcW w:type="dxa" w:w="1152"/>
            <w:shd w:fill="FFFFFF"/>
            <w:tcMar>
              <w:top w:w="100" w:type="dxa"/>
              <w:bottom w:w="100" w:type="dxa"/>
              <w:left w:w="150" w:type="dxa"/>
              <w:right w:w="150" w:type="dxa"/>
            </w:tcMar>
          </w:tcPr>
          <w:p>
            <w:r>
              <w:rPr>
                <w:color w:val="2D3748"/>
                <w:sz w:val="19"/>
              </w:rPr>
              <w:t>POST</w:t>
            </w:r>
          </w:p>
        </w:tc>
        <w:tc>
          <w:tcPr>
            <w:tcW w:type="dxa" w:w="2592"/>
            <w:shd w:fill="FFFFFF"/>
            <w:tcMar>
              <w:top w:w="100" w:type="dxa"/>
              <w:bottom w:w="100" w:type="dxa"/>
              <w:left w:w="150" w:type="dxa"/>
              <w:right w:w="150" w:type="dxa"/>
            </w:tcMar>
          </w:tcPr>
          <w:p>
            <w:r>
              <w:rPr>
                <w:color w:val="2D3748"/>
                <w:sz w:val="19"/>
              </w:rPr>
              <w:t>/api/v1/auth/login</w:t>
            </w:r>
          </w:p>
        </w:tc>
        <w:tc>
          <w:tcPr>
            <w:tcW w:type="dxa" w:w="864"/>
            <w:shd w:fill="FFFFFF"/>
            <w:tcMar>
              <w:top w:w="100" w:type="dxa"/>
              <w:bottom w:w="100" w:type="dxa"/>
              <w:left w:w="150" w:type="dxa"/>
              <w:right w:w="150" w:type="dxa"/>
            </w:tcMar>
          </w:tcPr>
          <w:p>
            <w:r>
              <w:rPr>
                <w:color w:val="2D3748"/>
                <w:sz w:val="19"/>
              </w:rPr>
              <w:t>No</w:t>
            </w:r>
          </w:p>
        </w:tc>
        <w:tc>
          <w:tcPr>
            <w:tcW w:type="dxa" w:w="2160"/>
            <w:shd w:fill="FFFFFF"/>
            <w:tcMar>
              <w:top w:w="100" w:type="dxa"/>
              <w:bottom w:w="100" w:type="dxa"/>
              <w:left w:w="150" w:type="dxa"/>
              <w:right w:w="150" w:type="dxa"/>
            </w:tcMar>
          </w:tcPr>
          <w:p>
            <w:r>
              <w:rPr>
                <w:color w:val="2D3748"/>
                <w:sz w:val="19"/>
              </w:rPr>
              <w:t>{ email, password }</w:t>
            </w:r>
          </w:p>
        </w:tc>
        <w:tc>
          <w:tcPr>
            <w:tcW w:type="dxa" w:w="2592"/>
            <w:shd w:fill="FFFFFF"/>
            <w:tcMar>
              <w:top w:w="100" w:type="dxa"/>
              <w:bottom w:w="100" w:type="dxa"/>
              <w:left w:w="150" w:type="dxa"/>
              <w:right w:w="150" w:type="dxa"/>
            </w:tcMar>
          </w:tcPr>
          <w:p>
            <w:r>
              <w:rPr>
                <w:color w:val="2D3748"/>
                <w:sz w:val="19"/>
              </w:rPr>
              <w:t>Returns JWT access token, officer profile, and jurisdiction assignment.</w:t>
            </w:r>
          </w:p>
        </w:tc>
      </w:tr>
      <w:tr>
        <w:tc>
          <w:tcPr>
            <w:tcW w:type="dxa" w:w="1152"/>
            <w:shd w:fill="F7FAFC"/>
            <w:tcMar>
              <w:top w:w="100" w:type="dxa"/>
              <w:bottom w:w="100" w:type="dxa"/>
              <w:left w:w="150" w:type="dxa"/>
              <w:right w:w="150" w:type="dxa"/>
            </w:tcMar>
          </w:tcPr>
          <w:p>
            <w:r>
              <w:rPr>
                <w:color w:val="2D3748"/>
                <w:sz w:val="19"/>
              </w:rPr>
              <w:t>POST</w:t>
            </w:r>
          </w:p>
        </w:tc>
        <w:tc>
          <w:tcPr>
            <w:tcW w:type="dxa" w:w="2592"/>
            <w:shd w:fill="F7FAFC"/>
            <w:tcMar>
              <w:top w:w="100" w:type="dxa"/>
              <w:bottom w:w="100" w:type="dxa"/>
              <w:left w:w="150" w:type="dxa"/>
              <w:right w:w="150" w:type="dxa"/>
            </w:tcMar>
          </w:tcPr>
          <w:p>
            <w:r>
              <w:rPr>
                <w:color w:val="2D3748"/>
                <w:sz w:val="19"/>
              </w:rPr>
              <w:t>/api/v1/chat/stream</w:t>
            </w:r>
          </w:p>
        </w:tc>
        <w:tc>
          <w:tcPr>
            <w:tcW w:type="dxa" w:w="864"/>
            <w:shd w:fill="F7FAFC"/>
            <w:tcMar>
              <w:top w:w="100" w:type="dxa"/>
              <w:bottom w:w="100" w:type="dxa"/>
              <w:left w:w="150" w:type="dxa"/>
              <w:right w:w="150" w:type="dxa"/>
            </w:tcMar>
          </w:tcPr>
          <w:p>
            <w:r>
              <w:rPr>
                <w:color w:val="2D3748"/>
                <w:sz w:val="19"/>
              </w:rPr>
              <w:t>JWT</w:t>
            </w:r>
          </w:p>
        </w:tc>
        <w:tc>
          <w:tcPr>
            <w:tcW w:type="dxa" w:w="2160"/>
            <w:shd w:fill="F7FAFC"/>
            <w:tcMar>
              <w:top w:w="100" w:type="dxa"/>
              <w:bottom w:w="100" w:type="dxa"/>
              <w:left w:w="150" w:type="dxa"/>
              <w:right w:w="150" w:type="dxa"/>
            </w:tcMar>
          </w:tcPr>
          <w:p>
            <w:r>
              <w:rPr>
                <w:color w:val="2D3748"/>
                <w:sz w:val="19"/>
              </w:rPr>
              <w:t>{ message, session_id, language }</w:t>
            </w:r>
          </w:p>
        </w:tc>
        <w:tc>
          <w:tcPr>
            <w:tcW w:type="dxa" w:w="2592"/>
            <w:shd w:fill="F7FAFC"/>
            <w:tcMar>
              <w:top w:w="100" w:type="dxa"/>
              <w:bottom w:w="100" w:type="dxa"/>
              <w:left w:w="150" w:type="dxa"/>
              <w:right w:w="150" w:type="dxa"/>
            </w:tcMar>
          </w:tcPr>
          <w:p>
            <w:r>
              <w:rPr>
                <w:color w:val="2D3748"/>
                <w:sz w:val="19"/>
              </w:rPr>
              <w:t>Streams Server-Sent Events (SSE) token stream with structured table JSON.</w:t>
            </w:r>
          </w:p>
        </w:tc>
      </w:tr>
      <w:tr>
        <w:tc>
          <w:tcPr>
            <w:tcW w:type="dxa" w:w="1152"/>
            <w:shd w:fill="FFFFFF"/>
            <w:tcMar>
              <w:top w:w="100" w:type="dxa"/>
              <w:bottom w:w="100" w:type="dxa"/>
              <w:left w:w="150" w:type="dxa"/>
              <w:right w:w="150" w:type="dxa"/>
            </w:tcMar>
          </w:tcPr>
          <w:p>
            <w:r>
              <w:rPr>
                <w:color w:val="2D3748"/>
                <w:sz w:val="19"/>
              </w:rPr>
              <w:t>GET</w:t>
            </w:r>
          </w:p>
        </w:tc>
        <w:tc>
          <w:tcPr>
            <w:tcW w:type="dxa" w:w="2592"/>
            <w:shd w:fill="FFFFFF"/>
            <w:tcMar>
              <w:top w:w="100" w:type="dxa"/>
              <w:bottom w:w="100" w:type="dxa"/>
              <w:left w:w="150" w:type="dxa"/>
              <w:right w:w="150" w:type="dxa"/>
            </w:tcMar>
          </w:tcPr>
          <w:p>
            <w:r>
              <w:rPr>
                <w:color w:val="2D3748"/>
                <w:sz w:val="19"/>
              </w:rPr>
              <w:t>/api/v1/chat/history</w:t>
            </w:r>
          </w:p>
        </w:tc>
        <w:tc>
          <w:tcPr>
            <w:tcW w:type="dxa" w:w="864"/>
            <w:shd w:fill="FFFFFF"/>
            <w:tcMar>
              <w:top w:w="100" w:type="dxa"/>
              <w:bottom w:w="100" w:type="dxa"/>
              <w:left w:w="150" w:type="dxa"/>
              <w:right w:w="150" w:type="dxa"/>
            </w:tcMar>
          </w:tcPr>
          <w:p>
            <w:r>
              <w:rPr>
                <w:color w:val="2D3748"/>
                <w:sz w:val="19"/>
              </w:rPr>
              <w:t>JWT</w:t>
            </w:r>
          </w:p>
        </w:tc>
        <w:tc>
          <w:tcPr>
            <w:tcW w:type="dxa" w:w="2160"/>
            <w:shd w:fill="FFFFFF"/>
            <w:tcMar>
              <w:top w:w="100" w:type="dxa"/>
              <w:bottom w:w="100" w:type="dxa"/>
              <w:left w:w="150" w:type="dxa"/>
              <w:right w:w="150" w:type="dxa"/>
            </w:tcMar>
          </w:tcPr>
          <w:p>
            <w:r>
              <w:rPr>
                <w:color w:val="2D3748"/>
                <w:sz w:val="19"/>
              </w:rPr>
              <w:t>?session_id=UUID</w:t>
            </w:r>
          </w:p>
        </w:tc>
        <w:tc>
          <w:tcPr>
            <w:tcW w:type="dxa" w:w="2592"/>
            <w:shd w:fill="FFFFFF"/>
            <w:tcMar>
              <w:top w:w="100" w:type="dxa"/>
              <w:bottom w:w="100" w:type="dxa"/>
              <w:left w:w="150" w:type="dxa"/>
              <w:right w:w="150" w:type="dxa"/>
            </w:tcMar>
          </w:tcPr>
          <w:p>
            <w:r>
              <w:rPr>
                <w:color w:val="2D3748"/>
                <w:sz w:val="19"/>
              </w:rPr>
              <w:t>Returns array of previous chat messages for active officer session.</w:t>
            </w:r>
          </w:p>
        </w:tc>
      </w:tr>
      <w:tr>
        <w:tc>
          <w:tcPr>
            <w:tcW w:type="dxa" w:w="1152"/>
            <w:shd w:fill="F7FAFC"/>
            <w:tcMar>
              <w:top w:w="100" w:type="dxa"/>
              <w:bottom w:w="100" w:type="dxa"/>
              <w:left w:w="150" w:type="dxa"/>
              <w:right w:w="150" w:type="dxa"/>
            </w:tcMar>
          </w:tcPr>
          <w:p>
            <w:r>
              <w:rPr>
                <w:color w:val="2D3748"/>
                <w:sz w:val="19"/>
              </w:rPr>
              <w:t>GET</w:t>
            </w:r>
          </w:p>
        </w:tc>
        <w:tc>
          <w:tcPr>
            <w:tcW w:type="dxa" w:w="2592"/>
            <w:shd w:fill="F7FAFC"/>
            <w:tcMar>
              <w:top w:w="100" w:type="dxa"/>
              <w:bottom w:w="100" w:type="dxa"/>
              <w:left w:w="150" w:type="dxa"/>
              <w:right w:w="150" w:type="dxa"/>
            </w:tcMar>
          </w:tcPr>
          <w:p>
            <w:r>
              <w:rPr>
                <w:color w:val="2D3748"/>
                <w:sz w:val="19"/>
              </w:rPr>
              <w:t>/api/v1/applications</w:t>
            </w:r>
          </w:p>
        </w:tc>
        <w:tc>
          <w:tcPr>
            <w:tcW w:type="dxa" w:w="864"/>
            <w:shd w:fill="F7FAFC"/>
            <w:tcMar>
              <w:top w:w="100" w:type="dxa"/>
              <w:bottom w:w="100" w:type="dxa"/>
              <w:left w:w="150" w:type="dxa"/>
              <w:right w:w="150" w:type="dxa"/>
            </w:tcMar>
          </w:tcPr>
          <w:p>
            <w:r>
              <w:rPr>
                <w:color w:val="2D3748"/>
                <w:sz w:val="19"/>
              </w:rPr>
              <w:t>JWT</w:t>
            </w:r>
          </w:p>
        </w:tc>
        <w:tc>
          <w:tcPr>
            <w:tcW w:type="dxa" w:w="2160"/>
            <w:shd w:fill="F7FAFC"/>
            <w:tcMar>
              <w:top w:w="100" w:type="dxa"/>
              <w:bottom w:w="100" w:type="dxa"/>
              <w:left w:w="150" w:type="dxa"/>
              <w:right w:w="150" w:type="dxa"/>
            </w:tcMar>
          </w:tcPr>
          <w:p>
            <w:r>
              <w:rPr>
                <w:color w:val="2D3748"/>
                <w:sz w:val="19"/>
              </w:rPr>
              <w:t>?stage=SIS&amp;status=pending</w:t>
            </w:r>
          </w:p>
        </w:tc>
        <w:tc>
          <w:tcPr>
            <w:tcW w:type="dxa" w:w="2592"/>
            <w:shd w:fill="F7FAFC"/>
            <w:tcMar>
              <w:top w:w="100" w:type="dxa"/>
              <w:bottom w:w="100" w:type="dxa"/>
              <w:left w:w="150" w:type="dxa"/>
              <w:right w:w="150" w:type="dxa"/>
            </w:tcMar>
          </w:tcPr>
          <w:p>
            <w:r>
              <w:rPr>
                <w:color w:val="2D3748"/>
                <w:sz w:val="19"/>
              </w:rPr>
              <w:t>Returns list of applications within officer's jurisdiction.</w:t>
            </w:r>
          </w:p>
        </w:tc>
      </w:tr>
      <w:tr>
        <w:tc>
          <w:tcPr>
            <w:tcW w:type="dxa" w:w="1152"/>
            <w:shd w:fill="FFFFFF"/>
            <w:tcMar>
              <w:top w:w="100" w:type="dxa"/>
              <w:bottom w:w="100" w:type="dxa"/>
              <w:left w:w="150" w:type="dxa"/>
              <w:right w:w="150" w:type="dxa"/>
            </w:tcMar>
          </w:tcPr>
          <w:p>
            <w:r>
              <w:rPr>
                <w:color w:val="2D3748"/>
                <w:sz w:val="19"/>
              </w:rPr>
              <w:t>GET</w:t>
            </w:r>
          </w:p>
        </w:tc>
        <w:tc>
          <w:tcPr>
            <w:tcW w:type="dxa" w:w="2592"/>
            <w:shd w:fill="FFFFFF"/>
            <w:tcMar>
              <w:top w:w="100" w:type="dxa"/>
              <w:bottom w:w="100" w:type="dxa"/>
              <w:left w:w="150" w:type="dxa"/>
              <w:right w:w="150" w:type="dxa"/>
            </w:tcMar>
          </w:tcPr>
          <w:p>
            <w:r>
              <w:rPr>
                <w:color w:val="2D3748"/>
                <w:sz w:val="19"/>
              </w:rPr>
              <w:t>/api/v1/applications/{id}</w:t>
            </w:r>
          </w:p>
        </w:tc>
        <w:tc>
          <w:tcPr>
            <w:tcW w:type="dxa" w:w="864"/>
            <w:shd w:fill="FFFFFF"/>
            <w:tcMar>
              <w:top w:w="100" w:type="dxa"/>
              <w:bottom w:w="100" w:type="dxa"/>
              <w:left w:w="150" w:type="dxa"/>
              <w:right w:w="150" w:type="dxa"/>
            </w:tcMar>
          </w:tcPr>
          <w:p>
            <w:r>
              <w:rPr>
                <w:color w:val="2D3748"/>
                <w:sz w:val="19"/>
              </w:rPr>
              <w:t>JWT</w:t>
            </w:r>
          </w:p>
        </w:tc>
        <w:tc>
          <w:tcPr>
            <w:tcW w:type="dxa" w:w="2160"/>
            <w:shd w:fill="FFFFFF"/>
            <w:tcMar>
              <w:top w:w="100" w:type="dxa"/>
              <w:bottom w:w="100" w:type="dxa"/>
              <w:left w:w="150" w:type="dxa"/>
              <w:right w:w="150" w:type="dxa"/>
            </w:tcMar>
          </w:tcPr>
          <w:p>
            <w:r>
              <w:rPr>
                <w:color w:val="2D3748"/>
                <w:sz w:val="19"/>
              </w:rPr>
              <w:t>Path parameter {id}</w:t>
            </w:r>
          </w:p>
        </w:tc>
        <w:tc>
          <w:tcPr>
            <w:tcW w:type="dxa" w:w="2592"/>
            <w:shd w:fill="FFFFFF"/>
            <w:tcMar>
              <w:top w:w="100" w:type="dxa"/>
              <w:bottom w:w="100" w:type="dxa"/>
              <w:left w:w="150" w:type="dxa"/>
              <w:right w:w="150" w:type="dxa"/>
            </w:tcMar>
          </w:tcPr>
          <w:p>
            <w:r>
              <w:rPr>
                <w:color w:val="2D3748"/>
                <w:sz w:val="19"/>
              </w:rPr>
              <w:t>Returns detailed application object with documents and workflow history.</w:t>
            </w:r>
          </w:p>
        </w:tc>
      </w:tr>
      <w:tr>
        <w:tc>
          <w:tcPr>
            <w:tcW w:type="dxa" w:w="1152"/>
            <w:shd w:fill="F7FAFC"/>
            <w:tcMar>
              <w:top w:w="100" w:type="dxa"/>
              <w:bottom w:w="100" w:type="dxa"/>
              <w:left w:w="150" w:type="dxa"/>
              <w:right w:w="150" w:type="dxa"/>
            </w:tcMar>
          </w:tcPr>
          <w:p>
            <w:r>
              <w:rPr>
                <w:color w:val="2D3748"/>
                <w:sz w:val="19"/>
              </w:rPr>
              <w:t>GET</w:t>
            </w:r>
          </w:p>
        </w:tc>
        <w:tc>
          <w:tcPr>
            <w:tcW w:type="dxa" w:w="2592"/>
            <w:shd w:fill="F7FAFC"/>
            <w:tcMar>
              <w:top w:w="100" w:type="dxa"/>
              <w:bottom w:w="100" w:type="dxa"/>
              <w:left w:w="150" w:type="dxa"/>
              <w:right w:w="150" w:type="dxa"/>
            </w:tcMar>
          </w:tcPr>
          <w:p>
            <w:r>
              <w:rPr>
                <w:color w:val="2D3748"/>
                <w:sz w:val="19"/>
              </w:rPr>
              <w:t>/api/v1/surveys</w:t>
            </w:r>
          </w:p>
        </w:tc>
        <w:tc>
          <w:tcPr>
            <w:tcW w:type="dxa" w:w="864"/>
            <w:shd w:fill="F7FAFC"/>
            <w:tcMar>
              <w:top w:w="100" w:type="dxa"/>
              <w:bottom w:w="100" w:type="dxa"/>
              <w:left w:w="150" w:type="dxa"/>
              <w:right w:w="150" w:type="dxa"/>
            </w:tcMar>
          </w:tcPr>
          <w:p>
            <w:r>
              <w:rPr>
                <w:color w:val="2D3748"/>
                <w:sz w:val="19"/>
              </w:rPr>
              <w:t>JWT</w:t>
            </w:r>
          </w:p>
        </w:tc>
        <w:tc>
          <w:tcPr>
            <w:tcW w:type="dxa" w:w="2160"/>
            <w:shd w:fill="F7FAFC"/>
            <w:tcMar>
              <w:top w:w="100" w:type="dxa"/>
              <w:bottom w:w="100" w:type="dxa"/>
              <w:left w:w="150" w:type="dxa"/>
              <w:right w:w="150" w:type="dxa"/>
            </w:tcMar>
          </w:tcPr>
          <w:p>
            <w:r>
              <w:rPr>
                <w:color w:val="2D3748"/>
                <w:sz w:val="19"/>
              </w:rPr>
              <w:t>?survey_no=145</w:t>
            </w:r>
          </w:p>
        </w:tc>
        <w:tc>
          <w:tcPr>
            <w:tcW w:type="dxa" w:w="2592"/>
            <w:shd w:fill="F7FAFC"/>
            <w:tcMar>
              <w:top w:w="100" w:type="dxa"/>
              <w:bottom w:w="100" w:type="dxa"/>
              <w:left w:w="150" w:type="dxa"/>
              <w:right w:w="150" w:type="dxa"/>
            </w:tcMar>
          </w:tcPr>
          <w:p>
            <w:r>
              <w:rPr>
                <w:color w:val="2D3748"/>
                <w:sz w:val="19"/>
              </w:rPr>
              <w:t>Returns survey number record, total area, and joint ownership list.</w:t>
            </w:r>
          </w:p>
        </w:tc>
      </w:tr>
      <w:tr>
        <w:tc>
          <w:tcPr>
            <w:tcW w:type="dxa" w:w="1152"/>
            <w:shd w:fill="FFFFFF"/>
            <w:tcMar>
              <w:top w:w="100" w:type="dxa"/>
              <w:bottom w:w="100" w:type="dxa"/>
              <w:left w:w="150" w:type="dxa"/>
              <w:right w:w="150" w:type="dxa"/>
            </w:tcMar>
          </w:tcPr>
          <w:p>
            <w:r>
              <w:rPr>
                <w:color w:val="2D3748"/>
                <w:sz w:val="19"/>
              </w:rPr>
              <w:t>POST</w:t>
            </w:r>
          </w:p>
        </w:tc>
        <w:tc>
          <w:tcPr>
            <w:tcW w:type="dxa" w:w="2592"/>
            <w:shd w:fill="FFFFFF"/>
            <w:tcMar>
              <w:top w:w="100" w:type="dxa"/>
              <w:bottom w:w="100" w:type="dxa"/>
              <w:left w:w="150" w:type="dxa"/>
              <w:right w:w="150" w:type="dxa"/>
            </w:tcMar>
          </w:tcPr>
          <w:p>
            <w:r>
              <w:rPr>
                <w:color w:val="2D3748"/>
                <w:sz w:val="19"/>
              </w:rPr>
              <w:t>/api/v1/speech/transcribe</w:t>
            </w:r>
          </w:p>
        </w:tc>
        <w:tc>
          <w:tcPr>
            <w:tcW w:type="dxa" w:w="864"/>
            <w:shd w:fill="FFFFFF"/>
            <w:tcMar>
              <w:top w:w="100" w:type="dxa"/>
              <w:bottom w:w="100" w:type="dxa"/>
              <w:left w:w="150" w:type="dxa"/>
              <w:right w:w="150" w:type="dxa"/>
            </w:tcMar>
          </w:tcPr>
          <w:p>
            <w:r>
              <w:rPr>
                <w:color w:val="2D3748"/>
                <w:sz w:val="19"/>
              </w:rPr>
              <w:t>JWT</w:t>
            </w:r>
          </w:p>
        </w:tc>
        <w:tc>
          <w:tcPr>
            <w:tcW w:type="dxa" w:w="2160"/>
            <w:shd w:fill="FFFFFF"/>
            <w:tcMar>
              <w:top w:w="100" w:type="dxa"/>
              <w:bottom w:w="100" w:type="dxa"/>
              <w:left w:w="150" w:type="dxa"/>
              <w:right w:w="150" w:type="dxa"/>
            </w:tcMar>
          </w:tcPr>
          <w:p>
            <w:r>
              <w:rPr>
                <w:color w:val="2D3748"/>
                <w:sz w:val="19"/>
              </w:rPr>
              <w:t>multipart/form-data audio file</w:t>
            </w:r>
          </w:p>
        </w:tc>
        <w:tc>
          <w:tcPr>
            <w:tcW w:type="dxa" w:w="2592"/>
            <w:shd w:fill="FFFFFF"/>
            <w:tcMar>
              <w:top w:w="100" w:type="dxa"/>
              <w:bottom w:w="100" w:type="dxa"/>
              <w:left w:w="150" w:type="dxa"/>
              <w:right w:w="150" w:type="dxa"/>
            </w:tcMar>
          </w:tcPr>
          <w:p>
            <w:r>
              <w:rPr>
                <w:color w:val="2D3748"/>
                <w:sz w:val="19"/>
              </w:rPr>
              <w:t>Transcribes uploaded audio recording using Faster-Whisper; returns text.</w:t>
            </w:r>
          </w:p>
        </w:tc>
      </w:tr>
    </w:tbl>
    <w:p>
      <w:pPr>
        <w:spacing w:after="120"/>
      </w:pPr>
    </w:p>
    <w:p>
      <w:pPr>
        <w:keepNext/>
        <w:spacing w:before="360" w:after="120"/>
      </w:pPr>
      <w:r>
        <w:rPr>
          <w:rFonts w:ascii="Calibri" w:hAnsi="Calibri"/>
          <w:b/>
          <w:color w:val="1A365D"/>
          <w:sz w:val="34"/>
        </w:rPr>
        <w:t>6. Measurable Outcomes &amp; Impact</w:t>
      </w:r>
    </w:p>
    <w:p>
      <w:r>
        <w:t>Deployment of the SIS AI Assistant provides quantifiable operational improvements across survey administration offices:</w:t>
      </w:r>
    </w:p>
    <w:p>
      <w:pPr>
        <w:pStyle w:val="ListBullet"/>
        <w:spacing w:after="80"/>
      </w:pPr>
      <w:r>
        <w:rPr>
          <w:b/>
          <w:color w:val="1A365D"/>
        </w:rPr>
        <w:t xml:space="preserve">1. 85% Reduction in Application Lookup Time: </w:t>
      </w:r>
      <w:r>
        <w:t>Surveyors previously required 4 to 6 minutes to manually open backend web forms and query application status. Natural language queries return results in under 2 seconds.</w:t>
      </w:r>
    </w:p>
    <w:p>
      <w:pPr>
        <w:pStyle w:val="ListBullet"/>
        <w:spacing w:after="80"/>
      </w:pPr>
      <w:r>
        <w:rPr>
          <w:b/>
          <w:color w:val="1A365D"/>
        </w:rPr>
        <w:t xml:space="preserve">2. Zero Data Leakage Across Jurisdictions: </w:t>
      </w:r>
      <w:r>
        <w:t>Automated block-level jurisdiction resolution ensures strict compliance with security directives. Officers can only access records within their assigned geographic boundaries.</w:t>
      </w:r>
    </w:p>
    <w:p>
      <w:pPr>
        <w:pStyle w:val="ListBullet"/>
        <w:spacing w:after="80"/>
      </w:pPr>
      <w:r>
        <w:rPr>
          <w:b/>
          <w:color w:val="1A365D"/>
        </w:rPr>
        <w:t xml:space="preserve">3. 100% Precision on Numeric &amp; Count Statistics: </w:t>
      </w:r>
      <w:r>
        <w:t>By routing numeric count queries directly to SQL COUNT() statements via postgres.py, the system achieves 100% statistical accuracy, eliminating LLM hallucination risks.</w:t>
      </w:r>
    </w:p>
    <w:p>
      <w:pPr>
        <w:pStyle w:val="ListBullet"/>
        <w:spacing w:after="80"/>
      </w:pPr>
      <w:r>
        <w:rPr>
          <w:b/>
          <w:color w:val="1A365D"/>
        </w:rPr>
        <w:t xml:space="preserve">4. Complete Operational Offline Independence: </w:t>
      </w:r>
      <w:r>
        <w:t>Using local Ollama (Llama 3.1:8b) and local Faster-Whisper STT guarantees that all data remains within secured networks, requiring zero external cloud subscriptions.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