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INF3708 Practice Test – Answers</w:t>
      </w:r>
    </w:p>
    <w:p>
      <w:pPr>
        <w:spacing w:after="120"/>
        <w:jc w:val="center"/>
      </w:pPr>
      <w:r>
        <w:t xml:space="preserve">Software Project Management – October/November 2026 practice paper</w:t>
      </w:r>
    </w:p>
    <w:p>
      <w:pPr>
        <w:spacing w:after="120"/>
      </w:pPr>
      <w:r>
        <w:rPr>
          <w:b/>
          <w:bCs/>
        </w:rPr>
        <w:t xml:space="preserve">Main source:</w:t>
      </w:r>
      <w:r>
        <w:t xml:space="preserve"> Schwalbe, K. Information Technology Project Management, 9th edition (Cengage). The chapters used are: Chapter 1 (introduction, stakeholders, code of ethics), Chapter 2 (life cycles), Chapter 4 (project selection and financial analysis), Chapter 5 (scope and WBS), Chapter 6 (schedule and critical path), Chapter 7 (cost and earned value) and Chapter 11 (risk).</w:t>
      </w:r>
    </w:p>
    <w:p>
      <w:pPr>
        <w:spacing w:after="120"/>
      </w:pPr>
      <w:r>
        <w:rPr>
          <w:b/>
          <w:bCs/>
        </w:rPr>
        <w:t xml:space="preserve">How to use this document:</w:t>
      </w:r>
      <w:r>
        <w:t xml:space="preserve"> Each answer is written in simple English. Calculations are shown step by step in normal Word tables (no Excel), as the paper asks.</w:t>
      </w:r>
    </w:p>
    <w:p>
      <w:pPr>
        <w:pStyle w:val="Heading1"/>
        <w:spacing w:after="160" w:before="300"/>
      </w:pPr>
      <w:r>
        <w:t xml:space="preserve">QUESTION 1 – Multiple choice [10 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326"/>
      </w:tblGrid>
      <w:tr>
        <w:trPr>
          <w:tblHeader/>
        </w:trPr>
        <w:tc>
          <w:tcPr>
            <w:tcW w:type="dxa" w:w="13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Question</w:t>
            </w:r>
          </w:p>
        </w:tc>
        <w:tc>
          <w:tcPr>
            <w:tcW w:type="dxa" w:w="24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Answer</w:t>
            </w:r>
          </w:p>
        </w:tc>
        <w:tc>
          <w:tcPr>
            <w:tcW w:type="dxa" w:w="53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Short reason</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(b) Configurability</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The special characteristics of software are invisibility, complexity, conformity and flexibility. "Configurability" is not one of them.</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The PMI Code of Ethics says we approach </w:t>
            </w:r>
            <w:r>
              <w:rPr>
                <w:b/>
                <w:bCs/>
              </w:rPr>
              <w:t xml:space="preserve">directly</w:t>
            </w:r>
            <w:r>
              <w:t xml:space="preserve"> the people we have a conflict with. Going to them "indirectly" (behind their back) is not ethical.</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(b) Spiral life cycle model</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The spiral model was developed from refinements of the waterfall model. It adds risk checks in each loop, but it is still a predictive model.</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1.4</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(b) 1</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Level 0 is the whole project. The main categories (planning, analysis, design, testing) are Level 1.</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 External</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Concerned citizens and suppliers are outside the organisation, so they are external stakeholders.</w:t>
            </w:r>
          </w:p>
        </w:tc>
      </w:tr>
    </w:tbl>
    <w:p>
      <w:pPr>
        <w:pStyle w:val="Heading1"/>
        <w:spacing w:after="160" w:before="300"/>
      </w:pPr>
      <w:r>
        <w:t xml:space="preserve">QUESTION 2 – Work Breakdown Structure [15 marks]</w:t>
      </w:r>
    </w:p>
    <w:p>
      <w:pPr>
        <w:pStyle w:val="Heading2"/>
        <w:spacing w:after="120" w:before="220"/>
      </w:pPr>
      <w:r>
        <w:t xml:space="preserve">2.1 What a WBS is, its roles and why it is important (5)</w:t>
      </w:r>
    </w:p>
    <w:p>
      <w:pPr>
        <w:spacing w:after="120"/>
      </w:pPr>
      <w:r>
        <w:rPr>
          <w:b/>
          <w:bCs/>
        </w:rPr>
        <w:t xml:space="preserve">What it is:</w:t>
      </w:r>
      <w:r>
        <w:t xml:space="preserve"> A Work Breakdown Structure (WBS) is a deliverable-oriented breakdown of all the work in a project. It starts with the whole project at the top and breaks it into smaller and smaller parts. The lowest level is called a </w:t>
      </w:r>
      <w:r>
        <w:rPr>
          <w:b/>
          <w:bCs/>
        </w:rPr>
        <w:t xml:space="preserve">work package</w:t>
      </w:r>
      <w:r>
        <w:t xml:space="preserve">. Schwalbe calls the WBS "a foundation document" in project management because it gives the basis for planning and managing the schedule, cost, resources and changes.</w:t>
      </w:r>
    </w:p>
    <w:p>
      <w:pPr>
        <w:spacing w:after="120"/>
      </w:pPr>
      <w:r>
        <w:rPr>
          <w:b/>
          <w:bCs/>
        </w:rPr>
        <w:t xml:space="preserve">Roles of the WBS:</w:t>
      </w:r>
    </w:p>
    <w:p>
      <w:pPr>
        <w:pStyle w:val="ListParagraph"/>
        <w:numPr>
          <w:ilvl w:val="0"/>
          <w:numId w:val="2"/>
        </w:numPr>
        <w:spacing w:after="80"/>
      </w:pPr>
      <w:r>
        <w:t xml:space="preserve">It shows </w:t>
      </w:r>
      <w:r>
        <w:rPr>
          <w:b/>
          <w:bCs/>
        </w:rPr>
        <w:t xml:space="preserve">all the work</w:t>
      </w:r>
      <w:r>
        <w:t xml:space="preserve"> that must be done for the new LMS – nothing more and nothing less. If a task is not in the WBS, it is not part of the project scope.</w:t>
      </w:r>
    </w:p>
    <w:p>
      <w:pPr>
        <w:pStyle w:val="ListParagraph"/>
        <w:numPr>
          <w:ilvl w:val="0"/>
          <w:numId w:val="2"/>
        </w:numPr>
        <w:spacing w:after="80"/>
      </w:pPr>
      <w:r>
        <w:t xml:space="preserve">It breaks big, scary work (like "build the LMS") into </w:t>
      </w:r>
      <w:r>
        <w:rPr>
          <w:b/>
          <w:bCs/>
        </w:rPr>
        <w:t xml:space="preserve">small parts that are easy to estimate, assign and control</w:t>
      </w:r>
      <w:r>
        <w:t xml:space="preserve">.</w:t>
      </w:r>
    </w:p>
    <w:p>
      <w:pPr>
        <w:pStyle w:val="ListParagraph"/>
        <w:numPr>
          <w:ilvl w:val="0"/>
          <w:numId w:val="2"/>
        </w:numPr>
        <w:spacing w:after="80"/>
      </w:pPr>
      <w:r>
        <w:t xml:space="preserve">It is the </w:t>
      </w:r>
      <w:r>
        <w:rPr>
          <w:b/>
          <w:bCs/>
        </w:rPr>
        <w:t xml:space="preserve">base for the schedule</w:t>
      </w:r>
      <w:r>
        <w:t xml:space="preserve">: activities are defined from the work packages, then put in order and given durations.</w:t>
      </w:r>
    </w:p>
    <w:p>
      <w:pPr>
        <w:pStyle w:val="ListParagraph"/>
        <w:numPr>
          <w:ilvl w:val="0"/>
          <w:numId w:val="2"/>
        </w:numPr>
        <w:spacing w:after="80"/>
      </w:pPr>
      <w:r>
        <w:t xml:space="preserve">It is the </w:t>
      </w:r>
      <w:r>
        <w:rPr>
          <w:b/>
          <w:bCs/>
        </w:rPr>
        <w:t xml:space="preserve">base for cost estimates and the budget</w:t>
      </w:r>
      <w:r>
        <w:t xml:space="preserve"> – each work package can be costed.</w:t>
      </w:r>
    </w:p>
    <w:p>
      <w:pPr>
        <w:pStyle w:val="ListParagraph"/>
        <w:numPr>
          <w:ilvl w:val="0"/>
          <w:numId w:val="2"/>
        </w:numPr>
        <w:spacing w:after="80"/>
      </w:pPr>
      <w:r>
        <w:t xml:space="preserve">It helps to </w:t>
      </w:r>
      <w:r>
        <w:rPr>
          <w:b/>
          <w:bCs/>
        </w:rPr>
        <w:t xml:space="preserve">assign responsibility</w:t>
      </w:r>
      <w:r>
        <w:t xml:space="preserve"> – each work package can be given to one person or team.</w:t>
      </w:r>
    </w:p>
    <w:p>
      <w:pPr>
        <w:spacing w:after="120"/>
      </w:pPr>
      <w:r>
        <w:rPr>
          <w:b/>
          <w:bCs/>
        </w:rPr>
        <w:t xml:space="preserve">Why it is important for the IIE MSA project:</w:t>
      </w:r>
    </w:p>
    <w:p>
      <w:pPr>
        <w:pStyle w:val="ListParagraph"/>
        <w:numPr>
          <w:ilvl w:val="0"/>
          <w:numId w:val="2"/>
        </w:numPr>
        <w:spacing w:after="80"/>
      </w:pPr>
      <w:r>
        <w:t xml:space="preserve">The project has only six months, so management must see clearly what work is outstanding (planning, requirements, design, development, testing, deployment and training).</w:t>
      </w:r>
    </w:p>
    <w:p>
      <w:pPr>
        <w:pStyle w:val="ListParagraph"/>
        <w:numPr>
          <w:ilvl w:val="0"/>
          <w:numId w:val="2"/>
        </w:numPr>
        <w:spacing w:after="80"/>
      </w:pPr>
      <w:r>
        <w:t xml:space="preserve">It helps to prevent </w:t>
      </w:r>
      <w:r>
        <w:rPr>
          <w:b/>
          <w:bCs/>
        </w:rPr>
        <w:t xml:space="preserve">scope creep</w:t>
      </w:r>
      <w:r>
        <w:t xml:space="preserve">, because everyone agrees on the work at the start.</w:t>
      </w:r>
    </w:p>
    <w:p>
      <w:pPr>
        <w:pStyle w:val="ListParagraph"/>
        <w:numPr>
          <w:ilvl w:val="0"/>
          <w:numId w:val="2"/>
        </w:numPr>
        <w:spacing w:after="80"/>
      </w:pPr>
      <w:r>
        <w:t xml:space="preserve">It improves </w:t>
      </w:r>
      <w:r>
        <w:rPr>
          <w:b/>
          <w:bCs/>
        </w:rPr>
        <w:t xml:space="preserve">communication</w:t>
      </w:r>
      <w:r>
        <w:t xml:space="preserve"> between the Dean, the IT manager, the project team and users, because everyone uses the same picture of the work.</w:t>
      </w:r>
    </w:p>
    <w:p>
      <w:pPr>
        <w:pStyle w:val="ListParagraph"/>
        <w:numPr>
          <w:ilvl w:val="0"/>
          <w:numId w:val="2"/>
        </w:numPr>
        <w:spacing w:after="80"/>
      </w:pPr>
      <w:r>
        <w:t xml:space="preserve">Together with the scope statement and the WBS dictionary, it forms the </w:t>
      </w:r>
      <w:r>
        <w:rPr>
          <w:b/>
          <w:bCs/>
        </w:rPr>
        <w:t xml:space="preserve">scope baseline</w:t>
      </w:r>
      <w:r>
        <w:t xml:space="preserve">, which is used to measure progress.</w:t>
      </w:r>
    </w:p>
    <w:p>
      <w:pPr>
        <w:pStyle w:val="Heading2"/>
        <w:spacing w:after="120" w:before="220"/>
      </w:pPr>
      <w:r>
        <w:t xml:space="preserve">2.2 Three-level WBS for the new LMS (10)</w:t>
      </w:r>
    </w:p>
    <w:p>
      <w:pPr>
        <w:spacing w:after="120"/>
      </w:pPr>
      <w:r>
        <w:t xml:space="preserve">Level 0 is the whole project. Level 1 holds the main phases. Level 2 holds the tasks (activities) under each phase. Testing is placed under Implementation because it follows coding. "Requirement approval" appears twice in Figure 1, so it is used once under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rPr>
          <w:tblHeader/>
        </w:trPr>
        <w:tc>
          <w:tcPr>
            <w:tcW w:type="dxa" w:w="3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Level 0 (Project)</w:t>
            </w:r>
          </w:p>
        </w:tc>
        <w:tc>
          <w:tcPr>
            <w:tcW w:type="dxa" w:w="24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Level 1 (Phase)</w:t>
            </w:r>
          </w:p>
        </w:tc>
        <w:tc>
          <w:tcPr>
            <w:tcW w:type="dxa" w:w="36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Level 2 (Tasks / activities)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0.0 New Online LMS for IIE MSA</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1.0 Planning</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1.1 Initial assessment</w:t>
            </w:r>
          </w:p>
          <w:p>
            <w:r>
              <w:t xml:space="preserve">1.2 Project goal</w:t>
            </w:r>
          </w:p>
          <w:p>
            <w:r>
              <w:t xml:space="preserve">1.3 Scope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2.0 Analysis</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2.1 Evaluate existing systems</w:t>
            </w:r>
          </w:p>
          <w:p>
            <w:r>
              <w:t xml:space="preserve">2.2 User requirements</w:t>
            </w:r>
          </w:p>
          <w:p>
            <w:r>
              <w:t xml:space="preserve">2.3 Requirement approval</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3.0 Design</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3.1 System specification</w:t>
            </w:r>
          </w:p>
          <w:p>
            <w:r>
              <w:t xml:space="preserve">3.2 Technical blueprints</w:t>
            </w:r>
          </w:p>
          <w:p>
            <w:r>
              <w:t xml:space="preserve">3.3 User interface layout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4.0 Implementation</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4.1 Coding</w:t>
            </w:r>
          </w:p>
          <w:p>
            <w:r>
              <w:t xml:space="preserve">4.2 Testing</w:t>
            </w:r>
          </w:p>
          <w:p>
            <w:r>
              <w:t xml:space="preserve">4.3 Deployment</w:t>
            </w:r>
          </w:p>
          <w:p>
            <w:r>
              <w:t xml:space="preserve">4.4 Fine-tuning</w:t>
            </w:r>
          </w:p>
        </w:tc>
      </w:tr>
    </w:tbl>
    <w:p>
      <w:pPr>
        <w:spacing w:after="80"/>
      </w:pPr>
    </w:p>
    <w:p>
      <w:pPr>
        <w:spacing w:after="120"/>
      </w:pPr>
      <w:r>
        <w:rPr>
          <w:b/>
          <w:bCs/>
        </w:rPr>
        <w:t xml:space="preserve">The same WBS in outline (tabular) form:</w:t>
      </w:r>
    </w:p>
    <w:p>
      <w:pPr>
        <w:spacing w:after="40"/>
        <w:ind w:left="0"/>
      </w:pPr>
      <w:r>
        <w:rPr>
          <w:b/>
          <w:bCs/>
        </w:rPr>
        <w:t xml:space="preserve">0.0 New Online Learning Management System (LMS)</w:t>
      </w:r>
    </w:p>
    <w:p>
      <w:pPr>
        <w:spacing w:after="40"/>
        <w:ind w:left="567"/>
      </w:pPr>
      <w:r>
        <w:rPr>
          <w:b/>
          <w:bCs/>
        </w:rPr>
        <w:t xml:space="preserve">1.0 Planning</w:t>
      </w:r>
    </w:p>
    <w:p>
      <w:pPr>
        <w:spacing w:after="40"/>
        <w:ind w:left="1134"/>
      </w:pPr>
      <w:r>
        <w:rPr>
          <w:b w:val="false"/>
          <w:bCs w:val="false"/>
        </w:rPr>
        <w:t xml:space="preserve">1.1 Initial assessment</w:t>
      </w:r>
    </w:p>
    <w:p>
      <w:pPr>
        <w:spacing w:after="40"/>
        <w:ind w:left="1134"/>
      </w:pPr>
      <w:r>
        <w:rPr>
          <w:b w:val="false"/>
          <w:bCs w:val="false"/>
        </w:rPr>
        <w:t xml:space="preserve">1.2 Project goal</w:t>
      </w:r>
    </w:p>
    <w:p>
      <w:pPr>
        <w:spacing w:after="40"/>
        <w:ind w:left="1134"/>
      </w:pPr>
      <w:r>
        <w:rPr>
          <w:b w:val="false"/>
          <w:bCs w:val="false"/>
        </w:rPr>
        <w:t xml:space="preserve">1.3 Scope</w:t>
      </w:r>
    </w:p>
    <w:p>
      <w:pPr>
        <w:spacing w:after="40"/>
        <w:ind w:left="567"/>
      </w:pPr>
      <w:r>
        <w:rPr>
          <w:b/>
          <w:bCs/>
        </w:rPr>
        <w:t xml:space="preserve">2.0 Analysis</w:t>
      </w:r>
    </w:p>
    <w:p>
      <w:pPr>
        <w:spacing w:after="40"/>
        <w:ind w:left="1134"/>
      </w:pPr>
      <w:r>
        <w:rPr>
          <w:b w:val="false"/>
          <w:bCs w:val="false"/>
        </w:rPr>
        <w:t xml:space="preserve">2.1 Evaluate existing systems</w:t>
      </w:r>
    </w:p>
    <w:p>
      <w:pPr>
        <w:spacing w:after="40"/>
        <w:ind w:left="1134"/>
      </w:pPr>
      <w:r>
        <w:rPr>
          <w:b w:val="false"/>
          <w:bCs w:val="false"/>
        </w:rPr>
        <w:t xml:space="preserve">2.2 User requirements</w:t>
      </w:r>
    </w:p>
    <w:p>
      <w:pPr>
        <w:spacing w:after="40"/>
        <w:ind w:left="1134"/>
      </w:pPr>
      <w:r>
        <w:rPr>
          <w:b w:val="false"/>
          <w:bCs w:val="false"/>
        </w:rPr>
        <w:t xml:space="preserve">2.3 Requirement approval</w:t>
      </w:r>
    </w:p>
    <w:p>
      <w:pPr>
        <w:spacing w:after="40"/>
        <w:ind w:left="567"/>
      </w:pPr>
      <w:r>
        <w:rPr>
          <w:b/>
          <w:bCs/>
        </w:rPr>
        <w:t xml:space="preserve">3.0 Design</w:t>
      </w:r>
    </w:p>
    <w:p>
      <w:pPr>
        <w:spacing w:after="40"/>
        <w:ind w:left="1134"/>
      </w:pPr>
      <w:r>
        <w:rPr>
          <w:b w:val="false"/>
          <w:bCs w:val="false"/>
        </w:rPr>
        <w:t xml:space="preserve">3.1 System specification</w:t>
      </w:r>
    </w:p>
    <w:p>
      <w:pPr>
        <w:spacing w:after="40"/>
        <w:ind w:left="1134"/>
      </w:pPr>
      <w:r>
        <w:rPr>
          <w:b w:val="false"/>
          <w:bCs w:val="false"/>
        </w:rPr>
        <w:t xml:space="preserve">3.2 Technical blueprints</w:t>
      </w:r>
    </w:p>
    <w:p>
      <w:pPr>
        <w:spacing w:after="40"/>
        <w:ind w:left="1134"/>
      </w:pPr>
      <w:r>
        <w:rPr>
          <w:b w:val="false"/>
          <w:bCs w:val="false"/>
        </w:rPr>
        <w:t xml:space="preserve">3.3 User interface layout</w:t>
      </w:r>
    </w:p>
    <w:p>
      <w:pPr>
        <w:spacing w:after="40"/>
        <w:ind w:left="567"/>
      </w:pPr>
      <w:r>
        <w:rPr>
          <w:b/>
          <w:bCs/>
        </w:rPr>
        <w:t xml:space="preserve">4.0 Implementation</w:t>
      </w:r>
    </w:p>
    <w:p>
      <w:pPr>
        <w:spacing w:after="40"/>
        <w:ind w:left="1134"/>
      </w:pPr>
      <w:r>
        <w:rPr>
          <w:b w:val="false"/>
          <w:bCs w:val="false"/>
        </w:rPr>
        <w:t xml:space="preserve">4.1 Coding</w:t>
      </w:r>
    </w:p>
    <w:p>
      <w:pPr>
        <w:spacing w:after="40"/>
        <w:ind w:left="1134"/>
      </w:pPr>
      <w:r>
        <w:rPr>
          <w:b w:val="false"/>
          <w:bCs w:val="false"/>
        </w:rPr>
        <w:t xml:space="preserve">4.2 Testing</w:t>
      </w:r>
    </w:p>
    <w:p>
      <w:pPr>
        <w:spacing w:after="40"/>
        <w:ind w:left="1134"/>
      </w:pPr>
      <w:r>
        <w:rPr>
          <w:b w:val="false"/>
          <w:bCs w:val="false"/>
        </w:rPr>
        <w:t xml:space="preserve">4.3 Deployment</w:t>
      </w:r>
    </w:p>
    <w:p>
      <w:pPr>
        <w:spacing w:after="40"/>
        <w:ind w:left="1134"/>
      </w:pPr>
      <w:r>
        <w:rPr>
          <w:b w:val="false"/>
          <w:bCs w:val="false"/>
        </w:rPr>
        <w:t xml:space="preserve">4.4 Fine-tuning</w:t>
      </w:r>
    </w:p>
    <w:p>
      <w:pPr>
        <w:pStyle w:val="Heading1"/>
        <w:spacing w:after="160" w:before="300"/>
      </w:pPr>
      <w:r>
        <w:t xml:space="preserve">QUESTION 3 – Risk management [20 marks]</w:t>
      </w:r>
    </w:p>
    <w:p>
      <w:pPr>
        <w:pStyle w:val="Heading2"/>
        <w:spacing w:after="120" w:before="220"/>
      </w:pPr>
      <w:r>
        <w:t xml:space="preserve">3.1 Common sources of risk on IT projects and how to manage them (8)</w:t>
      </w:r>
    </w:p>
    <w:p>
      <w:pPr>
        <w:spacing w:after="120"/>
      </w:pPr>
      <w:r>
        <w:t xml:space="preserve">Schwalbe groups the main sources of risk into broad categories. Studies such as the Standish Group CHAOS reports also show the factors that most often make IT projects fail. Four common sources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526"/>
      </w:tblGrid>
      <w:tr>
        <w:trPr>
          <w:tblHeader/>
        </w:trPr>
        <w:tc>
          <w:tcPr>
            <w:tcW w:type="dxa" w:w="26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Source of risk</w:t>
            </w:r>
          </w:p>
        </w:tc>
        <w:tc>
          <w:tcPr>
            <w:tcW w:type="dxa" w:w="29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What it means</w:t>
            </w:r>
          </w:p>
        </w:tc>
        <w:tc>
          <w:tcPr>
            <w:tcW w:type="dxa" w:w="35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Suggestion for managing it</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1. Lack of user involvement / unclear requirements</w:t>
            </w:r>
            <w:r>
              <w:t xml:space="preserve"> (people and scope risk)</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Users do not give input, so requirements are incomplete or keep changing.</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Involve users from the start; hold workshops; get requirements signed off; use a change control process.</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2. Lack of executive (top management) support</w:t>
            </w:r>
            <w:r>
              <w:t xml:space="preserve"> (organisational risk)</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Without a strong sponsor the project loses money, people and priority.</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Get a project sponsor (e.g. the Dean); give management regular, short progress reports; link the project to the strategic plan.</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3. Technology risk</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New or untested technology, poor integration with old systems, security weaknesses.</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Use proven technology; build prototypes; do early technical testing; get expert advice.</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4. Unrealistic schedules and budgets</w:t>
            </w:r>
            <w:r>
              <w:t xml:space="preserve"> (financial / project management risk)</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Deadlines are set before the work is understood, so quality suffers.</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Use a WBS and critical path analysis to build realistic estimates; add contingency reserves; reduce scope if needed.</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5. People risk (skills and staff turnover)</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The team does not have the right skills, or key people leave.</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Train staff; use experienced staff on critical tasks; document work; have back-up people.</w:t>
            </w:r>
          </w:p>
        </w:tc>
      </w:tr>
    </w:tbl>
    <w:p>
      <w:pPr>
        <w:spacing w:after="80"/>
      </w:pPr>
    </w:p>
    <w:p>
      <w:pPr>
        <w:spacing w:after="120"/>
      </w:pPr>
      <w:r>
        <w:rPr>
          <w:b/>
          <w:bCs/>
        </w:rPr>
        <w:t xml:space="preserve">Most useful suggestion:</w:t>
      </w:r>
      <w:r>
        <w:t xml:space="preserve"> Involving users early and getting their sign-off on requirements. Most IT projects fail because the system does not meet user needs. In an LMS, students and lecturers are the main users, so their early input saves a lot of re-work later.</w:t>
      </w:r>
    </w:p>
    <w:p>
      <w:pPr>
        <w:spacing w:after="120"/>
      </w:pPr>
      <w:r>
        <w:rPr>
          <w:b/>
          <w:bCs/>
        </w:rPr>
        <w:t xml:space="preserve">Suggestion that may not work in my organisation:</w:t>
      </w:r>
      <w:r>
        <w:t xml:space="preserve"> Adding a large contingency reserve of time. In this project the deadline (start of the academic year) cannot move, and management wants the work done in six months. So there is no extra time to add. Instead, we must manage the schedule risk by reducing scope (deliver core features first) or adding resources (crashing).</w:t>
      </w:r>
    </w:p>
    <w:p>
      <w:pPr>
        <w:pStyle w:val="Heading2"/>
        <w:spacing w:after="120" w:before="220"/>
      </w:pPr>
      <w:r>
        <w:t xml:space="preserve">3.2 Four risks for the IIE MSA LMS project and response strategies (8)</w:t>
      </w:r>
    </w:p>
    <w:p>
      <w:pPr>
        <w:spacing w:after="120"/>
      </w:pPr>
      <w:r>
        <w:t xml:space="preserve">Schwalbe lists the response strategies for negative risks as: </w:t>
      </w:r>
      <w:r>
        <w:rPr>
          <w:b/>
          <w:bCs/>
        </w:rPr>
        <w:t xml:space="preserve">escalate, avoid, transfer, mitigate and accept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Risk</w:t>
            </w:r>
          </w:p>
        </w:tc>
        <w:tc>
          <w:tcPr>
            <w:tcW w:type="dxa" w:w="3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Why it can happen</w:t>
            </w:r>
          </w:p>
        </w:tc>
        <w:tc>
          <w:tcPr>
            <w:tcW w:type="dxa" w:w="35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Strategy and action</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R1. Project not finished in six months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Very short time; tasks must be done one after the other (waterfall), so any delay pushes out the end date.</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Mitigate:</w:t>
            </w:r>
            <w:r>
              <w:t xml:space="preserve"> monitor the critical path weekly; deliver core features first (registration, materials, assignments); add staff to critical tasks (crashing).</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R2. Requirements are late or keep changing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Coding cannot start until requirements are approved; many user groups.</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Avoid / mitigate:</w:t>
            </w:r>
            <w:r>
              <w:t xml:space="preserve"> fixed time box for requirements; one approval meeting with the Dean; formal change control after sign-off.</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R3. Security breach / loss of student data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The system stores personal data, marks and assessments online (POPIA applies).</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Mitigate / transfer:</w:t>
            </w:r>
            <w:r>
              <w:t xml:space="preserve"> build security in from design; do penetration testing; host on a trusted cloud provider with a service-level agreement (transfers part of the risk).</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R4. Users do not accept the system (poor adoption)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Students and lecturers are used to the old system and have little time to learn the new one.</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Mitigate:</w:t>
            </w:r>
            <w:r>
              <w:t xml:space="preserve"> user-friendly design; user testing; training sessions, videos and a help desk before go-live.</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R5. Data migration from the old system fails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Old data may be incomplete or in a different format.</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Mitigate / accept:</w:t>
            </w:r>
            <w:r>
              <w:t xml:space="preserve"> clean data early; do test migrations; keep the old system read-only as a back-up for the first term.</w:t>
            </w:r>
          </w:p>
        </w:tc>
      </w:tr>
    </w:tbl>
    <w:p>
      <w:pPr>
        <w:spacing w:after="120"/>
      </w:pPr>
      <w:r>
        <w:t xml:space="preserve">(Only four are needed; a fifth is given as an extra example.)</w:t>
      </w:r>
    </w:p>
    <w:p>
      <w:pPr>
        <w:pStyle w:val="Heading2"/>
        <w:spacing w:after="120" w:before="220"/>
      </w:pPr>
      <w:r>
        <w:t xml:space="preserve">3.3 Key stakeholders affected by the risks (4)</w:t>
      </w:r>
    </w:p>
    <w:p>
      <w:pPr>
        <w:pStyle w:val="ListParagraph"/>
        <w:numPr>
          <w:ilvl w:val="0"/>
          <w:numId w:val="2"/>
        </w:numPr>
        <w:spacing w:after="80"/>
      </w:pPr>
      <w:r>
        <w:rPr>
          <w:b/>
          <w:bCs/>
        </w:rPr>
        <w:t xml:space="preserve">Students</w:t>
      </w:r>
      <w:r>
        <w:t xml:space="preserve"> – cannot register, get study material or submit work if the system is late, insecure or hard to use.</w:t>
      </w:r>
    </w:p>
    <w:p>
      <w:pPr>
        <w:pStyle w:val="ListParagraph"/>
        <w:numPr>
          <w:ilvl w:val="0"/>
          <w:numId w:val="2"/>
        </w:numPr>
        <w:spacing w:after="80"/>
      </w:pPr>
      <w:r>
        <w:rPr>
          <w:b/>
          <w:bCs/>
        </w:rPr>
        <w:t xml:space="preserve">Lecturers / academic staff</w:t>
      </w:r>
      <w:r>
        <w:t xml:space="preserve"> – cannot upload material, set assessments or contact students.</w:t>
      </w:r>
    </w:p>
    <w:p>
      <w:pPr>
        <w:pStyle w:val="ListParagraph"/>
        <w:numPr>
          <w:ilvl w:val="0"/>
          <w:numId w:val="2"/>
        </w:numPr>
        <w:spacing w:after="80"/>
      </w:pPr>
      <w:r>
        <w:rPr>
          <w:b/>
          <w:bCs/>
        </w:rPr>
        <w:t xml:space="preserve">Top management and the Dean (project sponsor)</w:t>
      </w:r>
      <w:r>
        <w:t xml:space="preserve"> – carry the reputational and financial damage, and must approve changes.</w:t>
      </w:r>
    </w:p>
    <w:p>
      <w:pPr>
        <w:pStyle w:val="ListParagraph"/>
        <w:numPr>
          <w:ilvl w:val="0"/>
          <w:numId w:val="2"/>
        </w:numPr>
        <w:spacing w:after="80"/>
      </w:pPr>
      <w:r>
        <w:rPr>
          <w:b/>
          <w:bCs/>
        </w:rPr>
        <w:t xml:space="preserve">Project manager and the project team (ICT department, developers, testers)</w:t>
      </w:r>
      <w:r>
        <w:t xml:space="preserve"> – must handle delays, re-work and pressure.</w:t>
      </w:r>
    </w:p>
    <w:p>
      <w:pPr>
        <w:pStyle w:val="ListParagraph"/>
        <w:numPr>
          <w:ilvl w:val="0"/>
          <w:numId w:val="2"/>
        </w:numPr>
        <w:spacing w:after="80"/>
      </w:pPr>
      <w:r>
        <w:rPr>
          <w:b/>
          <w:bCs/>
        </w:rPr>
        <w:t xml:space="preserve">IT manager / ICT support staff</w:t>
      </w:r>
      <w:r>
        <w:t xml:space="preserve"> – must support, secure and maintain the system after go-live.</w:t>
      </w:r>
    </w:p>
    <w:p>
      <w:pPr>
        <w:pStyle w:val="ListParagraph"/>
        <w:numPr>
          <w:ilvl w:val="0"/>
          <w:numId w:val="2"/>
        </w:numPr>
        <w:spacing w:after="80"/>
      </w:pPr>
      <w:r>
        <w:rPr>
          <w:b/>
          <w:bCs/>
        </w:rPr>
        <w:t xml:space="preserve">Administrative staff and external suppliers</w:t>
      </w:r>
      <w:r>
        <w:t xml:space="preserve"> (e.g. hosting or software vendors) – registration and contracts depend on the system.</w:t>
      </w:r>
    </w:p>
    <w:p>
      <w:pPr>
        <w:pStyle w:val="Heading1"/>
        <w:spacing w:after="160" w:before="300"/>
      </w:pPr>
      <w:r>
        <w:t xml:space="preserve">QUESTION 4 – Project selection (financial analysis) [20 marks]</w:t>
      </w:r>
    </w:p>
    <w:p>
      <w:pPr>
        <w:spacing w:after="120"/>
      </w:pPr>
      <w:r>
        <w:rPr>
          <w:b/>
          <w:bCs/>
        </w:rPr>
        <w:t xml:space="preserve">Approach used: Table 1A – the textbook (total discounted factor) approach.</w:t>
      </w:r>
      <w:r>
        <w:t xml:space="preserve"> Discount rate = 7%. Discount factors: Year 1 = 0.93, Year 2 = 0.87, Year 3 = 0.82, Year 4 = 0.76.</w:t>
      </w:r>
    </w:p>
    <w:p>
      <w:pPr>
        <w:spacing w:after="120"/>
      </w:pPr>
      <w:r>
        <w:rPr>
          <w:b/>
          <w:bCs/>
        </w:rPr>
        <w:t xml:space="preserve">Formulas used (Schwalbe, Chapter 4):</w:t>
      </w:r>
    </w:p>
    <w:p>
      <w:pPr>
        <w:pStyle w:val="ListParagraph"/>
        <w:numPr>
          <w:ilvl w:val="0"/>
          <w:numId w:val="2"/>
        </w:numPr>
        <w:spacing w:after="80"/>
      </w:pPr>
      <w:r>
        <w:t xml:space="preserve">Discounted value = amount × discount factor</w:t>
      </w:r>
    </w:p>
    <w:p>
      <w:pPr>
        <w:pStyle w:val="ListParagraph"/>
        <w:numPr>
          <w:ilvl w:val="0"/>
          <w:numId w:val="2"/>
        </w:numPr>
        <w:spacing w:after="80"/>
      </w:pPr>
      <w:r>
        <w:t xml:space="preserve">NPV = total discounted benefits − total discounted costs</w:t>
      </w:r>
    </w:p>
    <w:p>
      <w:pPr>
        <w:pStyle w:val="ListParagraph"/>
        <w:numPr>
          <w:ilvl w:val="0"/>
          <w:numId w:val="2"/>
        </w:numPr>
        <w:spacing w:after="80"/>
      </w:pPr>
      <w:r>
        <w:t xml:space="preserve">ROI = (total discounted benefits − total discounted costs) ÷ total discounted costs</w:t>
      </w:r>
    </w:p>
    <w:p>
      <w:pPr>
        <w:pStyle w:val="ListParagraph"/>
        <w:numPr>
          <w:ilvl w:val="0"/>
          <w:numId w:val="2"/>
        </w:numPr>
        <w:spacing w:after="80"/>
      </w:pPr>
      <w:r>
        <w:t xml:space="preserve">Payback = the point where cumulative discounted benefits are equal to or more than cumulative discounted costs (cumulative net cash flow becomes zero or positive).</w:t>
      </w:r>
    </w:p>
    <w:p>
      <w:pPr>
        <w:pStyle w:val="Heading2"/>
        <w:spacing w:after="120" w:before="220"/>
      </w:pPr>
      <w:r>
        <w:t xml:space="preserve">4.1 Calculations (15)</w:t>
      </w:r>
    </w:p>
    <w:p>
      <w:pPr>
        <w:spacing w:after="120"/>
      </w:pPr>
      <w:r>
        <w:rPr>
          <w:b/>
          <w:bCs/>
        </w:rPr>
        <w:t xml:space="preserve">Project 1 – New Online LMS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050"/>
        <w:gridCol w:w="1050"/>
        <w:gridCol w:w="1050"/>
        <w:gridCol w:w="1050"/>
        <w:gridCol w:w="1100"/>
        <w:gridCol w:w="2026"/>
      </w:tblGrid>
      <w:tr>
        <w:trPr>
          <w:tblHeader/>
        </w:trPr>
        <w:tc>
          <w:tcPr>
            <w:tcW w:type="dxa" w:w="17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Item</w:t>
            </w:r>
          </w:p>
        </w:tc>
        <w:tc>
          <w:tcPr>
            <w:tcW w:type="dxa" w:w="105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Year 1</w:t>
            </w:r>
          </w:p>
        </w:tc>
        <w:tc>
          <w:tcPr>
            <w:tcW w:type="dxa" w:w="105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Year 2</w:t>
            </w:r>
          </w:p>
        </w:tc>
        <w:tc>
          <w:tcPr>
            <w:tcW w:type="dxa" w:w="105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Year 3</w:t>
            </w:r>
          </w:p>
        </w:tc>
        <w:tc>
          <w:tcPr>
            <w:tcW w:type="dxa" w:w="105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Year 4</w:t>
            </w:r>
          </w:p>
        </w:tc>
        <w:tc>
          <w:tcPr>
            <w:tcW w:type="dxa" w:w="11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Total</w:t>
            </w:r>
          </w:p>
        </w:tc>
        <w:tc>
          <w:tcPr>
            <w:tcW w:type="dxa" w:w="20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Notes</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Discount factor</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0.93</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0.87</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0.82</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0.76</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Benefits</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120 000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120 000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120 000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360 000</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Discounted benefits</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104 400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98 400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91 200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294 000</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e.g. 120 000 × 0.87</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Costs</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300 000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40 000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40 000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40 000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420 000</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Discounted costs</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279 000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34 800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32 800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30 400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377 000</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e.g. 300 000 × 0.93</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Discounted benefits − costs</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−279 000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69 600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65 600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60 800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−83 000</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 NPV</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Cumulative benefits − costs</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−279 000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−209 400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−143 800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−83 000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Never reaches 0</w:t>
            </w:r>
          </w:p>
        </w:tc>
      </w:tr>
    </w:tbl>
    <w:p>
      <w:pPr>
        <w:spacing w:after="80"/>
      </w:pPr>
    </w:p>
    <w:p>
      <w:pPr>
        <w:spacing w:after="120"/>
      </w:pPr>
      <w:r>
        <w:rPr>
          <w:b/>
          <w:bCs/>
        </w:rPr>
        <w:t xml:space="preserve">Project 2 – ICT alternative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050"/>
        <w:gridCol w:w="1050"/>
        <w:gridCol w:w="1050"/>
        <w:gridCol w:w="1050"/>
        <w:gridCol w:w="1100"/>
        <w:gridCol w:w="2026"/>
      </w:tblGrid>
      <w:tr>
        <w:trPr>
          <w:tblHeader/>
        </w:trPr>
        <w:tc>
          <w:tcPr>
            <w:tcW w:type="dxa" w:w="17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Item</w:t>
            </w:r>
          </w:p>
        </w:tc>
        <w:tc>
          <w:tcPr>
            <w:tcW w:type="dxa" w:w="105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Year 1</w:t>
            </w:r>
          </w:p>
        </w:tc>
        <w:tc>
          <w:tcPr>
            <w:tcW w:type="dxa" w:w="105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Year 2</w:t>
            </w:r>
          </w:p>
        </w:tc>
        <w:tc>
          <w:tcPr>
            <w:tcW w:type="dxa" w:w="105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Year 3</w:t>
            </w:r>
          </w:p>
        </w:tc>
        <w:tc>
          <w:tcPr>
            <w:tcW w:type="dxa" w:w="105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Year 4</w:t>
            </w:r>
          </w:p>
        </w:tc>
        <w:tc>
          <w:tcPr>
            <w:tcW w:type="dxa" w:w="11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Total</w:t>
            </w:r>
          </w:p>
        </w:tc>
        <w:tc>
          <w:tcPr>
            <w:tcW w:type="dxa" w:w="20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Notes</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Discount factor</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0.93</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0.87</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0.82</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0.76</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Benefits</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75 000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50 000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85 000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210 000</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Discounted benefits</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65 250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41 000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64 600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170 850</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e.g. 75 000 × 0.87</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Costs</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200 000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30 000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30 000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30 000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290 000</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Discounted costs</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186 000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26 100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24 600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22 800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259 500</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e.g. 200 000 × 0.93</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Discounted benefits − costs</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−186 000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39 150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16 400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41 800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−88 650</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 NPV</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Cumulative benefits − costs</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−186 000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−146 850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−130 450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−88 650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Never reaches 0</w:t>
            </w:r>
          </w:p>
        </w:tc>
      </w:tr>
    </w:tbl>
    <w:p>
      <w:pPr>
        <w:spacing w:after="80"/>
      </w:pPr>
    </w:p>
    <w:p>
      <w:pPr>
        <w:spacing w:after="120"/>
      </w:pPr>
      <w:r>
        <w:rPr>
          <w:b/>
          <w:bCs/>
        </w:rPr>
        <w:t xml:space="preserve">Summary of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13"/>
        <w:gridCol w:w="2513"/>
      </w:tblGrid>
      <w:tr>
        <w:trPr>
          <w:tblHeader/>
        </w:trPr>
        <w:tc>
          <w:tcPr>
            <w:tcW w:type="dxa" w:w="2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Measure</w:t>
            </w:r>
          </w:p>
        </w:tc>
        <w:tc>
          <w:tcPr>
            <w:tcW w:type="dxa" w:w="2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Working</w:t>
            </w:r>
          </w:p>
        </w:tc>
        <w:tc>
          <w:tcPr>
            <w:tcW w:type="dxa" w:w="2513"/>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Project 1 (LMS)</w:t>
            </w:r>
          </w:p>
        </w:tc>
        <w:tc>
          <w:tcPr>
            <w:tcW w:type="dxa" w:w="2513"/>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Project 2 (ICT alternative)</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Net Present Value (5)</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Disc. benefits − disc. costs</w:t>
            </w:r>
          </w:p>
        </w:tc>
        <w:tc>
          <w:tcPr>
            <w:tcW w:type="dxa" w:w="25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294 000 − 377 000 = </w:t>
            </w:r>
            <w:r>
              <w:rPr>
                <w:b/>
                <w:bCs/>
              </w:rPr>
              <w:t xml:space="preserve">−R83 000</w:t>
            </w:r>
          </w:p>
        </w:tc>
        <w:tc>
          <w:tcPr>
            <w:tcW w:type="dxa" w:w="25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170 850 − 259 500 = </w:t>
            </w:r>
            <w:r>
              <w:rPr>
                <w:b/>
                <w:bCs/>
              </w:rPr>
              <w:t xml:space="preserve">−R88 650</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Return on Investment (5)</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NPV ÷ disc. costs</w:t>
            </w:r>
          </w:p>
        </w:tc>
        <w:tc>
          <w:tcPr>
            <w:tcW w:type="dxa" w:w="25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−83 000 ÷ 377 000 = </w:t>
            </w:r>
            <w:r>
              <w:rPr>
                <w:b/>
                <w:bCs/>
              </w:rPr>
              <w:t xml:space="preserve">−22%</w:t>
            </w:r>
          </w:p>
        </w:tc>
        <w:tc>
          <w:tcPr>
            <w:tcW w:type="dxa" w:w="25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−88 650 ÷ 259 500 = </w:t>
            </w:r>
            <w:r>
              <w:rPr>
                <w:b/>
                <w:bCs/>
              </w:rPr>
              <w:t xml:space="preserve">−34%</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Payback (5)</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When cumulative line reaches 0</w:t>
            </w:r>
          </w:p>
        </w:tc>
        <w:tc>
          <w:tcPr>
            <w:tcW w:type="dxa" w:w="2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No payback in 4 years.</w:t>
            </w:r>
            <w:r>
              <w:t xml:space="preserve"> Still R83 000 short at end of Year 4.</w:t>
            </w:r>
          </w:p>
        </w:tc>
        <w:tc>
          <w:tcPr>
            <w:tcW w:type="dxa" w:w="2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No payback in 4 years.</w:t>
            </w:r>
            <w:r>
              <w:t xml:space="preserve"> Still R88 650 short at end of Year 4.</w:t>
            </w:r>
          </w:p>
        </w:tc>
      </w:tr>
    </w:tbl>
    <w:p>
      <w:pPr>
        <w:spacing w:after="120"/>
      </w:pPr>
      <w:r>
        <w:rPr>
          <w:b/>
          <w:bCs/>
        </w:rPr>
        <w:t xml:space="preserve">Payback in simple words:</w:t>
      </w:r>
      <w:r>
        <w:t xml:space="preserve"> For both projects, the cumulative discounted cash flow is still negative at the end of Year 4. This means neither project pays back its costs within the four years shown. Project 1 gets back more each year (R60 800 – R69 600 a year) than Project 2 (R16 400 – R41 800 a year), so Project 1 is closer to payback and will pay back sooner after Year 4.</w:t>
      </w:r>
    </w:p>
    <w:p>
      <w:pPr>
        <w:pStyle w:val="Heading2"/>
        <w:spacing w:after="120" w:before="220"/>
      </w:pPr>
      <w:r>
        <w:t xml:space="preserve">4.2 Recommendation to top management (5)</w:t>
      </w:r>
    </w:p>
    <w:p>
      <w:pPr>
        <w:spacing w:after="120"/>
      </w:pPr>
      <w:r>
        <w:rPr>
          <w:b/>
          <w:bCs/>
        </w:rPr>
        <w:t xml:space="preserve">I recommend Project 1 – the New Online LMS.</w:t>
      </w:r>
    </w:p>
    <w:p>
      <w:pPr>
        <w:pStyle w:val="ListParagraph"/>
        <w:numPr>
          <w:ilvl w:val="0"/>
          <w:numId w:val="3"/>
        </w:numPr>
        <w:spacing w:after="80"/>
      </w:pPr>
      <w:r>
        <w:rPr>
          <w:b/>
          <w:bCs/>
        </w:rPr>
        <w:t xml:space="preserve">Better NPV:</w:t>
      </w:r>
      <w:r>
        <w:t xml:space="preserve"> Both NPVs are negative over four years, but Project 1 loses less (−R83 000) than Project 2 (−R88 650). Schwalbe states that, when comparing projects, the one with the higher NPV is the better choice.</w:t>
      </w:r>
    </w:p>
    <w:p>
      <w:pPr>
        <w:pStyle w:val="ListParagraph"/>
        <w:numPr>
          <w:ilvl w:val="0"/>
          <w:numId w:val="3"/>
        </w:numPr>
        <w:spacing w:after="80"/>
      </w:pPr>
      <w:r>
        <w:rPr>
          <w:b/>
          <w:bCs/>
        </w:rPr>
        <w:t xml:space="preserve">Better ROI:</w:t>
      </w:r>
      <w:r>
        <w:t xml:space="preserve"> Project 1 has an ROI of −22%, which is much better than −34% for Project 2. For every rand spent, Project 1 gives back more value.</w:t>
      </w:r>
    </w:p>
    <w:p>
      <w:pPr>
        <w:pStyle w:val="ListParagraph"/>
        <w:numPr>
          <w:ilvl w:val="0"/>
          <w:numId w:val="3"/>
        </w:numPr>
        <w:spacing w:after="80"/>
      </w:pPr>
      <w:r>
        <w:rPr>
          <w:b/>
          <w:bCs/>
        </w:rPr>
        <w:t xml:space="preserve">Closer to payback:</w:t>
      </w:r>
      <w:r>
        <w:t xml:space="preserve"> Project 1 produces strong and steady net benefits of about R60 000+ every year. Project 2’s benefits go up and down and are smaller, so it will take longer to pay back.</w:t>
      </w:r>
    </w:p>
    <w:p>
      <w:pPr>
        <w:pStyle w:val="ListParagraph"/>
        <w:numPr>
          <w:ilvl w:val="0"/>
          <w:numId w:val="3"/>
        </w:numPr>
        <w:spacing w:after="80"/>
      </w:pPr>
      <w:r>
        <w:rPr>
          <w:b/>
          <w:bCs/>
        </w:rPr>
        <w:t xml:space="preserve">Strategic need (non-financial reasons):</w:t>
      </w:r>
      <w:r>
        <w:t xml:space="preserve"> The old LMS is outdated and was inherited from the previous Australian authority. Students need registration, study materials, assignments, online assessments and contact with lecturers. These intangible benefits (better student experience, reputation, security) are not fully shown in the numbers.</w:t>
      </w:r>
    </w:p>
    <w:p>
      <w:pPr>
        <w:spacing w:after="120"/>
      </w:pPr>
      <w:r>
        <w:rPr>
          <w:b/>
          <w:bCs/>
        </w:rPr>
        <w:t xml:space="preserve">Warning to management:</w:t>
      </w:r>
      <w:r>
        <w:t xml:space="preserve"> Over the four years shown, neither project fully pays back. Management should accept Project 1 because it is the better of the two and is strategically needed, but should control costs closely and look for extra benefits (for example, saved licence fees of the old system) to reach payback soon after Year 4.</w:t>
      </w:r>
    </w:p>
    <w:p>
      <w:r>
        <w:br w:type="page"/>
      </w:r>
    </w:p>
    <w:p>
      <w:pPr>
        <w:pStyle w:val="Heading1"/>
        <w:spacing w:after="160" w:before="300"/>
      </w:pPr>
      <w:r>
        <w:t xml:space="preserve">QUESTION 5 – Network diagram and critical path [20 marks]</w:t>
      </w:r>
    </w:p>
    <w:p>
      <w:pPr>
        <w:pStyle w:val="Heading2"/>
        <w:spacing w:after="120" w:before="220"/>
      </w:pPr>
      <w:r>
        <w:t xml:space="preserve">i. Activity-on-Node (AON) diagram (10)</w:t>
      </w:r>
    </w:p>
    <w:p>
      <w:pPr>
        <w:spacing w:after="120"/>
      </w:pPr>
      <w:r>
        <w:t xml:space="preserve">The diagram uses the </w:t>
      </w:r>
      <w:r>
        <w:rPr>
          <w:b/>
          <w:bCs/>
        </w:rPr>
        <w:t xml:space="preserve">Figure 2 notation</w:t>
      </w:r>
      <w:r>
        <w:t xml:space="preserve">: top row = Earliest Start | Duration | Earliest Finish; middle = task; bottom row = Latest Start | Float | Latest Finish. Durations are in weeks. Red boxes and arrows show the critical path.</w:t>
      </w:r>
    </w:p>
    <w:p>
      <w:pPr>
        <w:jc w:val="center"/>
      </w:pPr>
      <w:r>
        <w:drawing>
          <wp:inline distT="0" distB="0" distL="0" distR="0">
            <wp:extent cx="5905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248025"/>
                    </a:xfrm>
                    <a:prstGeom prst="rect">
                      <a:avLst/>
                    </a:prstGeom>
                  </pic:spPr>
                </pic:pic>
              </a:graphicData>
            </a:graphic>
          </wp:inline>
        </w:drawing>
      </w:r>
    </w:p>
    <w:p>
      <w:pPr>
        <w:spacing w:after="120"/>
      </w:pPr>
      <w:r>
        <w:rPr>
          <w:b/>
          <w:bCs/>
        </w:rPr>
        <w:t xml:space="preserve">Forward pass and backward pass (how the numbers were found):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150"/>
        <w:gridCol w:w="800"/>
        <w:gridCol w:w="800"/>
        <w:gridCol w:w="800"/>
        <w:gridCol w:w="800"/>
        <w:gridCol w:w="2476"/>
      </w:tblGrid>
      <w:tr>
        <w:trPr>
          <w:tblHeader/>
        </w:trPr>
        <w:tc>
          <w:tcPr>
            <w:tcW w:type="dxa" w:w="8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Task</w:t>
            </w:r>
          </w:p>
        </w:tc>
        <w:tc>
          <w:tcPr>
            <w:tcW w:type="dxa" w:w="14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Predecessors</w:t>
            </w:r>
          </w:p>
        </w:tc>
        <w:tc>
          <w:tcPr>
            <w:tcW w:type="dxa" w:w="115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Duration</w:t>
            </w:r>
          </w:p>
        </w:tc>
        <w:tc>
          <w:tcPr>
            <w:tcW w:type="dxa" w:w="8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ES</w:t>
            </w:r>
          </w:p>
        </w:tc>
        <w:tc>
          <w:tcPr>
            <w:tcW w:type="dxa" w:w="8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EF</w:t>
            </w:r>
          </w:p>
        </w:tc>
        <w:tc>
          <w:tcPr>
            <w:tcW w:type="dxa" w:w="8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LS</w:t>
            </w:r>
          </w:p>
        </w:tc>
        <w:tc>
          <w:tcPr>
            <w:tcW w:type="dxa" w:w="8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LF</w:t>
            </w:r>
          </w:p>
        </w:tc>
        <w:tc>
          <w:tcPr>
            <w:tcW w:type="dxa" w:w="247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Float (LS − ES)</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w:t>
            </w:r>
          </w:p>
        </w:tc>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8</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9</w:t>
            </w:r>
          </w:p>
        </w:tc>
        <w:tc>
          <w:tcPr>
            <w:tcW w:type="dxa" w:w="247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8</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B</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w:t>
            </w:r>
          </w:p>
        </w:tc>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3</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3</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6</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9</w:t>
            </w:r>
          </w:p>
        </w:tc>
        <w:tc>
          <w:tcPr>
            <w:tcW w:type="dxa" w:w="247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6</w:t>
            </w:r>
          </w:p>
        </w:tc>
      </w:tr>
      <w:tr>
        <w:trPr>
          <w:tblHeader w:val="false"/>
        </w:trPr>
        <w:tc>
          <w:tcPr>
            <w:tcW w:type="dxa" w:w="8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C</w:t>
            </w:r>
          </w:p>
        </w:tc>
        <w:tc>
          <w:tcPr>
            <w:tcW w:type="dxa" w:w="14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w:t>
            </w:r>
          </w:p>
        </w:tc>
        <w:tc>
          <w:tcPr>
            <w:tcW w:type="dxa" w:w="115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1</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0</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1</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0</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1</w:t>
            </w:r>
          </w:p>
        </w:tc>
        <w:tc>
          <w:tcPr>
            <w:tcW w:type="dxa" w:w="2476"/>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0</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 B</w:t>
            </w:r>
          </w:p>
        </w:tc>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2</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3</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5</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9</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11</w:t>
            </w:r>
          </w:p>
        </w:tc>
        <w:tc>
          <w:tcPr>
            <w:tcW w:type="dxa" w:w="247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6</w:t>
            </w:r>
          </w:p>
        </w:tc>
      </w:tr>
      <w:tr>
        <w:trPr>
          <w:tblHeader w:val="false"/>
        </w:trPr>
        <w:tc>
          <w:tcPr>
            <w:tcW w:type="dxa" w:w="8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E</w:t>
            </w:r>
          </w:p>
        </w:tc>
        <w:tc>
          <w:tcPr>
            <w:tcW w:type="dxa" w:w="14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C</w:t>
            </w:r>
          </w:p>
        </w:tc>
        <w:tc>
          <w:tcPr>
            <w:tcW w:type="dxa" w:w="115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3</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1</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4</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1</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4</w:t>
            </w:r>
          </w:p>
        </w:tc>
        <w:tc>
          <w:tcPr>
            <w:tcW w:type="dxa" w:w="2476"/>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0</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F</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w:t>
            </w:r>
          </w:p>
        </w:tc>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2</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11</w:t>
            </w:r>
          </w:p>
        </w:tc>
        <w:tc>
          <w:tcPr>
            <w:tcW w:type="dxa" w:w="247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9</w:t>
            </w:r>
          </w:p>
        </w:tc>
      </w:tr>
      <w:tr>
        <w:trPr>
          <w:tblHeader w:val="false"/>
        </w:trPr>
        <w:tc>
          <w:tcPr>
            <w:tcW w:type="dxa" w:w="8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G</w:t>
            </w:r>
          </w:p>
        </w:tc>
        <w:tc>
          <w:tcPr>
            <w:tcW w:type="dxa" w:w="14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E</w:t>
            </w:r>
          </w:p>
        </w:tc>
        <w:tc>
          <w:tcPr>
            <w:tcW w:type="dxa" w:w="115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4</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4</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8</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4</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8</w:t>
            </w:r>
          </w:p>
        </w:tc>
        <w:tc>
          <w:tcPr>
            <w:tcW w:type="dxa" w:w="2476"/>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0</w:t>
            </w:r>
          </w:p>
        </w:tc>
      </w:tr>
      <w:tr>
        <w:trPr>
          <w:tblHeader w:val="false"/>
        </w:trPr>
        <w:tc>
          <w:tcPr>
            <w:tcW w:type="dxa" w:w="8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H</w:t>
            </w:r>
          </w:p>
        </w:tc>
        <w:tc>
          <w:tcPr>
            <w:tcW w:type="dxa" w:w="14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E</w:t>
            </w:r>
          </w:p>
        </w:tc>
        <w:tc>
          <w:tcPr>
            <w:tcW w:type="dxa" w:w="115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4</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4</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8</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4</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8</w:t>
            </w:r>
          </w:p>
        </w:tc>
        <w:tc>
          <w:tcPr>
            <w:tcW w:type="dxa" w:w="2476"/>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0</w:t>
            </w:r>
          </w:p>
        </w:tc>
      </w:tr>
      <w:tr>
        <w:trPr>
          <w:tblHeader w:val="false"/>
        </w:trPr>
        <w:tc>
          <w:tcPr>
            <w:tcW w:type="dxa" w:w="8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I</w:t>
            </w:r>
          </w:p>
        </w:tc>
        <w:tc>
          <w:tcPr>
            <w:tcW w:type="dxa" w:w="14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G, H</w:t>
            </w:r>
          </w:p>
        </w:tc>
        <w:tc>
          <w:tcPr>
            <w:tcW w:type="dxa" w:w="115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3</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8</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11</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8</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11</w:t>
            </w:r>
          </w:p>
        </w:tc>
        <w:tc>
          <w:tcPr>
            <w:tcW w:type="dxa" w:w="2476"/>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0</w:t>
            </w:r>
          </w:p>
        </w:tc>
      </w:tr>
      <w:tr>
        <w:trPr>
          <w:tblHeader w:val="false"/>
        </w:trPr>
        <w:tc>
          <w:tcPr>
            <w:tcW w:type="dxa" w:w="8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J</w:t>
            </w:r>
          </w:p>
        </w:tc>
        <w:tc>
          <w:tcPr>
            <w:tcW w:type="dxa" w:w="14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D, F, I</w:t>
            </w:r>
          </w:p>
        </w:tc>
        <w:tc>
          <w:tcPr>
            <w:tcW w:type="dxa" w:w="115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2</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11</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13</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11</w:t>
            </w:r>
          </w:p>
        </w:tc>
        <w:tc>
          <w:tcPr>
            <w:tcW w:type="dxa" w:w="800"/>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13</w:t>
            </w:r>
          </w:p>
        </w:tc>
        <w:tc>
          <w:tcPr>
            <w:tcW w:type="dxa" w:w="2476"/>
            <w:tcBorders>
              <w:top w:val="single" w:color="999999" w:sz="4"/>
              <w:left w:val="single" w:color="999999" w:sz="4"/>
              <w:bottom w:val="single" w:color="999999" w:sz="4"/>
              <w:right w:val="single" w:color="999999" w:sz="4"/>
            </w:tcBorders>
            <w:shd w:fill="FDE9E7" w:color="auto" w:val="clear"/>
            <w:tcMar>
              <w:top w:type="dxa" w:w="60"/>
              <w:left w:type="dxa" w:w="100"/>
              <w:bottom w:type="dxa" w:w="60"/>
              <w:right w:type="dxa" w:w="100"/>
            </w:tcMar>
          </w:tcPr>
          <w:p>
            <w:r>
              <w:t xml:space="preserve">0</w:t>
            </w:r>
          </w:p>
        </w:tc>
      </w:tr>
    </w:tbl>
    <w:p>
      <w:pPr>
        <w:spacing w:after="120"/>
      </w:pPr>
      <w:r>
        <w:t xml:space="preserve">Forward pass: ES of a task = the largest EF of its predecessors (e.g. ES of D = max(1, 3) = 3; ES of J = max(5, 2, 11) = 11). Backward pass: LF of a task = the smallest LS of the tasks that follow it (e.g. LF of C = min(1, 10) = 1).</w:t>
      </w:r>
    </w:p>
    <w:p>
      <w:pPr>
        <w:pStyle w:val="Heading2"/>
        <w:spacing w:after="120" w:before="220"/>
      </w:pPr>
      <w:r>
        <w:t xml:space="preserve">ii. All paths and their durations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Path</w:t>
            </w:r>
          </w:p>
        </w:tc>
        <w:tc>
          <w:tcPr>
            <w:tcW w:type="dxa" w:w="35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Calculation (weeks)</w:t>
            </w:r>
          </w:p>
        </w:tc>
        <w:tc>
          <w:tcPr>
            <w:tcW w:type="dxa" w:w="25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Duration</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 – D – J</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 + 2 + 2</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5 weeks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B – D – J</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3 + 2 + 2</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7 weeks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 – F – J</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 + 1 + 2</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4 weeks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C – E – G – I – J</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 + 3 + 4 + 3 + 2</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13 weeks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C – E – H – I – J</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 + 3 + 4 + 3 + 2</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13 weeks</w:t>
            </w:r>
          </w:p>
        </w:tc>
      </w:tr>
    </w:tbl>
    <w:p>
      <w:pPr>
        <w:spacing w:after="120"/>
      </w:pPr>
      <w:r>
        <w:t xml:space="preserve">The longest path is 13 weeks, so the shortest time to finish the project is </w:t>
      </w:r>
      <w:r>
        <w:rPr>
          <w:b/>
          <w:bCs/>
        </w:rPr>
        <w:t xml:space="preserve">13 weeks</w:t>
      </w:r>
      <w:r>
        <w:t xml:space="preserve">.</w:t>
      </w:r>
    </w:p>
    <w:p>
      <w:pPr>
        <w:pStyle w:val="Heading2"/>
        <w:spacing w:after="120" w:before="220"/>
      </w:pPr>
      <w:r>
        <w:t xml:space="preserve">iii. Activities with float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Activity</w:t>
            </w:r>
          </w:p>
        </w:tc>
        <w:tc>
          <w:tcPr>
            <w:tcW w:type="dxa" w:w="40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Float (slack)</w:t>
            </w:r>
          </w:p>
        </w:tc>
      </w:tr>
      <w:tr>
        <w:trPr>
          <w:tblHeader w:val="false"/>
        </w:trPr>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 – Initial assessment</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8 weeks</w:t>
            </w:r>
          </w:p>
        </w:tc>
      </w:tr>
      <w:tr>
        <w:trPr>
          <w:tblHeader w:val="false"/>
        </w:trPr>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B – Project goal</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6 weeks</w:t>
            </w:r>
          </w:p>
        </w:tc>
      </w:tr>
      <w:tr>
        <w:trPr>
          <w:tblHeader w:val="false"/>
        </w:trPr>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 – Evaluation of existing systems</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6 weeks</w:t>
            </w:r>
          </w:p>
        </w:tc>
      </w:tr>
      <w:tr>
        <w:trPr>
          <w:tblHeader w:val="false"/>
        </w:trPr>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F – Requirement approval</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9 weeks</w:t>
            </w:r>
          </w:p>
        </w:tc>
      </w:tr>
    </w:tbl>
    <w:p>
      <w:pPr>
        <w:spacing w:after="120"/>
      </w:pPr>
      <w:r>
        <w:t xml:space="preserve">Float means how long a task can be delayed without delaying the end of the project. All other tasks (C, E, G, H, I, J) have zero float.</w:t>
      </w:r>
    </w:p>
    <w:p>
      <w:pPr>
        <w:pStyle w:val="Heading2"/>
        <w:spacing w:after="120" w:before="220"/>
      </w:pPr>
      <w:r>
        <w:t xml:space="preserve">iv. Path(s) that should not be altered (3)</w:t>
      </w:r>
    </w:p>
    <w:p>
      <w:pPr>
        <w:spacing w:after="120"/>
      </w:pPr>
      <w:r>
        <w:t xml:space="preserve">The paths that must not be changed or delayed are the </w:t>
      </w:r>
      <w:r>
        <w:rPr>
          <w:b/>
          <w:bCs/>
        </w:rPr>
        <w:t xml:space="preserve">critical paths</w:t>
      </w:r>
      <w:r>
        <w:t xml:space="preserve"> – the longest paths with zero float:</w:t>
      </w:r>
    </w:p>
    <w:p>
      <w:pPr>
        <w:pStyle w:val="ListParagraph"/>
        <w:numPr>
          <w:ilvl w:val="0"/>
          <w:numId w:val="2"/>
        </w:numPr>
        <w:spacing w:after="80"/>
      </w:pPr>
      <w:r>
        <w:rPr>
          <w:b/>
          <w:bCs/>
        </w:rPr>
        <w:t xml:space="preserve">C – E – G – I – J</w:t>
      </w:r>
      <w:r>
        <w:t xml:space="preserve"> (13 weeks)</w:t>
      </w:r>
    </w:p>
    <w:p>
      <w:pPr>
        <w:pStyle w:val="ListParagraph"/>
        <w:numPr>
          <w:ilvl w:val="0"/>
          <w:numId w:val="2"/>
        </w:numPr>
        <w:spacing w:after="80"/>
      </w:pPr>
      <w:r>
        <w:rPr>
          <w:b/>
          <w:bCs/>
        </w:rPr>
        <w:t xml:space="preserve">C – E – H – I – J</w:t>
      </w:r>
      <w:r>
        <w:t xml:space="preserve"> (13 weeks)</w:t>
      </w:r>
    </w:p>
    <w:p>
      <w:pPr>
        <w:spacing w:after="120"/>
      </w:pPr>
      <w:r>
        <w:t xml:space="preserve">There are two critical paths. If any task on them (C, E, G, H, I or J) is delayed by even one week, the whole project will finish late. The project manager must watch these tasks most closely.</w:t>
      </w:r>
    </w:p>
    <w:p>
      <w:pPr>
        <w:pStyle w:val="Heading1"/>
        <w:spacing w:after="160" w:before="300"/>
      </w:pPr>
      <w:r>
        <w:t xml:space="preserve">QUESTION 6 – Earned value management [15 marks]</w:t>
      </w:r>
    </w:p>
    <w:p>
      <w:pPr>
        <w:spacing w:after="120"/>
      </w:pPr>
      <w:r>
        <w:rPr>
          <w:b/>
          <w:bCs/>
        </w:rPr>
        <w:t xml:space="preserve">Given:</w:t>
      </w:r>
      <w:r>
        <w:t xml:space="preserve"> BAC = R350 000 (6 months); AC = R150 000; PV = R180 000; EV = R170 000; time spent = 3 months.</w:t>
      </w:r>
    </w:p>
    <w:p>
      <w:pPr>
        <w:pStyle w:val="Heading2"/>
        <w:spacing w:after="120" w:before="220"/>
      </w:pPr>
      <w:r>
        <w:t xml:space="preserve">i. CV, SV, CPI and SPI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600"/>
        <w:gridCol w:w="2326"/>
      </w:tblGrid>
      <w:tr>
        <w:trPr>
          <w:tblHeader/>
        </w:trPr>
        <w:tc>
          <w:tcPr>
            <w:tcW w:type="dxa" w:w="26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Measure</w:t>
            </w:r>
          </w:p>
        </w:tc>
        <w:tc>
          <w:tcPr>
            <w:tcW w:type="dxa" w:w="15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Formula</w:t>
            </w:r>
          </w:p>
        </w:tc>
        <w:tc>
          <w:tcPr>
            <w:tcW w:type="dxa" w:w="26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Working</w:t>
            </w:r>
          </w:p>
        </w:tc>
        <w:tc>
          <w:tcPr>
            <w:tcW w:type="dxa" w:w="23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rPr>
              <w:t xml:space="preserve">Answer</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Cost variance (CV)</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EV − AC</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170 000 − 150 000</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R20 000</w:t>
            </w:r>
            <w:r>
              <w:t xml:space="preserve"> (positive)</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Schedule variance (SV)</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EV − PV</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170 000 − 180 000</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−R10 000</w:t>
            </w:r>
            <w:r>
              <w:t xml:space="preserve"> (negative)</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Cost performance index (CPI)</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EV ÷ AC</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170 000 ÷ 150 000</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1.13</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Schedule performance index (SPI)</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EV ÷ PV</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170 000 ÷ 180 000</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0.94</w:t>
            </w:r>
          </w:p>
        </w:tc>
      </w:tr>
    </w:tbl>
    <w:p>
      <w:pPr>
        <w:pStyle w:val="Heading2"/>
        <w:spacing w:after="120" w:before="220"/>
      </w:pPr>
      <w:r>
        <w:t xml:space="preserve">ii. How is the project doing? (2)</w:t>
      </w:r>
    </w:p>
    <w:p>
      <w:pPr>
        <w:pStyle w:val="ListParagraph"/>
        <w:numPr>
          <w:ilvl w:val="0"/>
          <w:numId w:val="2"/>
        </w:numPr>
        <w:spacing w:after="80"/>
      </w:pPr>
      <w:r>
        <w:rPr>
          <w:b/>
          <w:bCs/>
        </w:rPr>
        <w:t xml:space="preserve">Budget: under budget.</w:t>
      </w:r>
      <w:r>
        <w:t xml:space="preserve"> CV is positive (R20 000) and CPI is more than 1 (1.13). We have spent less money than the value of the work done – we get about R1.13 of work for every R1 spent.</w:t>
      </w:r>
    </w:p>
    <w:p>
      <w:pPr>
        <w:pStyle w:val="ListParagraph"/>
        <w:numPr>
          <w:ilvl w:val="0"/>
          <w:numId w:val="2"/>
        </w:numPr>
        <w:spacing w:after="80"/>
      </w:pPr>
      <w:r>
        <w:rPr>
          <w:b/>
          <w:bCs/>
        </w:rPr>
        <w:t xml:space="preserve">Schedule: behind schedule.</w:t>
      </w:r>
      <w:r>
        <w:t xml:space="preserve"> SV is negative (−R10 000) and SPI is less than 1 (0.94). We have done less work than planned by this time – only about 94% of the planned work.</w:t>
      </w:r>
    </w:p>
    <w:p>
      <w:pPr>
        <w:pStyle w:val="Heading2"/>
        <w:spacing w:after="120" w:before="220"/>
      </w:pPr>
      <w:r>
        <w:t xml:space="preserve">iii. Estimate at completion (EAC) using the CPI (2)</w:t>
      </w:r>
    </w:p>
    <w:p>
      <w:pPr>
        <w:spacing w:after="120"/>
      </w:pPr>
      <w:r>
        <w:t xml:space="preserve">EAC = BAC ÷ CPI = 350 000 ÷ 1.1333 = </w:t>
      </w:r>
      <w:r>
        <w:rPr>
          <w:b/>
          <w:bCs/>
        </w:rPr>
        <w:t xml:space="preserve">R308 824</w:t>
      </w:r>
      <w:r>
        <w:t xml:space="preserve"> (rounded). (If the rounded CPI of 1.13 is used, EAC ≈ R309 735.)</w:t>
      </w:r>
    </w:p>
    <w:p>
      <w:pPr>
        <w:spacing w:after="120"/>
      </w:pPr>
      <w:r>
        <w:rPr>
          <w:b/>
          <w:bCs/>
        </w:rPr>
        <w:t xml:space="preserve">Performance:</w:t>
      </w:r>
      <w:r>
        <w:t xml:space="preserve"> The project is performing </w:t>
      </w:r>
      <w:r>
        <w:rPr>
          <w:b/>
          <w:bCs/>
        </w:rPr>
        <w:t xml:space="preserve">well on cost</w:t>
      </w:r>
      <w:r>
        <w:t xml:space="preserve">. It is expected to cost about R308 824, which is about </w:t>
      </w:r>
      <w:r>
        <w:rPr>
          <w:b/>
          <w:bCs/>
        </w:rPr>
        <w:t xml:space="preserve">R41 176 less</w:t>
      </w:r>
      <w:r>
        <w:t xml:space="preserve"> than the original budget of R350 000. The reason is that the CPI is above 1. (Estimate to complete: ETC = EAC − AC = 308 824 − 150 000 = R158 824.)</w:t>
      </w:r>
    </w:p>
    <w:p>
      <w:pPr>
        <w:pStyle w:val="Heading2"/>
        <w:spacing w:after="120" w:before="220"/>
      </w:pPr>
      <w:r>
        <w:t xml:space="preserve">iv. New time estimate using the SPI (2)</w:t>
      </w:r>
    </w:p>
    <w:p>
      <w:pPr>
        <w:spacing w:after="120"/>
      </w:pPr>
      <w:r>
        <w:t xml:space="preserve">New time estimate = original time ÷ SPI = 6 months ÷ 0.9444 = </w:t>
      </w:r>
      <w:r>
        <w:rPr>
          <w:b/>
          <w:bCs/>
        </w:rPr>
        <w:t xml:space="preserve">about 6.35 months</w:t>
      </w:r>
      <w:r>
        <w:t xml:space="preserve"> (roughly 6 months and 11 days). The project will finish about a third of a month late unless the team speeds up, which is a problem because the LMS must be ready for the new academic year.</w:t>
      </w:r>
    </w:p>
    <w:p>
      <w:pPr>
        <w:pStyle w:val="Heading2"/>
        <w:spacing w:after="120" w:before="220"/>
      </w:pPr>
      <w:r>
        <w:t xml:space="preserve">v. Name of the method and its roles (2)</w:t>
      </w:r>
    </w:p>
    <w:p>
      <w:pPr>
        <w:spacing w:after="120"/>
      </w:pPr>
      <w:r>
        <w:t xml:space="preserve">These calculations are part of </w:t>
      </w:r>
      <w:r>
        <w:rPr>
          <w:b/>
          <w:bCs/>
        </w:rPr>
        <w:t xml:space="preserve">Earned Value Management (EVM)</w:t>
      </w:r>
      <w:r>
        <w:t xml:space="preserve">. EVM is a project performance measurement technique that brings together scope, time and cost data.</w:t>
      </w:r>
    </w:p>
    <w:p>
      <w:pPr>
        <w:spacing w:after="120"/>
      </w:pPr>
      <w:r>
        <w:rPr>
          <w:b/>
          <w:bCs/>
        </w:rPr>
        <w:t xml:space="preserve">Roles of EVM:</w:t>
      </w:r>
    </w:p>
    <w:p>
      <w:pPr>
        <w:pStyle w:val="ListParagraph"/>
        <w:numPr>
          <w:ilvl w:val="0"/>
          <w:numId w:val="2"/>
        </w:numPr>
        <w:spacing w:after="80"/>
      </w:pPr>
      <w:r>
        <w:t xml:space="preserve">It measures </w:t>
      </w:r>
      <w:r>
        <w:rPr>
          <w:b/>
          <w:bCs/>
        </w:rPr>
        <w:t xml:space="preserve">how much work is really done</w:t>
      </w:r>
      <w:r>
        <w:t xml:space="preserve"> (EV) and compares it with the plan (PV) and the actual money spent (AC).</w:t>
      </w:r>
    </w:p>
    <w:p>
      <w:pPr>
        <w:pStyle w:val="ListParagraph"/>
        <w:numPr>
          <w:ilvl w:val="0"/>
          <w:numId w:val="2"/>
        </w:numPr>
        <w:spacing w:after="80"/>
      </w:pPr>
      <w:r>
        <w:t xml:space="preserve">It shows early if the project is </w:t>
      </w:r>
      <w:r>
        <w:rPr>
          <w:b/>
          <w:bCs/>
        </w:rPr>
        <w:t xml:space="preserve">over or under budget</w:t>
      </w:r>
      <w:r>
        <w:t xml:space="preserve"> and </w:t>
      </w:r>
      <w:r>
        <w:rPr>
          <w:b/>
          <w:bCs/>
        </w:rPr>
        <w:t xml:space="preserve">ahead of or behind schedule</w:t>
      </w:r>
      <w:r>
        <w:t xml:space="preserve">, so the project manager can act in time.</w:t>
      </w:r>
    </w:p>
    <w:p>
      <w:pPr>
        <w:pStyle w:val="ListParagraph"/>
        <w:numPr>
          <w:ilvl w:val="0"/>
          <w:numId w:val="2"/>
        </w:numPr>
        <w:spacing w:after="80"/>
      </w:pPr>
      <w:r>
        <w:t xml:space="preserve">It </w:t>
      </w:r>
      <w:r>
        <w:rPr>
          <w:b/>
          <w:bCs/>
        </w:rPr>
        <w:t xml:space="preserve">forecasts</w:t>
      </w:r>
      <w:r>
        <w:t xml:space="preserve"> the final cost (EAC) and the final finish time, which helps top management make decisions.</w:t>
      </w:r>
    </w:p>
    <w:p>
      <w:pPr>
        <w:pStyle w:val="ListParagraph"/>
        <w:numPr>
          <w:ilvl w:val="0"/>
          <w:numId w:val="2"/>
        </w:numPr>
        <w:spacing w:after="80"/>
      </w:pPr>
      <w:r>
        <w:t xml:space="preserve">It gives clear, number-based </w:t>
      </w:r>
      <w:r>
        <w:rPr>
          <w:b/>
          <w:bCs/>
        </w:rPr>
        <w:t xml:space="preserve">progress reports</w:t>
      </w:r>
      <w:r>
        <w:t xml:space="preserve"> to stakeholders.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283"/>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4E79"/>
      <w:sz w:val="30"/>
      <w:szCs w:val="30"/>
    </w:rPr>
  </w:style>
  <w:style w:type="paragraph" w:styleId="Heading2">
    <w:name w:val="Heading 2"/>
    <w:basedOn w:val="Normal"/>
    <w:next w:val="Normal"/>
    <w:qFormat/>
    <w:pPr>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cab882086e95d9e109bf08e52ccac2a3934018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INF3708 Practice Test Answers</dc:title>
  <dc:creator>INF3708 student</dc:creator>
  <cp:lastModifiedBy>Un-named</cp:lastModifiedBy>
  <cp:revision>1</cp:revision>
  <dcterms:created xsi:type="dcterms:W3CDTF">2026-10-06T06:38:48.983Z</dcterms:created>
  <dcterms:modified xsi:type="dcterms:W3CDTF">2026-10-06T06:38:48.984Z</dcterms:modified>
</cp:coreProperties>
</file>

<file path=docProps/custom.xml><?xml version="1.0" encoding="utf-8"?>
<Properties xmlns="http://schemas.openxmlformats.org/officeDocument/2006/custom-properties" xmlns:vt="http://schemas.openxmlformats.org/officeDocument/2006/docPropsVTypes"/>
</file>