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emf" ContentType="image/x-emf"/>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9783" w:type="dxa"/>
        <w:tblLayout w:type="fixed"/>
        <w:tblCellMar>
          <w:left w:w="144" w:type="dxa"/>
          <w:right w:w="144" w:type="dxa"/>
        </w:tblCellMar>
        <w:tblLook w:val="0000"/>
      </w:tblPr>
      <w:tblGrid>
        <w:gridCol w:w="4964"/>
        <w:gridCol w:w="4819"/>
      </w:tblGrid>
      <w:tr>
        <w:trPr>
          <w:trHeight w:val="720"/>
        </w:trPr>
        <w:tc>
          <w:tcPr>
            <w:tcW w:w="4964" w:type="dxa"/>
          </w:tcPr>
          <w:p>
            <w:pPr>
              <w:pStyle w:val="CompanyInfo"/>
            </w:pPr>
            <w:r>
              <w:fldChar w:fldCharType="begin"/>
            </w:r>
            <w:r>
              <w:instrText>MACROBUTTON DoFieldClick [</w:instrText>
            </w:r>
            <w:r>
              <w:rPr>
                <w:b/>
              </w:rPr>
              <w:instrText>Street Address</w:instrText>
            </w:r>
            <w:r>
              <w:instrText>]</w:instrText>
            </w:r>
            <w:r>
              <w:fldChar w:fldCharType="end"/>
            </w:r>
          </w:p>
          <w:p>
            <w:pPr>
              <w:pStyle w:val="CompanyInfo"/>
            </w:pPr>
            <w:r>
              <w:fldChar w:fldCharType="begin"/>
            </w:r>
            <w:r>
              <w:instrText>MACROBUTTON DoFieldClick [</w:instrText>
            </w:r>
            <w:r>
              <w:rPr>
                <w:b/>
              </w:rPr>
              <w:instrText>City, ST  Zip Code</w:instrText>
            </w:r>
            <w:r>
              <w:instrText>]</w:instrText>
            </w:r>
            <w:r>
              <w:fldChar w:fldCharType="end"/>
            </w:r>
          </w:p>
          <w:p>
            <w:pPr>
              <w:pStyle w:val="CompanyInfo"/>
            </w:pPr>
            <w:r>
              <w:fldChar w:fldCharType="begin"/>
            </w:r>
            <w:r>
              <w:instrText>MACROBUTTON DoFieldClick [</w:instrText>
            </w:r>
            <w:r>
              <w:rPr>
                <w:b/>
              </w:rPr>
              <w:instrText>phone</w:instrText>
            </w:r>
            <w:r>
              <w:instrText>]</w:instrText>
            </w:r>
            <w:r>
              <w:fldChar w:fldCharType="end"/>
            </w:r>
          </w:p>
          <w:p>
            <w:pPr>
              <w:pStyle w:val="CompanyInfo"/>
            </w:pPr>
            <w:r>
              <w:fldChar w:fldCharType="begin"/>
            </w:r>
            <w:r>
              <w:instrText>MACROBUTTON DoFieldClick [</w:instrText>
            </w:r>
            <w:r>
              <w:rPr>
                <w:b/>
              </w:rPr>
              <w:instrText>fax</w:instrText>
            </w:r>
            <w:r>
              <w:instrText>]</w:instrText>
            </w:r>
            <w:r>
              <w:fldChar w:fldCharType="end"/>
            </w:r>
          </w:p>
          <w:p>
            <w:pPr>
              <w:pStyle w:val="CompanyInfo"/>
            </w:pPr>
            <w:r>
              <w:fldChar w:fldCharType="begin"/>
            </w:r>
            <w:r>
              <w:instrText>MACROBUTTON DoFieldClick [</w:instrText>
            </w:r>
            <w:r>
              <w:rPr>
                <w:b/>
              </w:rPr>
              <w:instrText>Web address</w:instrText>
            </w:r>
            <w:r>
              <w:instrText>]</w:instrText>
            </w:r>
            <w:r>
              <w:fldChar w:fldCharType="end"/>
            </w:r>
          </w:p>
        </w:tc>
        <w:tc>
          <w:tcPr>
            <w:tcW w:w="4819" w:type="dxa"/>
          </w:tcPr>
          <w:p>
            <w:pPr>
              <w:pStyle w:val="CompanyInfo"/>
              <w:jc w:val="right"/>
            </w:pPr>
            <w:r>
              <w:rPr>
                <w:noProof/>
              </w:rPr>
              <w:drawing>
                <wp:inline distT="0" distB="0" distL="0" distR="0">
                  <wp:extent cx="1940000" cy="540000"/>
                  <wp:effectExtent l="19050" t="0" r="3100" b="0"/>
                  <wp:docPr id="1" name="Picture 0" descr="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jpg"/>
                          <pic:cNvPicPr/>
                        </pic:nvPicPr>
                        <pic:blipFill>
                          <a:blip r:embed="rId7"/>
                          <a:stretch>
                            <a:fillRect/>
                          </a:stretch>
                        </pic:blipFill>
                        <pic:spPr>
                          <a:xfrm>
                            <a:off x="0" y="0"/>
                            <a:ext cx="1940000" cy="540000"/>
                          </a:xfrm>
                          <a:prstGeom prst="rect">
                            <a:avLst/>
                          </a:prstGeom>
                        </pic:spPr>
                      </pic:pic>
                    </a:graphicData>
                  </a:graphic>
                </wp:inline>
              </w:drawing>
            </w:r>
          </w:p>
        </w:tc>
      </w:tr>
    </w:tbl>
    <w:p>
      <w:pPr>
        <w:pStyle w:val="DocumentLabel"/>
        <w:tabs>
          <w:tab w:val="left" w:pos="5760"/>
        </w:tabs>
      </w:pPr>
      <w:r>
        <w:t>Fax</w:t>
      </w:r>
    </w:p>
    <w:tbl>
      <w:tblPr>
        <w:tblW w:w="0" w:type="auto"/>
        <w:tblLayout w:type="fixed"/>
        <w:tblLook w:val="04A0"/>
      </w:tblPr>
      <w:tblGrid>
        <w:gridCol w:w="1134"/>
        <w:gridCol w:w="3742"/>
        <w:gridCol w:w="1134"/>
        <w:gridCol w:w="3742"/>
      </w:tblGrid>
      <w:tr>
        <w:trPr>
          <w:trHeight w:val="567"/>
        </w:trPr>
        <w:tc>
          <w:tcPr>
            <w:tcW w:w="1134" w:type="dxa"/>
            <w:tcBorders>
              <w:bottom w:val="single" w:sz="6" w:space="0" w:color="auto"/>
            </w:tcBorders>
            <w:vAlign w:val="center"/>
          </w:tcPr>
          <w:p>
            <w:pPr>
              <w:pStyle w:val="MessageHeader"/>
              <w:rPr>
                <w:b w:val="0"/>
              </w:rPr>
            </w:pPr>
            <w:r>
              <w:rPr>
                <w:b w:val="0"/>
              </w:rPr>
              <w:t>To:</w:t>
            </w:r>
          </w:p>
        </w:tc>
        <w:tc>
          <w:tcPr>
            <w:tcW w:w="3742" w:type="dxa"/>
            <w:tcBorders>
              <w:bottom w:val="single" w:sz="6" w:space="0" w:color="auto"/>
            </w:tcBorders>
            <w:vAlign w:val="center"/>
          </w:tcPr>
          <w:p>
            <w:pPr>
              <w:pStyle w:val="MessageHeader"/>
            </w:pPr>
          </w:p>
        </w:tc>
        <w:tc>
          <w:tcPr>
            <w:tcW w:w="1134" w:type="dxa"/>
            <w:tcBorders>
              <w:bottom w:val="single" w:sz="6" w:space="0" w:color="auto"/>
            </w:tcBorders>
            <w:vAlign w:val="center"/>
          </w:tcPr>
          <w:p>
            <w:pPr>
              <w:pStyle w:val="MessageHeader"/>
              <w:rPr>
                <w:b w:val="0"/>
              </w:rPr>
            </w:pPr>
            <w:r>
              <w:rPr>
                <w:b w:val="0"/>
              </w:rPr>
              <w:t>From:</w:t>
            </w:r>
          </w:p>
        </w:tc>
        <w:tc>
          <w:tcPr>
            <w:tcW w:w="3742" w:type="dxa"/>
            <w:tcBorders>
              <w:bottom w:val="single" w:sz="6" w:space="0" w:color="auto"/>
            </w:tcBorders>
            <w:vAlign w:val="center"/>
          </w:tcPr>
          <w:p>
            <w:pPr>
              <w:pStyle w:val="MessageHeader"/>
            </w:pPr>
            <w:fldSimple w:instr=" AUTHOR   \* MERGEFORMAT ">
              <w:r>
                <w:rPr>
                  <w:noProof/>
                </w:rPr>
                <w:t>Judith Engelkamp</w:t>
              </w:r>
            </w:fldSimple>
          </w:p>
        </w:tc>
      </w:tr>
      <w:tr>
        <w:trPr>
          <w:trHeight w:val="567"/>
        </w:trPr>
        <w:tc>
          <w:tcPr>
            <w:tcW w:w="1134" w:type="dxa"/>
            <w:tcBorders>
              <w:top w:val="single" w:sz="6" w:space="0" w:color="auto"/>
              <w:bottom w:val="single" w:sz="6" w:space="0" w:color="auto"/>
            </w:tcBorders>
            <w:vAlign w:val="center"/>
          </w:tcPr>
          <w:p>
            <w:pPr>
              <w:pStyle w:val="MessageHeader"/>
              <w:rPr>
                <w:b w:val="0"/>
              </w:rPr>
            </w:pPr>
            <w:r>
              <w:rPr>
                <w:b w:val="0"/>
              </w:rPr>
              <w:t>Fax:</w:t>
            </w:r>
          </w:p>
        </w:tc>
        <w:tc>
          <w:tcPr>
            <w:tcW w:w="3742" w:type="dxa"/>
            <w:tcBorders>
              <w:top w:val="single" w:sz="6" w:space="0" w:color="auto"/>
              <w:bottom w:val="single" w:sz="6" w:space="0" w:color="auto"/>
            </w:tcBorders>
            <w:vAlign w:val="center"/>
          </w:tcPr>
          <w:p>
            <w:pPr>
              <w:pStyle w:val="MessageHeader"/>
            </w:pPr>
          </w:p>
        </w:tc>
        <w:tc>
          <w:tcPr>
            <w:tcW w:w="1134" w:type="dxa"/>
            <w:tcBorders>
              <w:top w:val="single" w:sz="6" w:space="0" w:color="auto"/>
              <w:bottom w:val="single" w:sz="6" w:space="0" w:color="auto"/>
            </w:tcBorders>
            <w:vAlign w:val="center"/>
          </w:tcPr>
          <w:p>
            <w:pPr>
              <w:pStyle w:val="MessageHeader"/>
              <w:rPr>
                <w:b w:val="0"/>
              </w:rPr>
            </w:pPr>
            <w:r>
              <w:rPr>
                <w:b w:val="0"/>
              </w:rPr>
              <w:t>Pages:</w:t>
            </w:r>
          </w:p>
        </w:tc>
        <w:tc>
          <w:tcPr>
            <w:tcW w:w="3742" w:type="dxa"/>
            <w:tcBorders>
              <w:top w:val="single" w:sz="6" w:space="0" w:color="auto"/>
              <w:bottom w:val="single" w:sz="6" w:space="0" w:color="auto"/>
            </w:tcBorders>
            <w:vAlign w:val="center"/>
          </w:tcPr>
          <w:p>
            <w:pPr>
              <w:pStyle w:val="MessageHeader"/>
            </w:pPr>
            <w:fldSimple w:instr=" NUMPAGES   \* MERGEFORMAT ">
              <w:r>
                <w:rPr>
                  <w:noProof/>
                </w:rPr>
                <w:t>2</w:t>
              </w:r>
            </w:fldSimple>
          </w:p>
        </w:tc>
      </w:tr>
      <w:tr>
        <w:trPr>
          <w:trHeight w:val="567"/>
        </w:trPr>
        <w:tc>
          <w:tcPr>
            <w:tcW w:w="1134" w:type="dxa"/>
            <w:tcBorders>
              <w:top w:val="single" w:sz="6" w:space="0" w:color="auto"/>
              <w:bottom w:val="single" w:sz="6" w:space="0" w:color="auto"/>
            </w:tcBorders>
            <w:vAlign w:val="center"/>
          </w:tcPr>
          <w:p>
            <w:pPr>
              <w:pStyle w:val="MessageHeader"/>
              <w:rPr>
                <w:b w:val="0"/>
              </w:rPr>
            </w:pPr>
            <w:r>
              <w:rPr>
                <w:b w:val="0"/>
              </w:rPr>
              <w:t>Phone:</w:t>
            </w:r>
          </w:p>
        </w:tc>
        <w:tc>
          <w:tcPr>
            <w:tcW w:w="3742" w:type="dxa"/>
            <w:tcBorders>
              <w:top w:val="single" w:sz="6" w:space="0" w:color="auto"/>
              <w:bottom w:val="single" w:sz="6" w:space="0" w:color="auto"/>
            </w:tcBorders>
            <w:vAlign w:val="center"/>
          </w:tcPr>
          <w:p>
            <w:pPr>
              <w:pStyle w:val="MessageHeader"/>
            </w:pPr>
          </w:p>
        </w:tc>
        <w:tc>
          <w:tcPr>
            <w:tcW w:w="1134" w:type="dxa"/>
            <w:tcBorders>
              <w:top w:val="single" w:sz="6" w:space="0" w:color="auto"/>
              <w:bottom w:val="single" w:sz="6" w:space="0" w:color="auto"/>
            </w:tcBorders>
            <w:vAlign w:val="center"/>
          </w:tcPr>
          <w:p>
            <w:pPr>
              <w:pStyle w:val="MessageHeader"/>
              <w:rPr>
                <w:b w:val="0"/>
              </w:rPr>
            </w:pPr>
            <w:r>
              <w:rPr>
                <w:b w:val="0"/>
              </w:rPr>
              <w:t>Date:</w:t>
            </w:r>
          </w:p>
        </w:tc>
        <w:tc>
          <w:tcPr>
            <w:tcW w:w="3742" w:type="dxa"/>
            <w:tcBorders>
              <w:top w:val="single" w:sz="6" w:space="0" w:color="auto"/>
              <w:bottom w:val="single" w:sz="6" w:space="0" w:color="auto"/>
            </w:tcBorders>
            <w:vAlign w:val="center"/>
          </w:tcPr>
          <w:p>
            <w:pPr>
              <w:pStyle w:val="MessageHeader"/>
            </w:pPr>
            <w:fldSimple w:instr=" CREATEDATE  \@ &quot;d MMMM yyyy&quot;  \* MERGEFORMAT ">
              <w:r>
                <w:rPr>
                  <w:noProof/>
                </w:rPr>
                <w:t>4 June 2008</w:t>
              </w:r>
            </w:fldSimple>
          </w:p>
        </w:tc>
      </w:tr>
      <w:tr>
        <w:trPr>
          <w:trHeight w:val="567"/>
        </w:trPr>
        <w:tc>
          <w:tcPr>
            <w:tcW w:w="1134" w:type="dxa"/>
            <w:tcBorders>
              <w:top w:val="single" w:sz="6" w:space="0" w:color="auto"/>
              <w:bottom w:val="single" w:sz="6" w:space="0" w:color="auto"/>
            </w:tcBorders>
            <w:vAlign w:val="center"/>
          </w:tcPr>
          <w:p>
            <w:pPr>
              <w:pStyle w:val="MessageHeader"/>
              <w:rPr>
                <w:b w:val="0"/>
              </w:rPr>
            </w:pPr>
            <w:r>
              <w:rPr>
                <w:b w:val="0"/>
              </w:rPr>
              <w:t>Re:</w:t>
            </w:r>
          </w:p>
        </w:tc>
        <w:tc>
          <w:tcPr>
            <w:tcW w:w="8618" w:type="dxa"/>
            <w:gridSpan w:val="3"/>
            <w:tcBorders>
              <w:top w:val="single" w:sz="6" w:space="0" w:color="auto"/>
              <w:bottom w:val="single" w:sz="6" w:space="0" w:color="auto"/>
            </w:tcBorders>
            <w:vAlign w:val="center"/>
          </w:tcPr>
          <w:p>
            <w:pPr>
              <w:pStyle w:val="MessageHeader"/>
            </w:pPr>
          </w:p>
        </w:tc>
      </w:tr>
    </w:tbl>
    <w:p/>
    <w:tbl>
      <w:tblPr>
        <w:tblStyle w:val="TableGrid"/>
        <w:tblW w:w="0" w:type="auto"/>
        <w:tblLayout w:type="fixed"/>
        <w:tblLook w:val="04A0"/>
      </w:tblPr>
      <w:tblGrid>
        <w:gridCol w:w="284"/>
        <w:gridCol w:w="1418"/>
        <w:gridCol w:w="284"/>
        <w:gridCol w:w="1588"/>
        <w:gridCol w:w="284"/>
        <w:gridCol w:w="1928"/>
        <w:gridCol w:w="284"/>
        <w:gridCol w:w="1588"/>
        <w:gridCol w:w="284"/>
        <w:gridCol w:w="1814"/>
      </w:tblGrid>
      <w:tr>
        <w:tc>
          <w:tcPr>
            <w:tcW w:w="284" w:type="dxa"/>
            <w:tcBorders>
              <w:right w:val="single" w:sz="6" w:space="0" w:color="auto"/>
            </w:tcBorders>
          </w:tcPr>
          <w:p>
            <w:pPr>
              <w:pStyle w:val="UrgentLine"/>
            </w:pPr>
          </w:p>
        </w:tc>
        <w:tc>
          <w:tcPr>
            <w:tcW w:w="1418" w:type="dxa"/>
            <w:tcBorders>
              <w:top w:val="nil"/>
              <w:left w:val="single" w:sz="6" w:space="0" w:color="auto"/>
              <w:bottom w:val="nil"/>
              <w:right w:val="single" w:sz="6" w:space="0" w:color="auto"/>
            </w:tcBorders>
          </w:tcPr>
          <w:p>
            <w:pPr>
              <w:pStyle w:val="UrgentLine"/>
            </w:pPr>
            <w:r>
              <w:t>Urgent</w:t>
            </w:r>
          </w:p>
        </w:tc>
        <w:tc>
          <w:tcPr>
            <w:tcW w:w="284" w:type="dxa"/>
            <w:tcBorders>
              <w:left w:val="single" w:sz="6" w:space="0" w:color="auto"/>
              <w:right w:val="single" w:sz="6" w:space="0" w:color="auto"/>
            </w:tcBorders>
          </w:tcPr>
          <w:p>
            <w:pPr>
              <w:pStyle w:val="UrgentLine"/>
            </w:pPr>
          </w:p>
        </w:tc>
        <w:tc>
          <w:tcPr>
            <w:tcW w:w="1588" w:type="dxa"/>
            <w:tcBorders>
              <w:top w:val="nil"/>
              <w:left w:val="single" w:sz="6" w:space="0" w:color="auto"/>
              <w:bottom w:val="nil"/>
              <w:right w:val="single" w:sz="6" w:space="0" w:color="auto"/>
            </w:tcBorders>
          </w:tcPr>
          <w:p>
            <w:pPr>
              <w:pStyle w:val="UrgentLine"/>
            </w:pPr>
            <w:r>
              <w:t>For Review</w:t>
            </w:r>
          </w:p>
        </w:tc>
        <w:tc>
          <w:tcPr>
            <w:tcW w:w="284" w:type="dxa"/>
            <w:tcBorders>
              <w:left w:val="single" w:sz="6" w:space="0" w:color="auto"/>
              <w:right w:val="single" w:sz="4" w:space="0" w:color="auto"/>
            </w:tcBorders>
          </w:tcPr>
          <w:p>
            <w:pPr>
              <w:pStyle w:val="UrgentLine"/>
            </w:pPr>
          </w:p>
        </w:tc>
        <w:tc>
          <w:tcPr>
            <w:tcW w:w="1928" w:type="dxa"/>
            <w:tcBorders>
              <w:top w:val="nil"/>
              <w:left w:val="single" w:sz="4" w:space="0" w:color="auto"/>
              <w:bottom w:val="nil"/>
              <w:right w:val="single" w:sz="4" w:space="0" w:color="auto"/>
            </w:tcBorders>
          </w:tcPr>
          <w:p>
            <w:pPr>
              <w:pStyle w:val="UrgentLine"/>
            </w:pPr>
            <w:r>
              <w:t>Please Comment</w:t>
            </w:r>
          </w:p>
        </w:tc>
        <w:tc>
          <w:tcPr>
            <w:tcW w:w="284" w:type="dxa"/>
            <w:tcBorders>
              <w:left w:val="single" w:sz="4" w:space="0" w:color="auto"/>
              <w:right w:val="single" w:sz="4" w:space="0" w:color="auto"/>
            </w:tcBorders>
          </w:tcPr>
          <w:p>
            <w:pPr>
              <w:pStyle w:val="UrgentLine"/>
            </w:pPr>
          </w:p>
        </w:tc>
        <w:tc>
          <w:tcPr>
            <w:tcW w:w="1588" w:type="dxa"/>
            <w:tcBorders>
              <w:top w:val="nil"/>
              <w:left w:val="single" w:sz="4" w:space="0" w:color="auto"/>
              <w:bottom w:val="nil"/>
              <w:right w:val="single" w:sz="4" w:space="0" w:color="auto"/>
            </w:tcBorders>
          </w:tcPr>
          <w:p>
            <w:pPr>
              <w:pStyle w:val="UrgentLine"/>
            </w:pPr>
            <w:r>
              <w:t>Please Reply</w:t>
            </w:r>
          </w:p>
        </w:tc>
        <w:tc>
          <w:tcPr>
            <w:tcW w:w="284" w:type="dxa"/>
            <w:tcBorders>
              <w:left w:val="single" w:sz="4" w:space="0" w:color="auto"/>
              <w:right w:val="single" w:sz="4" w:space="0" w:color="auto"/>
            </w:tcBorders>
          </w:tcPr>
          <w:p>
            <w:pPr>
              <w:pStyle w:val="UrgentLine"/>
            </w:pPr>
          </w:p>
        </w:tc>
        <w:tc>
          <w:tcPr>
            <w:tcW w:w="1814" w:type="dxa"/>
            <w:tcBorders>
              <w:top w:val="nil"/>
              <w:left w:val="single" w:sz="4" w:space="0" w:color="auto"/>
              <w:bottom w:val="nil"/>
              <w:right w:val="nil"/>
            </w:tcBorders>
          </w:tcPr>
          <w:p>
            <w:pPr>
              <w:pStyle w:val="UrgentLine"/>
            </w:pPr>
            <w:r>
              <w:t>Please Recycle</w:t>
            </w:r>
          </w:p>
        </w:tc>
      </w:tr>
    </w:tbl>
    <w:p/>
    <w:p>
      <w:r>
        <w:rPr>
          <w:rStyle w:val="Emphasis"/>
        </w:rPr>
        <w:t>Message:</w:t>
      </w:r>
      <w:r>
        <w:t xml:space="preserve"> </w:t>
      </w:r>
    </w:p>
    <w:p>
      <w:r>
        <w:t>Type your fax text here.</w:t>
      </w:r>
    </w:p>
    <w:p>
      <w:r>
        <w:t>This is an ODF-compatible template for faxes. It is based on A4 format. To have the corresponding template for paper in US Letter format, adapt the page setup.</w:t>
      </w:r>
    </w:p>
    <w:p>
      <w:pPr>
        <w:pStyle w:val="Heading1"/>
      </w:pPr>
      <w:r>
        <w:t>What to Expect</w:t>
      </w:r>
    </w:p>
    <w:p>
      <w:r>
        <w:t>The ODF-compatible templates have been developed to facilitate and improve document exchange between OpenXML and ODF.</w:t>
      </w:r>
    </w:p>
    <w:p>
      <w:r>
        <w:t xml:space="preserve">When creating a document based on these templates and following the guidelines below, you can expect conversion of the document to ODF to result in a document which looks nearly identical to the same document in OpenOffice, though the page breaks might be slightly different. </w:t>
      </w:r>
    </w:p>
    <w:p>
      <w:r>
        <w:t>“Round-trip” conversion quality is not yet perfect. Round-trip conversion means converting a document to ODF, editing the document in OpenOffice and then reconverting it to OpenXML. There are still a number of known bugs documented on Source Forge. For example, standard tables are shifted to the right by 0.19 cm in each conversion cycle. This is hardly relevant if you perform only one conversion, but as soon as a document has been put through several revision cycles in a mixed word processor environment this has to be manually corrected at the end of the editing process. Another example is the handling of headers, footers and page margins, for which conversion has also not yet been perfected.</w:t>
      </w:r>
    </w:p>
    <w:p>
      <w:r>
        <w:t>Thus, in order for longer documents to be edited in a mixed word processor environment it is advisable to keep the document as plain as possible during the editing phase. Adding section breaks, headers and footers etc. should be done at the end of the editing phase when no more round-trip conversion is necessary.</w:t>
      </w:r>
    </w:p>
    <w:p>
      <w:pPr>
        <w:pStyle w:val="Heading1"/>
      </w:pPr>
      <w:r>
        <w:t>Converter Message</w:t>
      </w:r>
    </w:p>
    <w:p>
      <w:r>
        <w:t>Upon saving a document based on this template in ODF the converter pops up a warning message about elements possibly being lost even though conversion of the document is successful. The reason for the warning messages is on account of elements (e.g. lists) which might not be properly converted if not properly formatted. List formatting is (not yet) checked by the converter, i.e. the message pops up as soon as any list is encountered in the document. The same applies to other critical elements, e.g. resized images. This is a converter shortcoming that might be improved in a future version.</w:t>
      </w:r>
    </w:p>
    <w:p>
      <w:pPr>
        <w:pStyle w:val="Heading1"/>
      </w:pPr>
      <w:r>
        <w:lastRenderedPageBreak/>
        <w:t>How-to Guide</w:t>
      </w:r>
    </w:p>
    <w:p>
      <w:r>
        <w:t>To retain the ODF compatibility of a document, follow the guidelines below.</w:t>
      </w:r>
    </w:p>
    <w:p>
      <w:r>
        <w:t>Note: Converter development is ongoing, many of the tricks listed below will be no longer necessary with the next converter version. Thus, it’s worth keeping abreast of developments. The next version is scheduled for publication in August 2008.</w:t>
      </w:r>
    </w:p>
    <w:p>
      <w:pPr>
        <w:pStyle w:val="Heading1"/>
      </w:pPr>
      <w:r>
        <w:t>Converter</w:t>
      </w:r>
    </w:p>
    <w:p>
      <w:pPr>
        <w:keepNext/>
      </w:pPr>
      <w:bookmarkStart w:id="0" w:name="_Toc195079809"/>
      <w:r>
        <w:t>There are two converters which can be used to convert between ODF and OpenXML:</w:t>
      </w:r>
    </w:p>
    <w:p>
      <w:pPr>
        <w:numPr>
          <w:ilvl w:val="0"/>
          <w:numId w:val="14"/>
        </w:numPr>
      </w:pPr>
      <w:r>
        <w:t>The OpenXML/ODF Translator integrated in Word 2007.</w:t>
      </w:r>
    </w:p>
    <w:p>
      <w:pPr>
        <w:numPr>
          <w:ilvl w:val="0"/>
          <w:numId w:val="14"/>
        </w:numPr>
      </w:pPr>
      <w:r>
        <w:t>The OpenXML converter integrated in OpenOffice Writer.</w:t>
      </w:r>
    </w:p>
    <w:p>
      <w:r>
        <w:t>The second one is available in the beta version of OpenOffice 3.0 und is still under development. For the time being it is advisable to use the first converter (integrated in Word 2007). The second one is not yet as powerful as the first one, i.e. it is not able to retain the layout of documents created on the basis of the ODF-compatible templates.</w:t>
      </w:r>
    </w:p>
    <w:p>
      <w:pPr>
        <w:pStyle w:val="Heading2"/>
        <w:tabs>
          <w:tab w:val="num" w:pos="0"/>
        </w:tabs>
      </w:pPr>
      <w:bookmarkStart w:id="1" w:name="_Toc201471325"/>
      <w:bookmarkStart w:id="2" w:name="_Toc201471655"/>
      <w:bookmarkStart w:id="3" w:name="_Toc201472243"/>
      <w:bookmarkStart w:id="4" w:name="_Toc201547660"/>
      <w:bookmarkEnd w:id="0"/>
      <w:r>
        <w:t>Page Numbering</w:t>
      </w:r>
      <w:bookmarkEnd w:id="1"/>
      <w:bookmarkEnd w:id="2"/>
      <w:bookmarkEnd w:id="3"/>
      <w:bookmarkEnd w:id="4"/>
    </w:p>
    <w:p>
      <w:pPr>
        <w:tabs>
          <w:tab w:val="num" w:pos="0"/>
        </w:tabs>
      </w:pPr>
      <w:r>
        <w:rPr>
          <w:lang w:bidi="en-US"/>
        </w:rPr>
        <w:t xml:space="preserve">If you use section breaks: the page numbering between sections should be set to “continue from previous section”. Starting at a specific page offset is supported differently in the two file formats and would not be properly retained. </w:t>
      </w:r>
    </w:p>
    <w:p>
      <w:pPr>
        <w:pStyle w:val="Heading2"/>
      </w:pPr>
      <w:bookmarkStart w:id="5" w:name="_Toc195079810"/>
      <w:bookmarkStart w:id="6" w:name="_Toc201471326"/>
      <w:bookmarkStart w:id="7" w:name="_Toc201471656"/>
      <w:bookmarkStart w:id="8" w:name="_Toc201472244"/>
      <w:bookmarkStart w:id="9" w:name="_Toc201547661"/>
      <w:r>
        <w:t>Styles</w:t>
      </w:r>
      <w:bookmarkEnd w:id="5"/>
      <w:bookmarkEnd w:id="6"/>
      <w:bookmarkEnd w:id="7"/>
      <w:bookmarkEnd w:id="8"/>
      <w:bookmarkEnd w:id="9"/>
    </w:p>
    <w:p>
      <w:pPr>
        <w:rPr>
          <w:lang w:bidi="en-US"/>
        </w:rPr>
      </w:pPr>
      <w:r>
        <w:rPr>
          <w:lang w:bidi="en-US"/>
        </w:rPr>
        <w:t xml:space="preserve">The template comes with a set of ODF-compatible styles which might already be sufficient for formatting the report. If necessary, new styles can be defined. </w:t>
      </w:r>
    </w:p>
    <w:p>
      <w:pPr>
        <w:tabs>
          <w:tab w:val="num" w:pos="0"/>
        </w:tabs>
      </w:pPr>
      <w:r>
        <w:t>Complex outline level numbering for list or paragraph numbering should be avoided since it is a known issue that ODF and OpenXML are not compatible in this respect.</w:t>
      </w:r>
    </w:p>
    <w:p>
      <w:pPr>
        <w:pStyle w:val="Heading2"/>
        <w:tabs>
          <w:tab w:val="num" w:pos="0"/>
        </w:tabs>
      </w:pPr>
      <w:bookmarkStart w:id="10" w:name="_Toc198435262"/>
      <w:bookmarkStart w:id="11" w:name="_Toc201471327"/>
      <w:bookmarkStart w:id="12" w:name="_Toc201471657"/>
      <w:bookmarkStart w:id="13" w:name="_Toc201472245"/>
      <w:bookmarkStart w:id="14" w:name="_Toc201547662"/>
      <w:r>
        <w:t>Header/Footer</w:t>
      </w:r>
      <w:bookmarkEnd w:id="10"/>
      <w:bookmarkEnd w:id="11"/>
      <w:bookmarkEnd w:id="12"/>
      <w:bookmarkEnd w:id="13"/>
      <w:bookmarkEnd w:id="14"/>
    </w:p>
    <w:p>
      <w:pPr>
        <w:rPr>
          <w:lang w:bidi="en-US"/>
        </w:rPr>
      </w:pPr>
      <w:r>
        <w:rPr>
          <w:lang w:bidi="en-US"/>
        </w:rPr>
        <w:t xml:space="preserve">Avoid a </w:t>
      </w:r>
      <w:r>
        <w:rPr>
          <w:i/>
          <w:lang w:bidi="en-US"/>
        </w:rPr>
        <w:t>Different First Page Header/Footer</w:t>
      </w:r>
      <w:r>
        <w:rPr>
          <w:lang w:bidi="en-US"/>
        </w:rPr>
        <w:t xml:space="preserve"> or else define the header </w:t>
      </w:r>
      <w:r>
        <w:rPr>
          <w:b/>
          <w:lang w:bidi="en-US"/>
        </w:rPr>
        <w:t>and</w:t>
      </w:r>
      <w:r>
        <w:rPr>
          <w:lang w:bidi="en-US"/>
        </w:rPr>
        <w:t xml:space="preserve"> the footer and fill them both with content. (If the header is left empty, the top margin will not be retained during round-trip conversion.)</w:t>
      </w:r>
    </w:p>
    <w:p>
      <w:r>
        <w:t xml:space="preserve">If round-trip conversion is planned for your document: insert a page break at the end of the first page. Otherwise the </w:t>
      </w:r>
      <w:r>
        <w:rPr>
          <w:i/>
        </w:rPr>
        <w:t>Different First Page Header/Footer</w:t>
      </w:r>
      <w:r>
        <w:t xml:space="preserve"> setting (and thus the header/footer content) would be lost due to a bug in the current ODF converter.</w:t>
      </w:r>
    </w:p>
    <w:p>
      <w:pPr>
        <w:rPr>
          <w:lang w:bidi="en-US"/>
        </w:rPr>
      </w:pPr>
      <w:r>
        <w:rPr>
          <w:lang w:bidi="en-US"/>
        </w:rPr>
        <w:t xml:space="preserve">If you have more than one section and you do not need headers and footers in the first section(s) then set the header/footer </w:t>
      </w:r>
      <w:r>
        <w:rPr>
          <w:i/>
          <w:lang w:bidi="en-US"/>
        </w:rPr>
        <w:t>From edge:</w:t>
      </w:r>
      <w:r>
        <w:rPr>
          <w:lang w:bidi="en-US"/>
        </w:rPr>
        <w:t xml:space="preserve"> distance to 0 for these section(s).</w:t>
      </w:r>
    </w:p>
    <w:p>
      <w:pPr>
        <w:pStyle w:val="Heading2"/>
      </w:pPr>
      <w:bookmarkStart w:id="15" w:name="_Toc201471328"/>
      <w:bookmarkStart w:id="16" w:name="_Toc201471658"/>
      <w:bookmarkStart w:id="17" w:name="_Toc201472246"/>
      <w:bookmarkStart w:id="18" w:name="_Toc201547663"/>
      <w:r>
        <w:t>Lists</w:t>
      </w:r>
      <w:bookmarkEnd w:id="15"/>
      <w:bookmarkEnd w:id="16"/>
      <w:bookmarkEnd w:id="17"/>
      <w:bookmarkEnd w:id="18"/>
    </w:p>
    <w:p>
      <w:pPr>
        <w:tabs>
          <w:tab w:val="num" w:pos="0"/>
        </w:tabs>
      </w:pPr>
      <w:r>
        <w:t>Use simple list or paragraph numbering only (avoid multi-level lists with special numbering).</w:t>
      </w:r>
    </w:p>
    <w:p>
      <w:pPr>
        <w:tabs>
          <w:tab w:val="num" w:pos="0"/>
        </w:tabs>
      </w:pPr>
      <w:r>
        <w:t>Use in-built lists or define your own list styles (avoid direct formatting applied to list paragraphs).</w:t>
      </w:r>
    </w:p>
    <w:p>
      <w:pPr>
        <w:pStyle w:val="Heading2"/>
        <w:tabs>
          <w:tab w:val="num" w:pos="0"/>
        </w:tabs>
      </w:pPr>
      <w:bookmarkStart w:id="19" w:name="_Toc195079811"/>
      <w:bookmarkStart w:id="20" w:name="_Toc201471329"/>
      <w:bookmarkStart w:id="21" w:name="_Toc201471659"/>
      <w:bookmarkStart w:id="22" w:name="_Toc201472247"/>
      <w:bookmarkStart w:id="23" w:name="_Toc201547664"/>
      <w:r>
        <w:t>Fonts</w:t>
      </w:r>
      <w:bookmarkEnd w:id="19"/>
      <w:bookmarkEnd w:id="20"/>
      <w:bookmarkEnd w:id="21"/>
      <w:bookmarkEnd w:id="22"/>
      <w:bookmarkEnd w:id="23"/>
    </w:p>
    <w:p>
      <w:pPr>
        <w:rPr>
          <w:lang w:bidi="en-US"/>
        </w:rPr>
      </w:pPr>
      <w:r>
        <w:rPr>
          <w:lang w:bidi="en-US"/>
        </w:rPr>
        <w:t>Only commonly available fonts such as Times New Roman and Arial should be used.</w:t>
      </w:r>
    </w:p>
    <w:p>
      <w:pPr>
        <w:pStyle w:val="Heading2"/>
      </w:pPr>
      <w:bookmarkStart w:id="24" w:name="_Toc201471330"/>
      <w:bookmarkStart w:id="25" w:name="_Toc201471660"/>
      <w:bookmarkStart w:id="26" w:name="_Toc201472248"/>
      <w:bookmarkStart w:id="27" w:name="_Toc201547665"/>
      <w:bookmarkStart w:id="28" w:name="_Toc195079814"/>
      <w:bookmarkStart w:id="29" w:name="_Toc195079812"/>
      <w:r>
        <w:t>Graphics</w:t>
      </w:r>
      <w:bookmarkEnd w:id="24"/>
      <w:bookmarkEnd w:id="25"/>
      <w:bookmarkEnd w:id="26"/>
      <w:bookmarkEnd w:id="27"/>
    </w:p>
    <w:p>
      <w:r>
        <w:t xml:space="preserve">The recommended format for converting graphics to ODF is JPG. </w:t>
      </w:r>
    </w:p>
    <w:p>
      <w:r>
        <w:t>Watermarks are not supported by ODT.</w:t>
      </w:r>
    </w:p>
    <w:p>
      <w:pPr>
        <w:pStyle w:val="Heading2"/>
      </w:pPr>
      <w:bookmarkStart w:id="30" w:name="_Toc201471331"/>
      <w:bookmarkStart w:id="31" w:name="_Toc201471661"/>
      <w:bookmarkStart w:id="32" w:name="_Toc201472249"/>
      <w:bookmarkStart w:id="33" w:name="_Toc201547666"/>
      <w:r>
        <w:t>Tables</w:t>
      </w:r>
      <w:bookmarkEnd w:id="30"/>
      <w:bookmarkEnd w:id="31"/>
      <w:bookmarkEnd w:id="32"/>
      <w:bookmarkEnd w:id="33"/>
    </w:p>
    <w:p>
      <w:r>
        <w:t>Use simple tables. Complex tables (e.g. with merged cells, special text directions in cells, protected cells) and tables with complex formatting should be avoided. Do not use Word 2007 Quick Tables.</w:t>
      </w:r>
    </w:p>
    <w:p>
      <w:r>
        <w:t xml:space="preserve">Use row height instead of the paragraph’s </w:t>
      </w:r>
      <w:r>
        <w:rPr>
          <w:i/>
        </w:rPr>
        <w:t>space after</w:t>
      </w:r>
      <w:r>
        <w:t xml:space="preserve"> attribute to get spacing above and below text in the converted ODF document.</w:t>
      </w:r>
    </w:p>
    <w:p>
      <w:r>
        <w:t>The structure of simple tables is converted properly. To also retain the borders in the converted tables, follow the instructions in the following section.</w:t>
      </w:r>
    </w:p>
    <w:p>
      <w:pPr>
        <w:pStyle w:val="Heading3"/>
      </w:pPr>
      <w:bookmarkStart w:id="34" w:name="_Toc195079813"/>
      <w:bookmarkStart w:id="35" w:name="_Toc201471332"/>
      <w:bookmarkStart w:id="36" w:name="_Toc201471662"/>
      <w:bookmarkStart w:id="37" w:name="_Toc201472250"/>
      <w:bookmarkStart w:id="38" w:name="_Toc201547667"/>
      <w:r>
        <w:lastRenderedPageBreak/>
        <w:t>How to Define Table Borders for Conversion to ODF</w:t>
      </w:r>
      <w:bookmarkEnd w:id="34"/>
      <w:bookmarkEnd w:id="35"/>
      <w:bookmarkEnd w:id="36"/>
      <w:bookmarkEnd w:id="37"/>
      <w:bookmarkEnd w:id="38"/>
    </w:p>
    <w:p>
      <w:r>
        <w:t>If you use special borders (no grid): to get the best conversion results, specify the borders row by row instead of doing this for the entire table in one step. Follow these steps:</w:t>
      </w:r>
    </w:p>
    <w:p>
      <w:pPr>
        <w:keepNext/>
        <w:numPr>
          <w:ilvl w:val="0"/>
          <w:numId w:val="3"/>
        </w:numPr>
      </w:pPr>
      <w:r>
        <w:t>Select the entire table.</w:t>
      </w:r>
    </w:p>
    <w:p>
      <w:pPr>
        <w:numPr>
          <w:ilvl w:val="0"/>
          <w:numId w:val="3"/>
        </w:numPr>
      </w:pPr>
      <w:r>
        <w:t xml:space="preserve">Call the </w:t>
      </w:r>
      <w:r>
        <w:rPr>
          <w:i/>
        </w:rPr>
        <w:t>Borders and Shading</w:t>
      </w:r>
      <w:r>
        <w:t xml:space="preserve"> command.</w:t>
      </w:r>
    </w:p>
    <w:p>
      <w:pPr>
        <w:numPr>
          <w:ilvl w:val="0"/>
          <w:numId w:val="3"/>
        </w:numPr>
      </w:pPr>
      <w:r>
        <w:t xml:space="preserve">Apply </w:t>
      </w:r>
      <w:r>
        <w:rPr>
          <w:i/>
        </w:rPr>
        <w:t>Borders: None.</w:t>
      </w:r>
    </w:p>
    <w:p>
      <w:pPr>
        <w:numPr>
          <w:ilvl w:val="0"/>
          <w:numId w:val="3"/>
        </w:numPr>
      </w:pPr>
      <w:r>
        <w:t>Select the first row.</w:t>
      </w:r>
    </w:p>
    <w:p>
      <w:pPr>
        <w:numPr>
          <w:ilvl w:val="0"/>
          <w:numId w:val="3"/>
        </w:numPr>
      </w:pPr>
      <w:r>
        <w:t xml:space="preserve">In the </w:t>
      </w:r>
      <w:r>
        <w:rPr>
          <w:i/>
        </w:rPr>
        <w:t>Table Styles</w:t>
      </w:r>
      <w:r>
        <w:t xml:space="preserve"> group, click </w:t>
      </w:r>
      <w:r>
        <w:rPr>
          <w:i/>
        </w:rPr>
        <w:t>Borders</w:t>
      </w:r>
      <w:r>
        <w:t xml:space="preserve">, and then click </w:t>
      </w:r>
      <w:r>
        <w:rPr>
          <w:i/>
        </w:rPr>
        <w:t>Bottom Border</w:t>
      </w:r>
      <w:r>
        <w:t xml:space="preserve"> (cf. screenshot below).</w:t>
      </w:r>
    </w:p>
    <w:p>
      <w:pPr>
        <w:numPr>
          <w:ilvl w:val="0"/>
          <w:numId w:val="3"/>
        </w:numPr>
      </w:pPr>
      <w:r>
        <w:t>Repeat step 5 for all table rows.</w:t>
      </w:r>
    </w:p>
    <w:p>
      <w:pPr>
        <w:pStyle w:val="Picture"/>
        <w:rPr>
          <w:lang w:val="en-US"/>
        </w:rPr>
      </w:pPr>
      <w:r>
        <w:rPr>
          <w:lang w:val="en-US" w:eastAsia="en-US"/>
        </w:rPr>
        <w:drawing>
          <wp:inline distT="0" distB="0" distL="0" distR="0">
            <wp:extent cx="2583000" cy="4509000"/>
            <wp:effectExtent l="19050" t="0" r="7800" b="0"/>
            <wp:docPr id="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
                    <a:srcRect/>
                    <a:stretch>
                      <a:fillRect/>
                    </a:stretch>
                  </pic:blipFill>
                  <pic:spPr bwMode="auto">
                    <a:xfrm>
                      <a:off x="0" y="0"/>
                      <a:ext cx="2583000" cy="4509000"/>
                    </a:xfrm>
                    <a:prstGeom prst="rect">
                      <a:avLst/>
                    </a:prstGeom>
                    <a:noFill/>
                    <a:ln w="9525">
                      <a:noFill/>
                      <a:miter lim="800000"/>
                      <a:headEnd/>
                      <a:tailEnd/>
                    </a:ln>
                  </pic:spPr>
                </pic:pic>
              </a:graphicData>
            </a:graphic>
          </wp:inline>
        </w:drawing>
      </w:r>
    </w:p>
    <w:p>
      <w:pPr>
        <w:pStyle w:val="Heading2"/>
      </w:pPr>
      <w:bookmarkStart w:id="39" w:name="_Toc195079815"/>
      <w:bookmarkStart w:id="40" w:name="_Toc201471333"/>
      <w:bookmarkStart w:id="41" w:name="_Toc201471663"/>
      <w:bookmarkStart w:id="42" w:name="_Toc201472251"/>
      <w:bookmarkStart w:id="43" w:name="_Toc201547668"/>
      <w:bookmarkEnd w:id="28"/>
      <w:r>
        <w:t>Quick Parts</w:t>
      </w:r>
      <w:bookmarkEnd w:id="39"/>
      <w:bookmarkEnd w:id="40"/>
      <w:bookmarkEnd w:id="41"/>
      <w:bookmarkEnd w:id="42"/>
      <w:bookmarkEnd w:id="43"/>
    </w:p>
    <w:p>
      <w:r>
        <w:t xml:space="preserve">Most fields are ODF-compatible and may be used. Building Blocks/Quick Parts—a new feature offered by Word 2007—should be avoided. Document properties should be employed using the field approach from Word 2003 and earlier, and </w:t>
      </w:r>
      <w:r>
        <w:rPr>
          <w:i/>
        </w:rPr>
        <w:t>not</w:t>
      </w:r>
      <w:r>
        <w:t xml:space="preserve"> using the Word 2007 Quick Parts approach as these elements are converted to static text. Only standard document properties such as Title, Subject, Author, Company, Keywords and Comments are retained as updatable fields. Other document properties are converted to static text.</w:t>
      </w:r>
    </w:p>
    <w:p>
      <w:r>
        <w:t xml:space="preserve">Tables of contents should also be inserted using the field approach from Word 2003 and earlier, and </w:t>
      </w:r>
      <w:r>
        <w:rPr>
          <w:i/>
        </w:rPr>
        <w:t>not</w:t>
      </w:r>
      <w:r>
        <w:t xml:space="preserve"> using the Word 2007 Quick Parts approach.</w:t>
      </w:r>
    </w:p>
    <w:p>
      <w:pPr>
        <w:pStyle w:val="Heading2"/>
      </w:pPr>
      <w:bookmarkStart w:id="44" w:name="_Toc195079816"/>
      <w:bookmarkStart w:id="45" w:name="_Toc201471334"/>
      <w:bookmarkStart w:id="46" w:name="_Toc201471664"/>
      <w:bookmarkStart w:id="47" w:name="_Toc201472252"/>
      <w:bookmarkStart w:id="48" w:name="_Toc201547669"/>
      <w:r>
        <w:t>Footnotes</w:t>
      </w:r>
      <w:bookmarkEnd w:id="44"/>
      <w:bookmarkEnd w:id="45"/>
      <w:bookmarkEnd w:id="46"/>
      <w:bookmarkEnd w:id="47"/>
      <w:bookmarkEnd w:id="48"/>
    </w:p>
    <w:p>
      <w:r>
        <w:t xml:space="preserve">The functions </w:t>
      </w:r>
      <w:r>
        <w:rPr>
          <w:i/>
        </w:rPr>
        <w:t>Number Format</w:t>
      </w:r>
      <w:r>
        <w:t xml:space="preserve">, </w:t>
      </w:r>
      <w:r>
        <w:rPr>
          <w:i/>
        </w:rPr>
        <w:t>Start at</w:t>
      </w:r>
      <w:r>
        <w:t xml:space="preserve">, </w:t>
      </w:r>
      <w:r>
        <w:rPr>
          <w:i/>
        </w:rPr>
        <w:t>Numbering (Continuous, Restart each section)</w:t>
      </w:r>
      <w:r>
        <w:t xml:space="preserve"> and </w:t>
      </w:r>
      <w:r>
        <w:rPr>
          <w:i/>
        </w:rPr>
        <w:t>Apply Change (This section, Whole Document)</w:t>
      </w:r>
      <w:r>
        <w:t xml:space="preserve"> are not supported in ODF, and thus should be avoided. </w:t>
      </w:r>
    </w:p>
    <w:p>
      <w:pPr>
        <w:pStyle w:val="Heading2"/>
      </w:pPr>
      <w:bookmarkStart w:id="49" w:name="_Toc195079818"/>
      <w:bookmarkStart w:id="50" w:name="_Toc201471336"/>
      <w:bookmarkStart w:id="51" w:name="_Toc201471666"/>
      <w:bookmarkStart w:id="52" w:name="_Toc201472254"/>
      <w:bookmarkStart w:id="53" w:name="_Toc201547670"/>
      <w:bookmarkEnd w:id="29"/>
      <w:r>
        <w:t>Summary of Non-ODF-Compatible Features</w:t>
      </w:r>
      <w:bookmarkEnd w:id="49"/>
      <w:bookmarkEnd w:id="50"/>
      <w:bookmarkEnd w:id="51"/>
      <w:bookmarkEnd w:id="52"/>
      <w:bookmarkEnd w:id="53"/>
    </w:p>
    <w:p>
      <w:r>
        <w:t>The following features should be avoided due to known incompatibility between OpenXML and ODF:</w:t>
      </w:r>
    </w:p>
    <w:p>
      <w:pPr>
        <w:numPr>
          <w:ilvl w:val="0"/>
          <w:numId w:val="15"/>
        </w:numPr>
      </w:pPr>
      <w:r>
        <w:lastRenderedPageBreak/>
        <w:t>Complex tables and tables with complex formatting</w:t>
      </w:r>
    </w:p>
    <w:p>
      <w:pPr>
        <w:numPr>
          <w:ilvl w:val="0"/>
          <w:numId w:val="15"/>
        </w:numPr>
      </w:pPr>
      <w:r>
        <w:t>Page offset of page numbers, Roman page numbering</w:t>
      </w:r>
    </w:p>
    <w:p>
      <w:pPr>
        <w:numPr>
          <w:ilvl w:val="0"/>
          <w:numId w:val="15"/>
        </w:numPr>
      </w:pPr>
      <w:r>
        <w:t>Complex list and paragraph numbering</w:t>
      </w:r>
    </w:p>
    <w:p>
      <w:pPr>
        <w:numPr>
          <w:ilvl w:val="0"/>
          <w:numId w:val="15"/>
        </w:numPr>
      </w:pPr>
      <w:r>
        <w:t>Textboxes and frames</w:t>
      </w:r>
    </w:p>
    <w:p>
      <w:pPr>
        <w:numPr>
          <w:ilvl w:val="0"/>
          <w:numId w:val="15"/>
        </w:numPr>
      </w:pPr>
      <w:r>
        <w:t>Bibliography</w:t>
      </w:r>
    </w:p>
    <w:p>
      <w:r>
        <w:t>For a complete list of unsupported features, see: http://odf-converter.sourceforge.net/features.html.</w:t>
      </w:r>
    </w:p>
    <w:p/>
    <w:p>
      <w:pPr>
        <w:pStyle w:val="Closing"/>
      </w:pPr>
      <w:r>
        <w:t>Sincerely,</w:t>
      </w:r>
    </w:p>
    <w:p>
      <w:pPr>
        <w:pStyle w:val="Signature"/>
      </w:pPr>
      <w:r>
        <w:fldChar w:fldCharType="begin"/>
      </w:r>
      <w:r>
        <w:instrText xml:space="preserve"> MACROBUTTON  DoFieldClick [</w:instrText>
      </w:r>
      <w:r>
        <w:rPr>
          <w:b/>
        </w:rPr>
        <w:instrText>Your Name</w:instrText>
      </w:r>
      <w:r>
        <w:instrText>]</w:instrText>
      </w:r>
      <w:r>
        <w:fldChar w:fldCharType="end"/>
      </w:r>
    </w:p>
    <w:p>
      <w:r>
        <w:fldChar w:fldCharType="begin"/>
      </w:r>
      <w:r>
        <w:instrText>MACROBUTTON DoFieldClick [</w:instrText>
      </w:r>
      <w:r>
        <w:rPr>
          <w:b/>
        </w:rPr>
        <w:instrText>Title</w:instrText>
      </w:r>
      <w:r>
        <w:instrText>]</w:instrText>
      </w:r>
      <w:r>
        <w:fldChar w:fldCharType="end"/>
      </w:r>
    </w:p>
    <w:sectPr>
      <w:footerReference w:type="even" r:id="rId9"/>
      <w:footerReference w:type="default" r:id="rId10"/>
      <w:footerReference w:type="first" r:id="rId11"/>
      <w:pgSz w:w="11907" w:h="16840" w:code="9"/>
      <w:pgMar w:top="1134" w:right="1134" w:bottom="1134" w:left="1134" w:header="567" w:footer="567"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endnote>
  <w:endnote w:type="continuationSeparator" w:id="1">
    <w:p>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Arial Black">
    <w:panose1 w:val="020B0A04020102020204"/>
    <w:charset w:val="00"/>
    <w:family w:val="swiss"/>
    <w:pitch w:val="variable"/>
    <w:sig w:usb0="00000287" w:usb1="00000000"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framePr w:wrap="around" w:vAnchor="text" w:hAnchor="margin" w:xAlign="center" w:y="1"/>
    </w:pPr>
    <w:fldSimple w:instr="PAGE  ">
      <w:r>
        <w:t>0</w:t>
      </w:r>
    </w:fldSimple>
  </w:p>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615966032"/>
      <w:docPartObj>
        <w:docPartGallery w:val="Page Numbers (Bottom of Page)"/>
        <w:docPartUnique/>
      </w:docPartObj>
    </w:sdtPr>
    <w:sdtContent>
      <w:p>
        <w:pPr>
          <w:pStyle w:val="Footer"/>
          <w:jc w:val="center"/>
        </w:pPr>
        <w:fldSimple w:instr=" PAGE   \* MERGEFORMAT ">
          <w:r>
            <w:rPr>
              <w:noProof/>
            </w:rPr>
            <w:t>1</w:t>
          </w:r>
        </w:fldSimple>
        <w:r>
          <w:t>/</w:t>
        </w:r>
        <w:fldSimple w:instr=" NUMPAGES   \* MERGEFORMAT ">
          <w:r>
            <w:rPr>
              <w:noProof/>
            </w:rPr>
            <w:t>1</w:t>
          </w:r>
        </w:fldSimple>
      </w:p>
    </w:sdtContent>
  </w:sdt>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71433797"/>
      <w:docPartObj>
        <w:docPartGallery w:val="Page Numbers (Bottom of Page)"/>
        <w:docPartUnique/>
      </w:docPartObj>
    </w:sdtPr>
    <w:sdtContent>
      <w:p>
        <w:pPr>
          <w:pStyle w:val="Footer"/>
          <w:jc w:val="center"/>
        </w:pPr>
        <w:fldSimple w:instr=" PAGE   \* MERGEFORMAT ">
          <w:r>
            <w:rPr>
              <w:noProof/>
            </w:rPr>
            <w:t>1</w:t>
          </w:r>
        </w:fldSimple>
        <w:r>
          <w:t>/</w:t>
        </w:r>
        <w:fldSimple w:instr=" NUMPAGES   \* MERGEFORMAT ">
          <w:r>
            <w:rPr>
              <w:noProof/>
            </w:rPr>
            <w:t>2</w:t>
          </w:r>
        </w:fldSimple>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footnote>
  <w:footnote w:type="continuationSeparator" w:id="1">
    <w:p>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54941CE0"/>
    <w:lvl w:ilvl="0">
      <w:start w:val="1"/>
      <w:numFmt w:val="decimal"/>
      <w:lvlText w:val="%1."/>
      <w:lvlJc w:val="left"/>
      <w:pPr>
        <w:tabs>
          <w:tab w:val="num" w:pos="1492"/>
        </w:tabs>
        <w:ind w:left="1492" w:hanging="360"/>
      </w:pPr>
    </w:lvl>
  </w:abstractNum>
  <w:abstractNum w:abstractNumId="1">
    <w:nsid w:val="FFFFFF7D"/>
    <w:multiLevelType w:val="singleLevel"/>
    <w:tmpl w:val="7E38AAA6"/>
    <w:lvl w:ilvl="0">
      <w:start w:val="1"/>
      <w:numFmt w:val="decimal"/>
      <w:lvlText w:val="%1."/>
      <w:lvlJc w:val="left"/>
      <w:pPr>
        <w:tabs>
          <w:tab w:val="num" w:pos="1209"/>
        </w:tabs>
        <w:ind w:left="1209" w:hanging="360"/>
      </w:pPr>
    </w:lvl>
  </w:abstractNum>
  <w:abstractNum w:abstractNumId="2">
    <w:nsid w:val="FFFFFF7E"/>
    <w:multiLevelType w:val="singleLevel"/>
    <w:tmpl w:val="D242CE78"/>
    <w:lvl w:ilvl="0">
      <w:start w:val="1"/>
      <w:numFmt w:val="decimal"/>
      <w:lvlText w:val="%1."/>
      <w:lvlJc w:val="left"/>
      <w:pPr>
        <w:tabs>
          <w:tab w:val="num" w:pos="926"/>
        </w:tabs>
        <w:ind w:left="926" w:hanging="360"/>
      </w:pPr>
    </w:lvl>
  </w:abstractNum>
  <w:abstractNum w:abstractNumId="3">
    <w:nsid w:val="FFFFFF7F"/>
    <w:multiLevelType w:val="singleLevel"/>
    <w:tmpl w:val="E47A9808"/>
    <w:lvl w:ilvl="0">
      <w:start w:val="1"/>
      <w:numFmt w:val="decimal"/>
      <w:lvlText w:val="%1."/>
      <w:lvlJc w:val="left"/>
      <w:pPr>
        <w:tabs>
          <w:tab w:val="num" w:pos="643"/>
        </w:tabs>
        <w:ind w:left="643" w:hanging="360"/>
      </w:pPr>
    </w:lvl>
  </w:abstractNum>
  <w:abstractNum w:abstractNumId="4">
    <w:nsid w:val="FFFFFF80"/>
    <w:multiLevelType w:val="singleLevel"/>
    <w:tmpl w:val="640CA6B4"/>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2506B3F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E5AE90C"/>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1366A89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BE428FEC"/>
    <w:lvl w:ilvl="0">
      <w:start w:val="1"/>
      <w:numFmt w:val="decimal"/>
      <w:lvlText w:val="%1."/>
      <w:lvlJc w:val="left"/>
      <w:pPr>
        <w:tabs>
          <w:tab w:val="num" w:pos="360"/>
        </w:tabs>
        <w:ind w:left="360" w:hanging="360"/>
      </w:pPr>
    </w:lvl>
  </w:abstractNum>
  <w:abstractNum w:abstractNumId="9">
    <w:nsid w:val="FFFFFF89"/>
    <w:multiLevelType w:val="singleLevel"/>
    <w:tmpl w:val="3460A16C"/>
    <w:lvl w:ilvl="0">
      <w:start w:val="1"/>
      <w:numFmt w:val="bullet"/>
      <w:lvlText w:val=""/>
      <w:lvlJc w:val="left"/>
      <w:pPr>
        <w:tabs>
          <w:tab w:val="num" w:pos="360"/>
        </w:tabs>
        <w:ind w:left="360" w:hanging="360"/>
      </w:pPr>
      <w:rPr>
        <w:rFonts w:ascii="Symbol" w:hAnsi="Symbol" w:hint="default"/>
      </w:rPr>
    </w:lvl>
  </w:abstractNum>
  <w:abstractNum w:abstractNumId="10">
    <w:nsid w:val="00091099"/>
    <w:multiLevelType w:val="hybridMultilevel"/>
    <w:tmpl w:val="E65042C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21480748"/>
    <w:multiLevelType w:val="hybridMultilevel"/>
    <w:tmpl w:val="2376C6C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45CD1673"/>
    <w:multiLevelType w:val="hybridMultilevel"/>
    <w:tmpl w:val="00ECD6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601A1D70"/>
    <w:multiLevelType w:val="hybridMultilevel"/>
    <w:tmpl w:val="20A8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7D660D9D"/>
    <w:multiLevelType w:val="hybridMultilevel"/>
    <w:tmpl w:val="05748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3"/>
  </w:num>
  <w:num w:numId="15">
    <w:abstractNumId w:val="1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1028"/>
  <w:defaultTabStop w:val="706"/>
  <w:hyphenationZone w:val="425"/>
  <w:characterSpacingControl w:val="doNotCompress"/>
  <w:savePreviewPicture/>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ajorHAnsi" w:eastAsiaTheme="minorHAnsi" w:hAnsiTheme="majorHAnsi" w:cstheme="minorBidi"/>
        <w:sz w:val="22"/>
        <w:szCs w:val="22"/>
        <w:lang w:val="de-DE"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0"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qFormat="1"/>
    <w:lsdException w:name="Closing" w:uiPriority="0" w:qFormat="1"/>
    <w:lsdException w:name="Signature" w:uiPriority="0" w:qFormat="1"/>
    <w:lsdException w:name="Default Paragraph Font" w:uiPriority="1"/>
    <w:lsdException w:name="Body Text" w:uiPriority="0"/>
    <w:lsdException w:name="Message Header" w:uiPriority="0"/>
    <w:lsdException w:name="Subtitle" w:uiPriority="11" w:qFormat="1"/>
    <w:lsdException w:name="Date" w:uiPriority="0" w:qFormat="1"/>
    <w:lsdException w:name="Strong" w:uiPriority="22" w:qFormat="1"/>
    <w:lsdException w:name="Emphasis" w:semiHidden="0" w:uiPriority="0" w:unhideWhenUsed="0" w:qFormat="1"/>
    <w:lsdException w:name="Table Grid" w:semiHidden="0" w:uiPriority="1"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qFormat/>
    <w:pPr>
      <w:spacing w:after="120"/>
    </w:pPr>
    <w:rPr>
      <w:rFonts w:ascii="Arial" w:hAnsi="Arial"/>
      <w:sz w:val="20"/>
      <w:lang w:val="en-US"/>
    </w:rPr>
  </w:style>
  <w:style w:type="paragraph" w:styleId="Heading1">
    <w:name w:val="heading 1"/>
    <w:basedOn w:val="Normal"/>
    <w:next w:val="Normal"/>
    <w:link w:val="Heading1Char"/>
    <w:qFormat/>
    <w:pPr>
      <w:keepNext/>
      <w:spacing w:before="240" w:after="60"/>
      <w:outlineLvl w:val="0"/>
    </w:pPr>
    <w:rPr>
      <w:rFonts w:eastAsia="Times New Roman" w:cs="Arial"/>
      <w:b/>
      <w:bCs/>
      <w:color w:val="365F91" w:themeColor="accent1" w:themeShade="BF"/>
      <w:kern w:val="32"/>
      <w:sz w:val="24"/>
      <w:szCs w:val="32"/>
    </w:rPr>
  </w:style>
  <w:style w:type="paragraph" w:styleId="Heading2">
    <w:name w:val="heading 2"/>
    <w:basedOn w:val="Normal"/>
    <w:next w:val="Normal"/>
    <w:link w:val="Heading2Char"/>
    <w:qFormat/>
    <w:pPr>
      <w:keepNext/>
      <w:keepLines/>
      <w:spacing w:before="200"/>
      <w:outlineLvl w:val="1"/>
    </w:pPr>
    <w:rPr>
      <w:rFonts w:eastAsiaTheme="majorEastAsia" w:cstheme="majorBidi"/>
      <w:b/>
      <w:bCs/>
      <w:color w:val="4F81BD" w:themeColor="accent1"/>
      <w:sz w:val="22"/>
      <w:szCs w:val="26"/>
    </w:rPr>
  </w:style>
  <w:style w:type="paragraph" w:styleId="Heading3">
    <w:name w:val="heading 3"/>
    <w:basedOn w:val="Normal"/>
    <w:next w:val="Normal"/>
    <w:link w:val="Heading3Char"/>
    <w:qFormat/>
    <w:pPr>
      <w:keepNext/>
      <w:keepLines/>
      <w:spacing w:before="200"/>
      <w:outlineLvl w:val="2"/>
    </w:pPr>
    <w:rPr>
      <w:rFonts w:eastAsiaTheme="majorEastAsia" w:cstheme="majorBidi"/>
      <w:b/>
      <w:bCs/>
      <w:color w:val="4F81BD" w:themeColor="accent1"/>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Pr>
      <w:rFonts w:ascii="Arial" w:eastAsia="Times New Roman" w:hAnsi="Arial" w:cs="Arial"/>
      <w:b/>
      <w:bCs/>
      <w:color w:val="365F91" w:themeColor="accent1" w:themeShade="BF"/>
      <w:kern w:val="32"/>
      <w:sz w:val="24"/>
      <w:szCs w:val="32"/>
      <w:lang w:val="en-US"/>
    </w:rPr>
  </w:style>
  <w:style w:type="character" w:customStyle="1" w:styleId="Heading2Char">
    <w:name w:val="Heading 2 Char"/>
    <w:basedOn w:val="DefaultParagraphFont"/>
    <w:link w:val="Heading2"/>
    <w:rPr>
      <w:rFonts w:ascii="Arial" w:eastAsiaTheme="majorEastAsia" w:hAnsi="Arial" w:cstheme="majorBidi"/>
      <w:b/>
      <w:bCs/>
      <w:color w:val="4F81BD" w:themeColor="accent1"/>
      <w:szCs w:val="26"/>
      <w:lang w:val="en-US"/>
    </w:rPr>
  </w:style>
  <w:style w:type="character" w:customStyle="1" w:styleId="Heading3Char">
    <w:name w:val="Heading 3 Char"/>
    <w:basedOn w:val="DefaultParagraphFont"/>
    <w:link w:val="Heading3"/>
    <w:rPr>
      <w:rFonts w:ascii="Arial" w:eastAsiaTheme="majorEastAsia" w:hAnsi="Arial" w:cstheme="majorBidi"/>
      <w:b/>
      <w:bCs/>
      <w:color w:val="4F81BD" w:themeColor="accent1"/>
      <w:sz w:val="20"/>
      <w:szCs w:val="24"/>
      <w:lang w:val="en-US"/>
    </w:rPr>
  </w:style>
  <w:style w:type="paragraph" w:customStyle="1" w:styleId="UrgentLine">
    <w:name w:val="UrgentLine"/>
    <w:basedOn w:val="Normal"/>
    <w:pPr>
      <w:spacing w:after="0"/>
    </w:pPr>
    <w:rPr>
      <w:rFonts w:eastAsia="Times New Roman" w:cs="Times New Roman"/>
      <w:szCs w:val="20"/>
      <w:lang w:eastAsia="de-DE"/>
    </w:rPr>
  </w:style>
  <w:style w:type="paragraph" w:customStyle="1" w:styleId="DocumentLabel">
    <w:name w:val="Document Label"/>
    <w:basedOn w:val="Normal"/>
    <w:pPr>
      <w:keepNext/>
      <w:keepLines/>
      <w:spacing w:before="400" w:line="240" w:lineRule="atLeast"/>
    </w:pPr>
    <w:rPr>
      <w:rFonts w:ascii="Arial Black" w:eastAsia="Times New Roman" w:hAnsi="Arial Black" w:cs="Times New Roman"/>
      <w:kern w:val="28"/>
      <w:sz w:val="108"/>
      <w:szCs w:val="20"/>
    </w:rPr>
  </w:style>
  <w:style w:type="character" w:styleId="Emphasis">
    <w:name w:val="Emphasis"/>
    <w:qFormat/>
    <w:rPr>
      <w:rFonts w:ascii="Arial Black" w:hAnsi="Arial Black"/>
      <w:sz w:val="20"/>
    </w:rPr>
  </w:style>
  <w:style w:type="paragraph" w:styleId="MessageHeader">
    <w:name w:val="Message Header"/>
    <w:basedOn w:val="Normal"/>
    <w:link w:val="MessageHeaderChar"/>
    <w:pPr>
      <w:keepLines/>
      <w:spacing w:after="0"/>
    </w:pPr>
    <w:rPr>
      <w:b/>
    </w:rPr>
  </w:style>
  <w:style w:type="character" w:customStyle="1" w:styleId="MessageHeaderChar">
    <w:name w:val="Message Header Char"/>
    <w:basedOn w:val="DefaultParagraphFont"/>
    <w:link w:val="MessageHeader"/>
    <w:rPr>
      <w:rFonts w:ascii="Arial" w:hAnsi="Arial"/>
      <w:b/>
      <w:sz w:val="20"/>
      <w:lang w:val="en-US"/>
    </w:rPr>
  </w:style>
  <w:style w:type="paragraph" w:customStyle="1" w:styleId="CompanyInfo">
    <w:name w:val="Company Info"/>
    <w:basedOn w:val="Normal"/>
    <w:pPr>
      <w:keepLines/>
      <w:spacing w:after="0" w:line="200" w:lineRule="atLeast"/>
    </w:pPr>
    <w:rPr>
      <w:rFonts w:eastAsia="Times New Roman" w:cs="Times New Roman"/>
      <w:sz w:val="16"/>
      <w:szCs w:val="20"/>
    </w:rPr>
  </w:style>
  <w:style w:type="table" w:styleId="TableGrid">
    <w:name w:val="Table Grid"/>
    <w:basedOn w:val="TableNormal"/>
    <w:uiPriority w:val="1"/>
    <w:rPr>
      <w:rFonts w:ascii="Times New Roman" w:eastAsia="Times New Roman" w:hAnsi="Times New Roman" w:cs="Times New Roman"/>
      <w:sz w:val="20"/>
      <w:szCs w:val="20"/>
      <w:lang w:eastAsia="de-DE"/>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pPr>
      <w:tabs>
        <w:tab w:val="center" w:pos="4513"/>
        <w:tab w:val="right" w:pos="9026"/>
      </w:tabs>
    </w:pPr>
    <w:rPr>
      <w:rFonts w:eastAsia="Times New Roman" w:cs="Times New Roman"/>
      <w:szCs w:val="20"/>
    </w:rPr>
  </w:style>
  <w:style w:type="character" w:customStyle="1" w:styleId="FooterChar">
    <w:name w:val="Footer Char"/>
    <w:basedOn w:val="DefaultParagraphFont"/>
    <w:link w:val="Footer"/>
    <w:uiPriority w:val="99"/>
    <w:rPr>
      <w:rFonts w:ascii="Arial" w:eastAsia="Times New Roman" w:hAnsi="Arial" w:cs="Times New Roman"/>
      <w:sz w:val="20"/>
      <w:szCs w:val="20"/>
      <w:lang w:val="en-US"/>
    </w:rPr>
  </w:style>
  <w:style w:type="paragraph" w:styleId="Closing">
    <w:name w:val="Closing"/>
    <w:basedOn w:val="Normal"/>
    <w:link w:val="ClosingChar"/>
    <w:qFormat/>
    <w:pPr>
      <w:spacing w:after="960"/>
    </w:pPr>
    <w:rPr>
      <w:rFonts w:eastAsia="Times New Roman" w:cs="Times New Roman"/>
      <w:szCs w:val="24"/>
    </w:rPr>
  </w:style>
  <w:style w:type="character" w:customStyle="1" w:styleId="ClosingChar">
    <w:name w:val="Closing Char"/>
    <w:basedOn w:val="DefaultParagraphFont"/>
    <w:link w:val="Closing"/>
    <w:rPr>
      <w:rFonts w:ascii="Arial" w:eastAsia="Times New Roman" w:hAnsi="Arial" w:cs="Times New Roman"/>
      <w:sz w:val="20"/>
      <w:szCs w:val="24"/>
      <w:lang w:val="en-US"/>
    </w:rPr>
  </w:style>
  <w:style w:type="paragraph" w:styleId="Signature">
    <w:name w:val="Signature"/>
    <w:basedOn w:val="Normal"/>
    <w:link w:val="SignatureChar"/>
    <w:qFormat/>
    <w:rPr>
      <w:rFonts w:eastAsia="Times New Roman" w:cs="Times New Roman"/>
      <w:szCs w:val="24"/>
    </w:rPr>
  </w:style>
  <w:style w:type="character" w:customStyle="1" w:styleId="SignatureChar">
    <w:name w:val="Signature Char"/>
    <w:basedOn w:val="DefaultParagraphFont"/>
    <w:link w:val="Signature"/>
    <w:rPr>
      <w:rFonts w:ascii="Arial" w:eastAsia="Times New Roman" w:hAnsi="Arial" w:cs="Times New Roman"/>
      <w:sz w:val="20"/>
      <w:szCs w:val="24"/>
      <w:lang w:val="en-US"/>
    </w:rPr>
  </w:style>
  <w:style w:type="character" w:styleId="Hyperlink">
    <w:name w:val="Hyperlink"/>
    <w:basedOn w:val="DefaultParagraphFont"/>
    <w:uiPriority w:val="99"/>
    <w:rPr>
      <w:color w:val="0000FF" w:themeColor="hyperlink"/>
      <w:u w:val="single"/>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styleId="Date">
    <w:name w:val="Date"/>
    <w:basedOn w:val="Normal"/>
    <w:next w:val="Normal"/>
    <w:link w:val="DateChar"/>
    <w:qFormat/>
    <w:pPr>
      <w:spacing w:before="480" w:after="480"/>
      <w:jc w:val="right"/>
    </w:pPr>
    <w:rPr>
      <w:rFonts w:ascii="Times New Roman" w:eastAsia="Times New Roman" w:hAnsi="Times New Roman" w:cs="Times New Roman"/>
      <w:sz w:val="24"/>
      <w:szCs w:val="24"/>
    </w:rPr>
  </w:style>
  <w:style w:type="character" w:customStyle="1" w:styleId="DateChar">
    <w:name w:val="Date Char"/>
    <w:basedOn w:val="DefaultParagraphFont"/>
    <w:link w:val="Date"/>
    <w:rPr>
      <w:rFonts w:ascii="Times New Roman" w:eastAsia="Times New Roman" w:hAnsi="Times New Roman" w:cs="Times New Roman"/>
      <w:sz w:val="24"/>
      <w:szCs w:val="24"/>
      <w:lang w:val="en-US"/>
    </w:rPr>
  </w:style>
  <w:style w:type="paragraph" w:customStyle="1" w:styleId="Picture">
    <w:name w:val="Picture"/>
    <w:basedOn w:val="Normal"/>
    <w:pPr>
      <w:spacing w:before="240"/>
      <w:jc w:val="center"/>
    </w:pPr>
    <w:rPr>
      <w:rFonts w:ascii="Times New Roman" w:hAnsi="Times New Roman"/>
      <w:noProof/>
      <w:sz w:val="24"/>
      <w:lang w:val="de-DE" w:eastAsia="de-DE"/>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emf"/><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ODFFax.dotx</Template>
  <TotalTime>93</TotalTime>
  <Pages>1</Pages>
  <Words>1224</Words>
  <Characters>6307</Characters>
  <Application>Microsoft Office Word</Application>
  <DocSecurity>0</DocSecurity>
  <Lines>146</Lines>
  <Paragraphs>103</Paragraphs>
  <ScaleCrop>false</ScaleCrop>
  <HeadingPairs>
    <vt:vector size="4" baseType="variant">
      <vt:variant>
        <vt:lpstr>Title</vt:lpstr>
      </vt:variant>
      <vt:variant>
        <vt:i4>1</vt:i4>
      </vt:variant>
      <vt:variant>
        <vt:lpstr>Headings</vt:lpstr>
      </vt:variant>
      <vt:variant>
        <vt:i4>15</vt:i4>
      </vt:variant>
    </vt:vector>
  </HeadingPairs>
  <TitlesOfParts>
    <vt:vector size="16" baseType="lpstr">
      <vt:lpstr/>
      <vt:lpstr>What to Expect</vt:lpstr>
      <vt:lpstr>Converter Message</vt:lpstr>
      <vt:lpstr>How-to Guide</vt:lpstr>
      <vt:lpstr>Converter</vt:lpstr>
      <vt:lpstr>    Page Numbering</vt:lpstr>
      <vt:lpstr>    Styles</vt:lpstr>
      <vt:lpstr>    Header/Footer</vt:lpstr>
      <vt:lpstr>    Lists</vt:lpstr>
      <vt:lpstr>    Fonts</vt:lpstr>
      <vt:lpstr>    Graphics</vt:lpstr>
      <vt:lpstr>    Tables</vt:lpstr>
      <vt:lpstr>        How to Define Table Borders for Conversion to ODF</vt:lpstr>
      <vt:lpstr>    Quick Parts</vt:lpstr>
      <vt:lpstr>    Footnotes</vt:lpstr>
      <vt:lpstr>    Summary of Non-ODF-Compatible Features</vt:lpstr>
    </vt:vector>
  </TitlesOfParts>
  <Company/>
  <LinksUpToDate>false</LinksUpToDate>
  <CharactersWithSpaces>7428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Judith Engelkamp</dc:creator>
  <cp:keywords/>
  <dc:description/>
  <cp:lastModifiedBy>Judith Engelkamp</cp:lastModifiedBy>
  <cp:revision>8</cp:revision>
  <cp:lastPrinted>2008-03-06T10:40:00Z</cp:lastPrinted>
  <dcterms:created xsi:type="dcterms:W3CDTF">2008-06-04T08:27:00Z</dcterms:created>
  <dcterms:modified xsi:type="dcterms:W3CDTF">2008-06-18T09:38:00Z</dcterms:modified>
</cp:coreProperties>
</file>