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32"/>
        </w:rPr>
        <w:t>MEDICAL NARRATIVE SUMMARY</w:t>
      </w:r>
    </w:p>
    <w:p>
      <w:pPr>
        <w:jc w:val="center"/>
      </w:pPr>
      <w:r>
        <w:rPr>
          <w:b/>
          <w:sz w:val="24"/>
        </w:rPr>
        <w:t>Grady Health System Medical Records | Case #25-A-2515</w:t>
      </w:r>
    </w:p>
    <w:p/>
    <w:tbl>
      <w:tblPr>
        <w:tblStyle w:val="TableGrid"/>
        <w:tblW w:type="auto" w:w="0"/>
        <w:tblLook w:firstColumn="1" w:firstRow="1" w:lastColumn="0" w:lastRow="0" w:noHBand="0" w:noVBand="1" w:val="04A0"/>
      </w:tblPr>
      <w:tblGrid>
        <w:gridCol w:w="4680"/>
        <w:gridCol w:w="4680"/>
      </w:tblGrid>
      <w:tr>
        <w:tc>
          <w:tcPr>
            <w:tcW w:type="dxa" w:w="2016"/>
          </w:tcPr>
          <w:p>
            <w:r>
              <w:rPr>
                <w:b/>
              </w:rPr>
              <w:t>Patient:</w:t>
            </w:r>
          </w:p>
        </w:tc>
        <w:tc>
          <w:tcPr>
            <w:tcW w:type="dxa" w:w="8064"/>
          </w:tcPr>
          <w:p>
            <w:r>
              <w:t>Yasmin Nefreteri Watkins | DOB: 02/27/1974 | MRN: 13502505</w:t>
            </w:r>
          </w:p>
        </w:tc>
      </w:tr>
      <w:tr>
        <w:tc>
          <w:tcPr>
            <w:tcW w:type="dxa" w:w="2016"/>
          </w:tcPr>
          <w:p>
            <w:r>
              <w:rPr>
                <w:b/>
              </w:rPr>
              <w:t>Case:</w:t>
            </w:r>
          </w:p>
        </w:tc>
        <w:tc>
          <w:tcPr>
            <w:tcW w:type="dxa" w:w="8064"/>
          </w:tcPr>
          <w:p>
            <w:r>
              <w:t>Yasmine Watkins v. Adreona Thurman | Case #25-A-2515</w:t>
            </w:r>
          </w:p>
        </w:tc>
      </w:tr>
      <w:tr>
        <w:tc>
          <w:tcPr>
            <w:tcW w:type="dxa" w:w="2016"/>
          </w:tcPr>
          <w:p>
            <w:r>
              <w:rPr>
                <w:b/>
              </w:rPr>
              <w:t>Provider:</w:t>
            </w:r>
          </w:p>
        </w:tc>
        <w:tc>
          <w:tcPr>
            <w:tcW w:type="dxa" w:w="8064"/>
          </w:tcPr>
          <w:p>
            <w:r>
              <w:t>Grady Health System, 80 Jesse Hill Jr. Drive SE, Atlanta, GA 30303</w:t>
            </w:r>
          </w:p>
        </w:tc>
      </w:tr>
      <w:tr>
        <w:tc>
          <w:tcPr>
            <w:tcW w:type="dxa" w:w="2016"/>
          </w:tcPr>
          <w:p>
            <w:r>
              <w:rPr>
                <w:b/>
              </w:rPr>
              <w:t>Ordered By:</w:t>
            </w:r>
          </w:p>
        </w:tc>
        <w:tc>
          <w:tcPr>
            <w:tcW w:type="dxa" w:w="8064"/>
          </w:tcPr>
          <w:p>
            <w:r>
              <w:t>Lynn Leonard &amp; Associates | File #25ATLA20692 | Claim #01-49K3-64D</w:t>
            </w:r>
          </w:p>
        </w:tc>
      </w:tr>
      <w:tr>
        <w:tc>
          <w:tcPr>
            <w:tcW w:type="dxa" w:w="2016"/>
          </w:tcPr>
          <w:p>
            <w:r>
              <w:rPr>
                <w:b/>
              </w:rPr>
              <w:t>Prepared:</w:t>
            </w:r>
          </w:p>
        </w:tc>
        <w:tc>
          <w:tcPr>
            <w:tcW w:type="dxa" w:w="8064"/>
          </w:tcPr>
          <w:p>
            <w:r>
              <w:t>June 24, 2026</w:t>
            </w:r>
          </w:p>
        </w:tc>
      </w:tr>
    </w:tbl>
    <w:p/>
    <w:p>
      <w:pPr>
        <w:spacing w:before="240" w:after="80"/>
        <w:pBdr>
          <w:bottom w:val="single" w:sz="4" w:space="1" w:color="1F3864"/>
        </w:pBdr>
      </w:pPr>
      <w:r>
        <w:rPr>
          <w:b/>
          <w:color w:val="1F3864"/>
          <w:sz w:val="26"/>
        </w:rPr>
        <w:t>I. PATIENT BACKGROUND AND PRE-EXISTING CONDITIONS</w:t>
      </w:r>
    </w:p>
    <w:p>
      <w:pPr>
        <w:spacing w:after="120"/>
      </w:pPr>
      <w:r>
        <w:rPr>
          <w:sz w:val="22"/>
        </w:rPr>
        <w:t>Yasmin Nefreteri Watkins is a female patient born February 27, 1974 (currently age 52), bearing Grady Health System MRN 13502505. She carries a longstanding, complex medical history dominated by insulin-dependent Type 2 Diabetes Mellitus (T2DM) diagnosed approximately 18 or more years prior to the most recent records. Her diabetes has been chronically uncontrolled, with a hemoglobin A1c of 9.8% documented in December 2021 and 9.0% in May 2025, both substantially above the therapeutic target of less than 7%.</w:t>
      </w:r>
    </w:p>
    <w:p>
      <w:pPr>
        <w:spacing w:after="120"/>
      </w:pPr>
      <w:r>
        <w:rPr>
          <w:sz w:val="22"/>
        </w:rPr>
        <w:t>As a direct consequence of long-term poorly controlled diabetes, Ms. Watkins has developed severe diabetic polyneuropathy affecting both lower extremities, resulting in absent protective sensation bilaterally — a finding consistently documented across multiple encounters. This neuropathic deficit impairs her ability to perceive injury, pressure, or pain, placing her at markedly elevated risk for foot ulceration, pathological fracture, Charcot neuroarthropathy, and limb-threatening infection. She has additionally developed proliferative diabetic retinopathy (PDR) with vitreous hemorrhage of the left eye, diabetic gastroparesis causing recurrent nausea and vomiting, Chronic Kidney Disease Stage 2, and bilateral cataracts — all recognized microvascular and macrovascular complications of long-term uncontrolled diabetes.</w:t>
      </w:r>
    </w:p>
    <w:p>
      <w:pPr>
        <w:spacing w:after="120"/>
      </w:pPr>
      <w:r>
        <w:rPr>
          <w:sz w:val="22"/>
        </w:rPr>
        <w:t>Additional pre-existing comorbidities include hyperlipidemia, obesity, hypertension, gastroesophageal reflux disease with Barrett's esophagus changes, cholelithiasis, depression, lumbar radiculopathy with spinal stenosis, and right wrist carpal tunnel syndrome. She has a prior closed fracture of the right zygomatic arch (2014) and a prior contusion of the left great toe with nail damage. This constellation of comorbidities reflects a patient with substantial medical complexity and vulnerability to musculoskeletal injury and impaired healing.</w:t>
      </w:r>
    </w:p>
    <w:p>
      <w:pPr>
        <w:spacing w:before="240" w:after="80"/>
        <w:pBdr>
          <w:bottom w:val="single" w:sz="4" w:space="1" w:color="1F3864"/>
        </w:pBdr>
      </w:pPr>
      <w:r>
        <w:rPr>
          <w:b/>
          <w:color w:val="1F3864"/>
          <w:sz w:val="26"/>
        </w:rPr>
        <w:t>II. EARLY MEDICAL ENCOUNTERS (2011–2020)</w:t>
      </w:r>
    </w:p>
    <w:p>
      <w:pPr>
        <w:spacing w:after="120"/>
      </w:pPr>
      <w:r>
        <w:rPr>
          <w:sz w:val="22"/>
        </w:rPr>
        <w:t>Records from Grady Health System document outpatient visits dating to February 2011 and October 2012 (rehabilitation and physical therapy). An inpatient admission occurred on June 11, 2014. Additional outpatient visits in April 2020 (laboratory studies) and an Emergency Department encounter on October 15, 2020 are documented. The clinical details of these earlier encounters relate primarily to Ms. Watkins' ongoing diabetes management and general medical maintenance, establishing a longitudinal pattern of chronic disease with recurrent healthcare utilization prior to the events central to this matter.</w:t>
      </w:r>
    </w:p>
    <w:p>
      <w:pPr>
        <w:spacing w:before="240" w:after="80"/>
        <w:pBdr>
          <w:bottom w:val="single" w:sz="4" w:space="1" w:color="1F3864"/>
        </w:pBdr>
      </w:pPr>
      <w:r>
        <w:rPr>
          <w:b/>
          <w:color w:val="1F3864"/>
          <w:sz w:val="26"/>
        </w:rPr>
        <w:t>III. JANUARY 2022 EMERGENCY DEPARTMENT PRESENTATION AND ADMISSION</w:t>
      </w:r>
    </w:p>
    <w:p>
      <w:pPr>
        <w:spacing w:after="120"/>
      </w:pPr>
      <w:r>
        <w:rPr>
          <w:sz w:val="22"/>
        </w:rPr>
        <w:t>On January 11, 2022, Ms. Watkins presented to the Grady Memorial Hospital Emergency Department with right foot pain and wound complications. She reported sustaining an injury to her right great toe approximately two weeks prior when she stubbed it on uneven tile at home, followed by a second injury to her right second toe in the shower approximately two to three days before presentation. She described progressive worsening of swelling and discoloration of the great toe, with the second toe turning black at the tip. Notably, she reported only occasional pain that was not worsened by walking or direct touch of the toes — a presentation characteristic of the reduced pain perception associated with her documented severe diabetic neuropathy.</w:t>
      </w:r>
    </w:p>
    <w:p>
      <w:pPr>
        <w:spacing w:after="120"/>
      </w:pPr>
      <w:r>
        <w:rPr>
          <w:sz w:val="22"/>
        </w:rPr>
        <w:t>On admission, her blood glucose was markedly elevated at 321 mg/dL, and her hemoglobin A1c was 9.8%. Vital signs otherwise included blood pressure of 161/74 and pulse of 97. Physical examination confirmed significant bilateral lower extremity neuropathy. Plain radiographs of the right foot demonstrated cortical erosion of the first proximal phalangeal head, interpreted as potentially representing a subacute fracture or early osteomyelitis. Inflammatory markers were mildly elevated (CRP 5.9, ESR 46), and blood cultures were negative. Ankle-brachial indices obtained via peripheral vascular resistance (PVR) studies were normal bilaterally, ruling out significant peripheral arterial disease.</w:t>
      </w:r>
    </w:p>
    <w:p>
      <w:pPr>
        <w:spacing w:after="120"/>
      </w:pPr>
      <w:r>
        <w:rPr>
          <w:sz w:val="22"/>
        </w:rPr>
        <w:t>Orthopedics was consulted and confirmed a blister over the great toe tip without erythema, with ecchymosis at the second toe. No operative debridement was recommended; the patient was placed in a hard-sole shoe with weight bearing as tolerated and directed to podiatry follow-up. Infectious Disease consultation concluded against the need for MRI at that time, recommending a 10-day oral antibiotic course of amoxicillin-clavulanate 875/125 mg and doxycycline 100 mg for soft tissue infection, with a plan for repeat radiographs in two to four weeks. Occupational Therapy identified right wrist carpal tunnel syndrome (positive Tinel's and Phalen's signs), fitting her with a wrist cock-up splint. The Diabetes Educator reviewed blood glucose monitoring and insulin regimen with the patient.</w:t>
      </w:r>
    </w:p>
    <w:p>
      <w:pPr>
        <w:spacing w:after="120"/>
      </w:pPr>
      <w:r>
        <w:rPr>
          <w:sz w:val="22"/>
        </w:rPr>
        <w:t>Ms. Watkins was discharged home on January 12, 2022, with diagnoses of right great toe subacute fracture, right second toe nonpurulent skin and soft tissue infection, insulin-dependent T2DM, and severe diabetic neuropathy. She was directed to follow up with podiatry, the diabetes clinic, and a primary care provider.</w:t>
      </w:r>
    </w:p>
    <w:p>
      <w:pPr>
        <w:spacing w:before="240" w:after="80"/>
        <w:pBdr>
          <w:bottom w:val="single" w:sz="4" w:space="1" w:color="1F3864"/>
        </w:pBdr>
      </w:pPr>
      <w:r>
        <w:rPr>
          <w:b/>
          <w:color w:val="1F3864"/>
          <w:sz w:val="26"/>
        </w:rPr>
        <w:t>IV. DECEMBER 2022 – GASTROINTESTINAL PROCEDURES</w:t>
      </w:r>
    </w:p>
    <w:p>
      <w:pPr>
        <w:spacing w:after="120"/>
      </w:pPr>
      <w:r>
        <w:rPr>
          <w:sz w:val="22"/>
        </w:rPr>
        <w:t>On December 27, 2022, Ms. Watkins underwent combined esophagogastroduodenoscopy (EGD) and colonoscopy at Grady's GI procedure suite under monitored anesthesia care (MAC). The indication for EGD was epigastric pain evaluation; the colonoscopy was for colorectal cancer screening. EGD revealed a one-centimeter patch of salmon-colored mucosa just above the gastroesophageal junction, concerning for Barrett's esophagus, with biopsies taken. LA Class A esophagitis was noted. The colonoscopy identified polyps in the ascending colon (removed by cold biopsy), transverse colon (cold snare), and descending colon (cold snare), all submitted for pathology. The procedures were tolerated well, and she was discharged home the same day.</w:t>
      </w:r>
    </w:p>
    <w:p>
      <w:pPr>
        <w:spacing w:before="240" w:after="80"/>
        <w:pBdr>
          <w:bottom w:val="single" w:sz="4" w:space="1" w:color="1F3864"/>
        </w:pBdr>
      </w:pPr>
      <w:r>
        <w:rPr>
          <w:b/>
          <w:color w:val="1F3864"/>
          <w:sz w:val="26"/>
        </w:rPr>
        <w:t>V. NOVEMBER 2023 – RIGHT FOOT SURGERY (FIRST PIPJ ARTHRODESIS)</w:t>
      </w:r>
    </w:p>
    <w:p>
      <w:pPr>
        <w:spacing w:after="120"/>
      </w:pPr>
      <w:r>
        <w:rPr>
          <w:sz w:val="22"/>
        </w:rPr>
        <w:t>By November 30, 2023, Ms. Watkins presented to Grady's Podiatry/Orthopedics service with a right foot ulcer extending to the fat layer and a right hallux malleus (hammer toe deformity), in the context of her diabetic polyneuropathy. Under the care of Dr. Gabriel Santamarina, DPM, she underwent outpatient right first proximal interphalangeal joint (PIPJ) arthrodesis with fixation using an Arthrex 2.5 x 44 mm headless compression screw, combined with application of a skin substitute allograft. The wound was classified as Class I (clean). Bone tissue was submitted for surgical pathology. The procedure was performed under local anesthesia with sedation and was tolerated well. She was discharged home the same day.</w:t>
      </w:r>
    </w:p>
    <w:p>
      <w:pPr>
        <w:spacing w:after="120"/>
      </w:pPr>
      <w:r>
        <w:rPr>
          <w:sz w:val="22"/>
        </w:rPr>
        <w:t>This surgery reflects the progressive nature of diabetic foot complications in the setting of her severe neuropathy. The right foot had been the locus of prior injury in January 2022, and the subsequent development of a full-thickness foot ulcer and toe deformity requiring surgical arthrodesis is consistent with the known natural history of diabetic Charcot neuroarthropathy.</w:t>
      </w:r>
    </w:p>
    <w:p>
      <w:pPr>
        <w:spacing w:before="240" w:after="80"/>
        <w:pBdr>
          <w:bottom w:val="single" w:sz="4" w:space="1" w:color="1F3864"/>
        </w:pBdr>
      </w:pPr>
      <w:r>
        <w:rPr>
          <w:b/>
          <w:color w:val="1F3864"/>
          <w:sz w:val="26"/>
        </w:rPr>
        <w:t>VI. OCTOBER 2024 – LEFT EYE VITREORETINAL SURGERY</w:t>
      </w:r>
    </w:p>
    <w:p>
      <w:pPr>
        <w:spacing w:after="120"/>
      </w:pPr>
      <w:r>
        <w:rPr>
          <w:sz w:val="22"/>
        </w:rPr>
        <w:t>On October 11, 2024, Ms. Watkins underwent outpatient pars plana vitreoretinal surgery (aspiration/release of vitreous, subretinal, and choroidal fluid) of the left eye by Dr. Joshua Barnett, MD, at Grady's Ophthalmology service. The indication was proliferative diabetic retinopathy with vitreous hemorrhage of the left eye. This procedure represents a direct complication of her long-standing uncontrolled diabetes affecting the posterior segment of the eye. She tolerated the procedure well and was discharged home the same day.</w:t>
      </w:r>
    </w:p>
    <w:p>
      <w:pPr>
        <w:spacing w:before="240" w:after="80"/>
        <w:pBdr>
          <w:bottom w:val="single" w:sz="4" w:space="1" w:color="1F3864"/>
        </w:pBdr>
      </w:pPr>
      <w:r>
        <w:rPr>
          <w:b/>
          <w:color w:val="1F3864"/>
          <w:sz w:val="26"/>
        </w:rPr>
        <w:t>VII. 2025 – RIGHT FOOT LISFRANC DISLOCATION, MULTIPLE SURGERIES, AND HOSPITALIZATIONS</w:t>
      </w:r>
    </w:p>
    <w:p>
      <w:pPr>
        <w:spacing w:before="160" w:after="40"/>
      </w:pPr>
      <w:r>
        <w:rPr>
          <w:b/>
          <w:color w:val="1F3864"/>
          <w:sz w:val="22"/>
        </w:rPr>
        <w:t>A. June 2025 Podiatry Evaluation</w:t>
      </w:r>
    </w:p>
    <w:p>
      <w:pPr>
        <w:spacing w:after="120"/>
      </w:pPr>
      <w:r>
        <w:rPr>
          <w:sz w:val="22"/>
        </w:rPr>
        <w:t>At a podiatry clinic visit on June 24, 2025, Ms. Watkins presented with a two-month history of new right foot swelling. She explicitly denied any accidents or trauma at that visit. Physical examination revealed significant mobility of the right midfoot joints, excessive dorsal prominences about the Lisfranc's joint complex, collapse of the right medial arch height, and absent protective sensation bilaterally. Vascular status was intact, with palpable dorsalis pedis and posterior tibial pulses and capillary refill time less than three seconds. The clinical picture was consistent with a Lisfranc joint complex disruption in the context of Charcot neuroarthropathy.</w:t>
      </w:r>
    </w:p>
    <w:p>
      <w:pPr>
        <w:spacing w:before="160" w:after="40"/>
      </w:pPr>
      <w:r>
        <w:rPr>
          <w:b/>
          <w:color w:val="1F3864"/>
          <w:sz w:val="22"/>
        </w:rPr>
        <w:t>B. July 3, 2025 – Lisfranc Open Reduction, Internal Fixation, and Arthrodesis</w:t>
      </w:r>
    </w:p>
    <w:p>
      <w:pPr>
        <w:spacing w:after="120"/>
      </w:pPr>
      <w:r>
        <w:rPr>
          <w:sz w:val="22"/>
        </w:rPr>
        <w:t>On July 3, 2025, Dr. Santamarina performed open reduction of the right Lisfranc's joint complex dislocation, arthrodesis of the right first metatarsal-cuneiform joint, and application of a skin substitute allograft (25 square centimeters). The surgical technique involved a 6-centimeter dorsal incision with exposure of the Lisfranc complex; intraoperative findings confirmed increased separation between the second metatarsal and medial cuneiform. Reduction was achieved manually under fluoroscopy and maintained with an Arthrex Lisfranc tightrope system, followed by fusion of the first metatarsal-cuneiform joint with a 4.0 mm Arthrex partially threaded screw. The operative diagnoses included right foot Lisfranc's joint complex dislocation, Charcot's joint of the right foot, pathological fracture of the right foot (initial encounter), Lisfranc's sprain (initial encounter), and diabetic polyneuropathy. The problem list at this encounter also formally noted 'Injury due to impact of moving subject with stationary object' as a diagnosis.</w:t>
      </w:r>
    </w:p>
    <w:p>
      <w:pPr>
        <w:spacing w:after="120"/>
      </w:pPr>
      <w:r>
        <w:rPr>
          <w:sz w:val="22"/>
        </w:rPr>
        <w:t>Estimated blood loss was 20 mL. The patient tolerated the procedure and was discharged home the same day with instructions to use a CAM walker at all times except when sleeping or showering.</w:t>
      </w:r>
    </w:p>
    <w:p>
      <w:pPr>
        <w:spacing w:before="160" w:after="40"/>
      </w:pPr>
      <w:r>
        <w:rPr>
          <w:b/>
          <w:color w:val="1F3864"/>
          <w:sz w:val="22"/>
        </w:rPr>
        <w:t>C. July 15, 2025 – Follow-Up and Hardware Complication Identified</w:t>
      </w:r>
    </w:p>
    <w:p>
      <w:pPr>
        <w:spacing w:after="120"/>
      </w:pPr>
      <w:r>
        <w:rPr>
          <w:sz w:val="22"/>
        </w:rPr>
        <w:t>At the follow-up appointment on July 15, 2025, the Lisfranc 'impact injury' diagnosis was formally added to the problem list, along with mechanical breakdown of internal fixation device and bilateral foot skin ulcers. Standing radiographs of the right foot demonstrated persistent widening of the Lisfranc interval despite the tightrope repair and screw fixation, with increased osseous bridging at the dorsal fracture site. A K-wire was identified in the superficial plantar soft tissues, raising concern for hardware migration. The assessment at this visit included failure of hardware/implant, right foot, and impact injury as the underlying cause.</w:t>
      </w:r>
    </w:p>
    <w:p>
      <w:pPr>
        <w:spacing w:before="160" w:after="40"/>
      </w:pPr>
      <w:r>
        <w:rPr>
          <w:b/>
          <w:color w:val="1F3864"/>
          <w:sz w:val="22"/>
        </w:rPr>
        <w:t>D. July 17, 2025 – Revision Surgery: Hardware Removal and Fusion</w:t>
      </w:r>
    </w:p>
    <w:p>
      <w:pPr>
        <w:spacing w:after="120"/>
      </w:pPr>
      <w:r>
        <w:rPr>
          <w:sz w:val="22"/>
        </w:rPr>
        <w:t>On July 17, 2025, Ms. Watkins underwent revision surgery under general anesthesia: deep hardware removal from the right foot and repeat fusion of the right foot joint. The operative diagnoses were failed hardware, right foot; status post impact injury of right foot, initial encounter; diabetic polyneuropathy; and Charcot neuroarthropathy. An operative culture grew Enterobacter cloacae — the same organism identified from the July 3 procedure, which had not been treated with targeted antibiotics. Estimated blood loss was 35 mL. She was discharged home the same day.</w:t>
      </w:r>
    </w:p>
    <w:p>
      <w:pPr>
        <w:spacing w:before="160" w:after="40"/>
      </w:pPr>
      <w:r>
        <w:rPr>
          <w:b/>
          <w:color w:val="1F3864"/>
          <w:sz w:val="22"/>
        </w:rPr>
        <w:t>E. August 17–20, 2025 – Inpatient Admission: Polymicrobial Wound Infection</w:t>
      </w:r>
    </w:p>
    <w:p>
      <w:pPr>
        <w:spacing w:after="120"/>
      </w:pPr>
      <w:r>
        <w:rPr>
          <w:sz w:val="22"/>
        </w:rPr>
        <w:t>Ms. Watkins was admitted on August 17, 2025, presenting with intractable nausea and vomiting. Examination of her post-operative right foot wound revealed purulent drainage without surrounding erythema, fluctuance, or significant pain — again consistent with her diminished protective sensation. On August 20, Dr. Santamarina performed wound debridement with deep exudate culture, which grew a polymicrobial infection: Enterobacter cloacae, Klebsiella pneumoniae, and Streptococcus agalactiae. Dr. Santamarina did not identify concern for osteomyelitis or hardware involvement. Infectious Disease consultation was obtained, and Levofloxacin 750 mg daily for 10 days was recommended for polymicrobial SSTI. Her white blood cell count remained within normal limits and she remained afebrile throughout the admission. She was discharged home on August 20, 2025.</w:t>
      </w:r>
    </w:p>
    <w:p>
      <w:pPr>
        <w:spacing w:before="160" w:after="40"/>
      </w:pPr>
      <w:r>
        <w:rPr>
          <w:b/>
          <w:color w:val="1F3864"/>
          <w:sz w:val="22"/>
        </w:rPr>
        <w:t>F. August 26–29, 2025 – Inpatient Admission: Euglycemic Diabetic Ketoacidosis</w:t>
      </w:r>
    </w:p>
    <w:p>
      <w:pPr>
        <w:spacing w:after="120"/>
      </w:pPr>
      <w:r>
        <w:rPr>
          <w:sz w:val="22"/>
        </w:rPr>
        <w:t>Just days after her prior discharge, Ms. Watkins was readmitted on August 26, 2025, with a three-day history of nausea, vomiting, and inability to tolerate oral intake. Laboratory evaluation demonstrated euglycemic diabetic ketoacidosis (blood glucose 288, anion gap 18, beta-hydroxybutyrate 3.6, venous pH 7.45), attributed to her use of an SGLT-2 inhibitor (Xigduo/dapagliflozin-metformin) in the setting of poor oral intake and missed insulin doses. Hypokalemia and hypomagnesemia were identified and repleted. Acute kidney injury (creatinine 1.1 above baseline) resolved with intravenous fluids. Blood pressure reached as high as the 170s systolic; Lisinopril was held and amlodipine (Norvasc) 5 mg daily was initiated. An incidental new cardiac finding — a 3/6 holosystolic murmur over the left upper sternal border — was noted and flagged for outpatient follow-up.</w:t>
      </w:r>
    </w:p>
    <w:p>
      <w:pPr>
        <w:spacing w:after="120"/>
      </w:pPr>
      <w:r>
        <w:rPr>
          <w:sz w:val="22"/>
        </w:rPr>
        <w:t>The right foot wound appeared clean, dry, and intact on dressings. Levofloxacin was resumed for the remaining two days of her 10-day course. The SGLT-2 inhibitor was discontinued at discharge. She was discharged home on August 29, 2025, in stable condition, with a follow-up appointment arranged with her primary care provider for September 11, 2025.</w:t>
      </w:r>
    </w:p>
    <w:p>
      <w:pPr>
        <w:spacing w:before="240" w:after="80"/>
        <w:pBdr>
          <w:bottom w:val="single" w:sz="4" w:space="1" w:color="1F3864"/>
        </w:pBdr>
      </w:pPr>
      <w:r>
        <w:rPr>
          <w:b/>
          <w:color w:val="1F3864"/>
          <w:sz w:val="26"/>
        </w:rPr>
        <w:t>VIII. SEPTEMBER 2025 – LEFT EYE CATARACT SURGERY</w:t>
      </w:r>
    </w:p>
    <w:p>
      <w:pPr>
        <w:spacing w:after="120"/>
      </w:pPr>
      <w:r>
        <w:rPr>
          <w:sz w:val="22"/>
        </w:rPr>
        <w:t>On September 22, 2025, Ms. Watkins underwent outpatient left eye cataract surgery — phacoemulsification with posterior chamber intraocular lens implantation (Phaco/PCIOL) — at Grady's Ophthalmology service. The procedure addressed a combined age-related and diabetic cataract of the left eye. She tolerated the procedure well and was discharged home the same day with post-operative ophthalmic medication instructions.</w:t>
      </w:r>
    </w:p>
    <w:p>
      <w:pPr>
        <w:spacing w:before="240" w:after="80"/>
        <w:pBdr>
          <w:bottom w:val="single" w:sz="4" w:space="1" w:color="1F3864"/>
        </w:pBdr>
      </w:pPr>
      <w:r>
        <w:rPr>
          <w:b/>
          <w:color w:val="1F3864"/>
          <w:sz w:val="26"/>
        </w:rPr>
        <w:t>IX. JANUARY 2026 AND MARCH 2026 ENCOUNTERS</w:t>
      </w:r>
    </w:p>
    <w:p>
      <w:pPr>
        <w:spacing w:after="120"/>
      </w:pPr>
      <w:r>
        <w:rPr>
          <w:sz w:val="22"/>
        </w:rPr>
        <w:t>On January 15, 2026, Ms. Watkins was seen at Grady Health System for outpatient care, with multiple encounter types documented including history and physical examinations, operative reports, nursing notes, and radiology studies. The specific procedural details of these encounters would require further clinical review of the individual encounter notes.</w:t>
      </w:r>
    </w:p>
    <w:p>
      <w:pPr>
        <w:spacing w:after="120"/>
      </w:pPr>
      <w:r>
        <w:rPr>
          <w:sz w:val="22"/>
        </w:rPr>
        <w:t>On March 26, 2026, Ms. Watkins was admitted inpatient to Grady Health System. Diagnoses at this admission included hyperglycemia and diabetic ketoacidosis. Hospital records for this encounter are included in the record set and include progress notes, nursing notes, physician orders, radiology, cardiology, and special procedures documentation. This admission represents the most recent encounter in the provided record set, with records retrieved through May 20, 2026.</w:t>
      </w:r>
    </w:p>
    <w:p>
      <w:pPr>
        <w:spacing w:before="240" w:after="80"/>
        <w:pBdr>
          <w:bottom w:val="single" w:sz="4" w:space="1" w:color="1F3864"/>
        </w:pBdr>
      </w:pPr>
      <w:r>
        <w:rPr>
          <w:b/>
          <w:color w:val="1F3864"/>
          <w:sz w:val="26"/>
        </w:rPr>
        <w:t>X. SUMMARY OF SURGICAL AND PROCEDURAL HISTORY</w:t>
      </w:r>
    </w:p>
    <w:p>
      <w:pPr>
        <w:spacing w:after="120"/>
      </w:pPr>
      <w:r>
        <w:rPr>
          <w:sz w:val="22"/>
        </w:rPr>
        <w:t>In summary, Ms. Watkins has undergone the following surgical procedures documented within this record set, in chronological order: (1) EGD and colonoscopy, December 27, 2022; (2) Right first PIPJ arthrodesis with skin graft allograft, November 30, 2023; (3) Left eye pars plana vitreoretinal surgery, October 11, 2024; (4) Right foot Lisfranc open reduction, internal fixation, arthrodesis, and skin graft allograft, July 3, 2025; (5) Right foot hardware removal and revision fusion, July 17, 2025; (6) Left eye cataract surgery (Phaco/PCIOL), September 22, 2025; and additional procedures documented in January 2026. Her clinical course reflects the compounding effects of long-standing, poorly controlled diabetes with progressive multisystem complications, complicated by the Lisfranc joint pathology that is the central surgical focus of the 2025 treatment course.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CONFIDENTIAL – Watkins, Yasmin – Medical Narrative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0707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