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3"/>
        <w:gridCol w:w="2010"/>
        <w:gridCol w:w="6110"/>
      </w:tblGrid>
      <w:tr>
        <w:trPr>
          <w:trHeight w:val="252" w:hRule="atLeast"/>
        </w:trPr>
        <w:tc>
          <w:tcPr>
            <w:tcW w:w="1933" w:type="dxa"/>
            <w:tcBorders>
              <w:top w:val="nil"/>
              <w:left w:val="nil"/>
            </w:tcBorders>
          </w:tcPr>
          <w:p>
            <w:pPr>
              <w:pStyle w:val="TableParagraph"/>
              <w:ind w:left="4"/>
              <w:rPr>
                <w:sz w:val="14"/>
              </w:rPr>
            </w:pPr>
            <w:r>
              <w:rPr>
                <w:color w:val="FF0000"/>
                <w:sz w:val="14"/>
              </w:rPr>
              <w:t>Received: Added at production</w:t>
            </w:r>
          </w:p>
        </w:tc>
        <w:tc>
          <w:tcPr>
            <w:tcW w:w="2010" w:type="dxa"/>
            <w:tcBorders>
              <w:top w:val="nil"/>
            </w:tcBorders>
          </w:tcPr>
          <w:p>
            <w:pPr>
              <w:pStyle w:val="TableParagraph"/>
              <w:rPr>
                <w:sz w:val="14"/>
              </w:rPr>
            </w:pPr>
            <w:r>
              <w:rPr>
                <w:color w:val="FF0000"/>
                <w:sz w:val="14"/>
              </w:rPr>
              <w:t>Revised: Added at production</w:t>
            </w:r>
          </w:p>
        </w:tc>
        <w:tc>
          <w:tcPr>
            <w:tcW w:w="6110" w:type="dxa"/>
            <w:tcBorders>
              <w:top w:val="nil"/>
              <w:right w:val="nil"/>
            </w:tcBorders>
          </w:tcPr>
          <w:p>
            <w:pPr>
              <w:pStyle w:val="TableParagraph"/>
              <w:rPr>
                <w:sz w:val="14"/>
              </w:rPr>
            </w:pPr>
            <w:r>
              <w:rPr>
                <w:color w:val="FF0000"/>
                <w:sz w:val="14"/>
              </w:rPr>
              <w:t>Accepted: Added at production</w:t>
            </w:r>
          </w:p>
        </w:tc>
      </w:tr>
    </w:tbl>
    <w:p>
      <w:pPr>
        <w:spacing w:before="40"/>
        <w:ind w:left="176" w:right="0" w:firstLine="0"/>
        <w:jc w:val="left"/>
        <w:rPr>
          <w:sz w:val="14"/>
        </w:rPr>
      </w:pPr>
      <w:r>
        <w:rPr>
          <w:sz w:val="14"/>
        </w:rPr>
        <w:t>DOI: xxx/xxxx</w:t>
      </w:r>
    </w:p>
    <w:p>
      <w:pPr>
        <w:pStyle w:val="BodyText"/>
        <w:rPr>
          <w:sz w:val="16"/>
        </w:rPr>
      </w:pPr>
    </w:p>
    <w:p>
      <w:pPr>
        <w:pStyle w:val="BodyText"/>
        <w:spacing w:before="8"/>
        <w:rPr>
          <w:sz w:val="15"/>
        </w:rPr>
      </w:pPr>
    </w:p>
    <w:p>
      <w:pPr>
        <w:spacing w:before="0"/>
        <w:ind w:left="176" w:right="0" w:firstLine="0"/>
        <w:jc w:val="left"/>
        <w:rPr>
          <w:b/>
          <w:sz w:val="18"/>
        </w:rPr>
      </w:pPr>
      <w:r>
        <w:rPr/>
        <w:pict>
          <v:shape style="position:absolute;margin-left:45.827999pt;margin-top:13.881346pt;width:86.65pt;height:.1pt;mso-position-horizontal-relative:page;mso-position-vertical-relative:paragraph;z-index:-15728640;mso-wrap-distance-left:0;mso-wrap-distance-right:0" coordorigin="917,278" coordsize="1733,0" path="m917,278l2649,278e" filled="false" stroked="true" strokeweight=".9963pt" strokecolor="#000000">
            <v:path arrowok="t"/>
            <v:stroke dashstyle="solid"/>
            <w10:wrap type="topAndBottom"/>
          </v:shape>
        </w:pict>
      </w:r>
      <w:bookmarkStart w:name="Exploitation of Eurosystem Loopholes and" w:id="1"/>
      <w:bookmarkEnd w:id="1"/>
      <w:r>
        <w:rPr/>
      </w:r>
      <w:bookmarkStart w:name="Abstract" w:id="2"/>
      <w:bookmarkEnd w:id="2"/>
      <w:r>
        <w:rPr/>
      </w:r>
      <w:r>
        <w:rPr>
          <w:b/>
          <w:sz w:val="18"/>
        </w:rPr>
        <w:t>A R T I C L E T Y P E</w:t>
      </w:r>
    </w:p>
    <w:p>
      <w:pPr>
        <w:pStyle w:val="BodyText"/>
        <w:spacing w:before="4"/>
        <w:rPr>
          <w:b/>
          <w:sz w:val="32"/>
        </w:rPr>
      </w:pPr>
    </w:p>
    <w:p>
      <w:pPr>
        <w:pStyle w:val="Title"/>
        <w:spacing w:line="266" w:lineRule="auto"/>
      </w:pPr>
      <w:r>
        <w:rPr/>
        <w:t>Exploitation of Eurosystem Loopholes and Their</w:t>
      </w:r>
      <w:r>
        <w:rPr>
          <w:spacing w:val="-63"/>
        </w:rPr>
        <w:t> </w:t>
      </w:r>
      <w:r>
        <w:rPr/>
        <w:t>Quantitative Reconstruction</w:t>
      </w:r>
    </w:p>
    <w:p>
      <w:pPr>
        <w:pStyle w:val="Heading1"/>
        <w:spacing w:before="368"/>
      </w:pPr>
      <w:r>
        <w:rPr/>
        <w:t>Karl Svozil</w:t>
      </w:r>
    </w:p>
    <w:p>
      <w:pPr>
        <w:pStyle w:val="BodyText"/>
        <w:rPr>
          <w:b/>
        </w:rPr>
      </w:pPr>
    </w:p>
    <w:p>
      <w:pPr>
        <w:spacing w:after="0"/>
        <w:sectPr>
          <w:type w:val="continuous"/>
          <w:pgSz w:w="11910" w:h="15650"/>
          <w:pgMar w:top="480" w:bottom="280" w:left="740" w:right="760"/>
        </w:sectPr>
      </w:pPr>
    </w:p>
    <w:p>
      <w:pPr>
        <w:pStyle w:val="BodyText"/>
        <w:spacing w:before="10"/>
        <w:rPr>
          <w:b/>
          <w:sz w:val="19"/>
        </w:rPr>
      </w:pPr>
    </w:p>
    <w:p>
      <w:pPr>
        <w:spacing w:line="297" w:lineRule="auto" w:before="0"/>
        <w:ind w:left="171" w:right="-5" w:firstLine="5"/>
        <w:jc w:val="left"/>
        <w:rPr>
          <w:sz w:val="14"/>
        </w:rPr>
      </w:pPr>
      <w:r>
        <w:rPr>
          <w:sz w:val="14"/>
        </w:rPr>
        <w:t>Institute for Theoretical Physics, TU Wien, Vienna, Austria</w:t>
      </w:r>
    </w:p>
    <w:p>
      <w:pPr>
        <w:pStyle w:val="BodyText"/>
        <w:spacing w:before="6"/>
        <w:rPr>
          <w:sz w:val="15"/>
        </w:rPr>
      </w:pPr>
    </w:p>
    <w:p>
      <w:pPr>
        <w:spacing w:before="0"/>
        <w:ind w:left="176" w:right="0" w:firstLine="0"/>
        <w:jc w:val="left"/>
        <w:rPr>
          <w:b/>
          <w:sz w:val="14"/>
        </w:rPr>
      </w:pPr>
      <w:r>
        <w:rPr>
          <w:b/>
          <w:sz w:val="14"/>
        </w:rPr>
        <w:t>Correspondence</w:t>
      </w:r>
    </w:p>
    <w:p>
      <w:pPr>
        <w:spacing w:line="326" w:lineRule="auto" w:before="58"/>
        <w:ind w:left="176" w:right="622" w:firstLine="0"/>
        <w:jc w:val="left"/>
        <w:rPr>
          <w:sz w:val="14"/>
        </w:rPr>
      </w:pPr>
      <w:r>
        <w:rPr>
          <w:sz w:val="14"/>
        </w:rPr>
        <w:t>Corresponding author Karl Svozil. Email: </w:t>
      </w:r>
      <w:hyperlink r:id="rId5">
        <w:r>
          <w:rPr>
            <w:sz w:val="14"/>
          </w:rPr>
          <w:t>karl.sv</w:t>
        </w:r>
      </w:hyperlink>
      <w:hyperlink r:id="rId6">
        <w:r>
          <w:rPr>
            <w:sz w:val="14"/>
          </w:rPr>
          <w:t>ozil@tuwien.ac.at</w:t>
        </w:r>
      </w:hyperlink>
    </w:p>
    <w:p>
      <w:pPr>
        <w:pStyle w:val="BodyText"/>
        <w:spacing w:before="10"/>
        <w:rPr>
          <w:sz w:val="13"/>
        </w:rPr>
      </w:pPr>
    </w:p>
    <w:p>
      <w:pPr>
        <w:spacing w:before="0"/>
        <w:ind w:left="176" w:right="0" w:firstLine="0"/>
        <w:jc w:val="left"/>
        <w:rPr>
          <w:b/>
          <w:sz w:val="14"/>
        </w:rPr>
      </w:pPr>
      <w:r>
        <w:rPr>
          <w:b/>
          <w:sz w:val="14"/>
        </w:rPr>
        <w:t>Present address</w:t>
      </w:r>
    </w:p>
    <w:p>
      <w:pPr>
        <w:spacing w:line="326" w:lineRule="auto" w:before="59"/>
        <w:ind w:left="171" w:right="-5" w:hanging="2"/>
        <w:jc w:val="left"/>
        <w:rPr>
          <w:sz w:val="14"/>
        </w:rPr>
      </w:pPr>
      <w:r>
        <w:rPr>
          <w:sz w:val="14"/>
        </w:rPr>
        <w:t>Wiedner Hauptstrasse 8-10/136, A-1040 Vienna, Austria.</w:t>
      </w:r>
    </w:p>
    <w:p>
      <w:pPr>
        <w:spacing w:before="225"/>
        <w:ind w:left="175" w:right="0" w:firstLine="0"/>
        <w:jc w:val="left"/>
        <w:rPr>
          <w:b/>
          <w:sz w:val="20"/>
        </w:rPr>
      </w:pPr>
      <w:r>
        <w:rPr/>
        <w:br w:type="column"/>
      </w:r>
      <w:r>
        <w:rPr>
          <w:b/>
          <w:sz w:val="20"/>
        </w:rPr>
        <w:t>Abstract</w:t>
      </w:r>
    </w:p>
    <w:p>
      <w:pPr>
        <w:spacing w:line="312" w:lineRule="auto" w:before="106"/>
        <w:ind w:left="170" w:right="227" w:firstLine="0"/>
        <w:jc w:val="both"/>
        <w:rPr>
          <w:sz w:val="16"/>
        </w:rPr>
      </w:pPr>
      <w:r>
        <w:rPr/>
        <w:pict>
          <v:line style="position:absolute;mso-position-horizontal-relative:page;mso-position-vertical-relative:paragraph;z-index:15730176" from="196.513pt,157.896773pt" to="196.513pt,-9.538227pt" stroked="true" strokeweight=".4981pt" strokecolor="#000000">
            <v:stroke dashstyle="solid"/>
            <w10:wrap type="none"/>
          </v:line>
        </w:pict>
      </w:r>
      <w:r>
        <w:rPr>
          <w:sz w:val="16"/>
        </w:rPr>
        <w:t>This paper identiﬁes and analyzes six key strategies used to exploit the Eurosystem’s ﬁnancial mecha- nisms, and attempts a quantitative reconstruction: inﬂating </w:t>
      </w:r>
      <w:r>
        <w:rPr>
          <w:spacing w:val="-3"/>
          <w:sz w:val="16"/>
        </w:rPr>
        <w:t>TARGET </w:t>
      </w:r>
      <w:r>
        <w:rPr>
          <w:sz w:val="16"/>
        </w:rPr>
        <w:t>balances, leveraging collateral swaps followed by defaults, diluting self-imposed regulatory rules, issuing money through Emergency Liquidity Assistance (ELA), acquisitions facilitated via the Agreement on Net Financial Assets (ANFA), and the perpetual</w:t>
      </w:r>
      <w:r>
        <w:rPr>
          <w:spacing w:val="-7"/>
          <w:sz w:val="16"/>
        </w:rPr>
        <w:t> </w:t>
      </w:r>
      <w:r>
        <w:rPr>
          <w:sz w:val="16"/>
        </w:rPr>
        <w:t>(re)issuance</w:t>
      </w:r>
      <w:r>
        <w:rPr>
          <w:spacing w:val="-6"/>
          <w:sz w:val="16"/>
        </w:rPr>
        <w:t> </w:t>
      </w:r>
      <w:r>
        <w:rPr>
          <w:sz w:val="16"/>
        </w:rPr>
        <w:t>of</w:t>
      </w:r>
      <w:r>
        <w:rPr>
          <w:spacing w:val="-6"/>
          <w:sz w:val="16"/>
        </w:rPr>
        <w:t> </w:t>
      </w:r>
      <w:r>
        <w:rPr>
          <w:sz w:val="16"/>
        </w:rPr>
        <w:t>sovereign</w:t>
      </w:r>
      <w:r>
        <w:rPr>
          <w:spacing w:val="-6"/>
          <w:sz w:val="16"/>
        </w:rPr>
        <w:t> </w:t>
      </w:r>
      <w:r>
        <w:rPr>
          <w:sz w:val="16"/>
        </w:rPr>
        <w:t>bonds</w:t>
      </w:r>
      <w:r>
        <w:rPr>
          <w:spacing w:val="-6"/>
          <w:sz w:val="16"/>
        </w:rPr>
        <w:t> </w:t>
      </w:r>
      <w:r>
        <w:rPr>
          <w:sz w:val="16"/>
        </w:rPr>
        <w:t>as</w:t>
      </w:r>
      <w:r>
        <w:rPr>
          <w:spacing w:val="-6"/>
          <w:sz w:val="16"/>
        </w:rPr>
        <w:t> </w:t>
      </w:r>
      <w:r>
        <w:rPr>
          <w:sz w:val="16"/>
        </w:rPr>
        <w:t>collateral.</w:t>
      </w:r>
      <w:r>
        <w:rPr>
          <w:spacing w:val="-6"/>
          <w:sz w:val="16"/>
        </w:rPr>
        <w:t> </w:t>
      </w:r>
      <w:r>
        <w:rPr>
          <w:sz w:val="16"/>
        </w:rPr>
        <w:t>The</w:t>
      </w:r>
      <w:r>
        <w:rPr>
          <w:spacing w:val="-6"/>
          <w:sz w:val="16"/>
        </w:rPr>
        <w:t> </w:t>
      </w:r>
      <w:r>
        <w:rPr>
          <w:sz w:val="16"/>
        </w:rPr>
        <w:t>paper</w:t>
      </w:r>
      <w:r>
        <w:rPr>
          <w:spacing w:val="-6"/>
          <w:sz w:val="16"/>
        </w:rPr>
        <w:t> </w:t>
      </w:r>
      <w:r>
        <w:rPr>
          <w:sz w:val="16"/>
        </w:rPr>
        <w:t>argues</w:t>
      </w:r>
      <w:r>
        <w:rPr>
          <w:spacing w:val="-6"/>
          <w:sz w:val="16"/>
        </w:rPr>
        <w:t> </w:t>
      </w:r>
      <w:r>
        <w:rPr>
          <w:sz w:val="16"/>
        </w:rPr>
        <w:t>that</w:t>
      </w:r>
      <w:r>
        <w:rPr>
          <w:spacing w:val="-6"/>
          <w:sz w:val="16"/>
        </w:rPr>
        <w:t> </w:t>
      </w:r>
      <w:r>
        <w:rPr>
          <w:sz w:val="16"/>
        </w:rPr>
        <w:t>these</w:t>
      </w:r>
      <w:r>
        <w:rPr>
          <w:spacing w:val="-6"/>
          <w:sz w:val="16"/>
        </w:rPr>
        <w:t> </w:t>
      </w:r>
      <w:r>
        <w:rPr>
          <w:sz w:val="16"/>
        </w:rPr>
        <w:t>practices</w:t>
      </w:r>
      <w:r>
        <w:rPr>
          <w:spacing w:val="-6"/>
          <w:sz w:val="16"/>
        </w:rPr>
        <w:t> </w:t>
      </w:r>
      <w:r>
        <w:rPr>
          <w:sz w:val="16"/>
        </w:rPr>
        <w:t>stem</w:t>
      </w:r>
      <w:r>
        <w:rPr>
          <w:spacing w:val="-6"/>
          <w:sz w:val="16"/>
        </w:rPr>
        <w:t> </w:t>
      </w:r>
      <w:r>
        <w:rPr>
          <w:sz w:val="16"/>
        </w:rPr>
        <w:t>from</w:t>
      </w:r>
      <w:r>
        <w:rPr>
          <w:spacing w:val="-6"/>
          <w:sz w:val="16"/>
        </w:rPr>
        <w:t> </w:t>
      </w:r>
      <w:r>
        <w:rPr>
          <w:sz w:val="16"/>
        </w:rPr>
        <w:t>sys- temic</w:t>
      </w:r>
      <w:r>
        <w:rPr>
          <w:spacing w:val="-6"/>
          <w:sz w:val="16"/>
        </w:rPr>
        <w:t> </w:t>
      </w:r>
      <w:r>
        <w:rPr>
          <w:sz w:val="16"/>
        </w:rPr>
        <w:t>vulnerabilities</w:t>
      </w:r>
      <w:r>
        <w:rPr>
          <w:spacing w:val="-6"/>
          <w:sz w:val="16"/>
        </w:rPr>
        <w:t> </w:t>
      </w:r>
      <w:r>
        <w:rPr>
          <w:sz w:val="16"/>
        </w:rPr>
        <w:t>or</w:t>
      </w:r>
      <w:r>
        <w:rPr>
          <w:spacing w:val="-6"/>
          <w:sz w:val="16"/>
        </w:rPr>
        <w:t> </w:t>
      </w:r>
      <w:r>
        <w:rPr>
          <w:sz w:val="16"/>
        </w:rPr>
        <w:t>deliberate</w:t>
      </w:r>
      <w:r>
        <w:rPr>
          <w:spacing w:val="-5"/>
          <w:sz w:val="16"/>
        </w:rPr>
        <w:t> </w:t>
      </w:r>
      <w:r>
        <w:rPr>
          <w:sz w:val="16"/>
        </w:rPr>
        <w:t>opportunism</w:t>
      </w:r>
      <w:r>
        <w:rPr>
          <w:spacing w:val="-6"/>
          <w:sz w:val="16"/>
        </w:rPr>
        <w:t> </w:t>
      </w:r>
      <w:r>
        <w:rPr>
          <w:sz w:val="16"/>
        </w:rPr>
        <w:t>within</w:t>
      </w:r>
      <w:r>
        <w:rPr>
          <w:spacing w:val="-6"/>
          <w:sz w:val="16"/>
        </w:rPr>
        <w:t> </w:t>
      </w:r>
      <w:r>
        <w:rPr>
          <w:sz w:val="16"/>
        </w:rPr>
        <w:t>the</w:t>
      </w:r>
      <w:r>
        <w:rPr>
          <w:spacing w:val="-6"/>
          <w:sz w:val="16"/>
        </w:rPr>
        <w:t> </w:t>
      </w:r>
      <w:r>
        <w:rPr>
          <w:sz w:val="16"/>
        </w:rPr>
        <w:t>Eurosystem.</w:t>
      </w:r>
      <w:r>
        <w:rPr>
          <w:spacing w:val="-5"/>
          <w:sz w:val="16"/>
        </w:rPr>
        <w:t> </w:t>
      </w:r>
      <w:r>
        <w:rPr>
          <w:sz w:val="16"/>
        </w:rPr>
        <w:t>While</w:t>
      </w:r>
      <w:r>
        <w:rPr>
          <w:spacing w:val="-6"/>
          <w:sz w:val="16"/>
        </w:rPr>
        <w:t> </w:t>
      </w:r>
      <w:r>
        <w:rPr>
          <w:sz w:val="16"/>
        </w:rPr>
        <w:t>it</w:t>
      </w:r>
      <w:r>
        <w:rPr>
          <w:spacing w:val="-6"/>
          <w:sz w:val="16"/>
        </w:rPr>
        <w:t> </w:t>
      </w:r>
      <w:r>
        <w:rPr>
          <w:sz w:val="16"/>
        </w:rPr>
        <w:t>does</w:t>
      </w:r>
      <w:r>
        <w:rPr>
          <w:spacing w:val="-6"/>
          <w:sz w:val="16"/>
        </w:rPr>
        <w:t> </w:t>
      </w:r>
      <w:r>
        <w:rPr>
          <w:sz w:val="16"/>
        </w:rPr>
        <w:t>not</w:t>
      </w:r>
      <w:r>
        <w:rPr>
          <w:spacing w:val="-5"/>
          <w:sz w:val="16"/>
        </w:rPr>
        <w:t> </w:t>
      </w:r>
      <w:r>
        <w:rPr>
          <w:sz w:val="16"/>
        </w:rPr>
        <w:t>advocate</w:t>
      </w:r>
      <w:r>
        <w:rPr>
          <w:spacing w:val="-6"/>
          <w:sz w:val="16"/>
        </w:rPr>
        <w:t> </w:t>
      </w:r>
      <w:r>
        <w:rPr>
          <w:sz w:val="16"/>
        </w:rPr>
        <w:t>for</w:t>
      </w:r>
      <w:r>
        <w:rPr>
          <w:spacing w:val="-6"/>
          <w:sz w:val="16"/>
        </w:rPr>
        <w:t> </w:t>
      </w:r>
      <w:r>
        <w:rPr>
          <w:sz w:val="16"/>
        </w:rPr>
        <w:t>illicit activities, the paper highlights signiﬁcant weaknesses in the current structure and concludes that compre- hensive reforms are urgently</w:t>
      </w:r>
      <w:r>
        <w:rPr>
          <w:spacing w:val="-5"/>
          <w:sz w:val="16"/>
        </w:rPr>
        <w:t> </w:t>
      </w:r>
      <w:r>
        <w:rPr>
          <w:sz w:val="16"/>
        </w:rPr>
        <w:t>needed.</w:t>
      </w:r>
    </w:p>
    <w:p>
      <w:pPr>
        <w:pStyle w:val="BodyText"/>
        <w:spacing w:before="10"/>
        <w:rPr>
          <w:sz w:val="18"/>
        </w:rPr>
      </w:pPr>
    </w:p>
    <w:p>
      <w:pPr>
        <w:spacing w:before="1"/>
        <w:ind w:left="175" w:right="0" w:firstLine="0"/>
        <w:jc w:val="left"/>
        <w:rPr>
          <w:b/>
          <w:sz w:val="14"/>
        </w:rPr>
      </w:pPr>
      <w:r>
        <w:rPr>
          <w:b/>
          <w:sz w:val="14"/>
        </w:rPr>
        <w:t>K E Y W O R D S</w:t>
      </w:r>
    </w:p>
    <w:p>
      <w:pPr>
        <w:spacing w:line="338" w:lineRule="auto" w:before="49"/>
        <w:ind w:left="170" w:right="234" w:firstLine="5"/>
        <w:jc w:val="both"/>
        <w:rPr>
          <w:sz w:val="16"/>
        </w:rPr>
      </w:pPr>
      <w:r>
        <w:rPr>
          <w:sz w:val="16"/>
        </w:rPr>
        <w:t>Eurosystem, TARGET balances, collateral, debt restructuring, Emergency Liquidity Assistance, ELA, Agreement on Net Financial Assets, ANFA, sovereign bonds, ﬁat currency, ﬁnancial reform</w:t>
      </w:r>
    </w:p>
    <w:p>
      <w:pPr>
        <w:spacing w:after="0" w:line="338" w:lineRule="auto"/>
        <w:jc w:val="both"/>
        <w:rPr>
          <w:sz w:val="16"/>
        </w:rPr>
        <w:sectPr>
          <w:type w:val="continuous"/>
          <w:pgSz w:w="11910" w:h="15650"/>
          <w:pgMar w:top="480" w:bottom="280" w:left="740" w:right="760"/>
          <w:cols w:num="2" w:equalWidth="0">
            <w:col w:w="3088" w:space="90"/>
            <w:col w:w="7232"/>
          </w:cols>
        </w:sectPr>
      </w:pPr>
    </w:p>
    <w:p>
      <w:pPr>
        <w:pStyle w:val="BodyText"/>
      </w:pPr>
    </w:p>
    <w:p>
      <w:pPr>
        <w:pStyle w:val="BodyText"/>
      </w:pPr>
    </w:p>
    <w:p>
      <w:pPr>
        <w:pStyle w:val="BodyText"/>
        <w:spacing w:before="1"/>
        <w:rPr>
          <w:sz w:val="25"/>
        </w:rPr>
      </w:pPr>
    </w:p>
    <w:p>
      <w:pPr>
        <w:pStyle w:val="Heading1"/>
        <w:numPr>
          <w:ilvl w:val="0"/>
          <w:numId w:val="1"/>
        </w:numPr>
        <w:tabs>
          <w:tab w:pos="973" w:val="left" w:leader="none"/>
          <w:tab w:pos="974" w:val="left" w:leader="none"/>
        </w:tabs>
        <w:spacing w:line="240" w:lineRule="auto" w:before="106" w:after="0"/>
        <w:ind w:left="973" w:right="0" w:hanging="798"/>
        <w:jc w:val="left"/>
      </w:pPr>
      <w:r>
        <w:rPr/>
        <w:pict>
          <v:line style="position:absolute;mso-position-horizontal-relative:page;mso-position-vertical-relative:paragraph;z-index:-16006144" from="67.248001pt,16.503111pt" to="67.248001pt,6.042111pt" stroked="true" strokeweight=".9963pt" strokecolor="#000000">
            <v:stroke dashstyle="solid"/>
            <w10:wrap type="none"/>
          </v:line>
        </w:pict>
      </w:r>
      <w:bookmarkStart w:name="Introduction" w:id="3"/>
      <w:bookmarkEnd w:id="3"/>
      <w:r>
        <w:rPr>
          <w:b w:val="0"/>
        </w:rPr>
      </w:r>
      <w:bookmarkStart w:name="Introduction" w:id="4"/>
      <w:bookmarkEnd w:id="4"/>
      <w:r>
        <w:rPr/>
        <w:t>INT</w:t>
      </w:r>
      <w:r>
        <w:rPr/>
        <w:t>RODUCTION</w:t>
      </w:r>
    </w:p>
    <w:p>
      <w:pPr>
        <w:pStyle w:val="BodyText"/>
        <w:spacing w:before="1"/>
        <w:rPr>
          <w:b/>
          <w:sz w:val="14"/>
        </w:rPr>
      </w:pPr>
    </w:p>
    <w:p>
      <w:pPr>
        <w:pStyle w:val="BodyText"/>
        <w:spacing w:line="271" w:lineRule="auto" w:before="98"/>
        <w:ind w:left="176" w:right="139" w:hanging="7"/>
        <w:jc w:val="both"/>
      </w:pPr>
      <w:r>
        <w:rPr/>
        <w:t>The inherent intangibility of ﬁat currencies, such as the Euro, presents opportunities for debasement and resource reallocation strategies. This issue is exacerbated when nations with diverse economic conditions and demands form a monetary union. Moreover, the advanced and nuanced nature of these strategies surpasses traditional debasement and counterfeiting methods typically seen in commodity and (bi)metallic coin systems, such as those experienced by the Latin Monetary Union (</w:t>
      </w:r>
      <w:hyperlink w:history="true" w:anchor="_bookmark34">
        <w:r>
          <w:rPr/>
          <w:t>Willis</w:t>
        </w:r>
      </w:hyperlink>
      <w:r>
        <w:rPr/>
        <w:t>, </w:t>
      </w:r>
      <w:hyperlink w:history="true" w:anchor="_bookmark34">
        <w:r>
          <w:rPr/>
          <w:t>1901</w:t>
        </w:r>
      </w:hyperlink>
      <w:r>
        <w:rPr/>
        <w:t>; </w:t>
      </w:r>
      <w:hyperlink w:history="true" w:anchor="_bookmark6">
        <w:r>
          <w:rPr/>
          <w:t>Einaudi</w:t>
        </w:r>
      </w:hyperlink>
      <w:r>
        <w:rPr/>
        <w:t>, </w:t>
      </w:r>
      <w:hyperlink w:history="true" w:anchor="_bookmark6">
        <w:r>
          <w:rPr/>
          <w:t>2001</w:t>
        </w:r>
      </w:hyperlink>
      <w:r>
        <w:rPr/>
        <w:t>; </w:t>
      </w:r>
      <w:hyperlink w:history="true" w:anchor="_bookmark12">
        <w:r>
          <w:rPr/>
          <w:t>Flandreau</w:t>
        </w:r>
      </w:hyperlink>
      <w:r>
        <w:rPr/>
        <w:t>, </w:t>
      </w:r>
      <w:hyperlink w:history="true" w:anchor="_bookmark12">
        <w:r>
          <w:rPr/>
          <w:t>2000</w:t>
        </w:r>
      </w:hyperlink>
      <w:r>
        <w:rPr/>
        <w:t>; </w:t>
      </w:r>
      <w:hyperlink w:history="true" w:anchor="_bookmark23">
        <w:r>
          <w:rPr/>
          <w:t>Preda</w:t>
        </w:r>
      </w:hyperlink>
      <w:r>
        <w:rPr/>
        <w:t>, </w:t>
      </w:r>
      <w:hyperlink w:history="true" w:anchor="_bookmark23">
        <w:r>
          <w:rPr/>
          <w:t>2017</w:t>
        </w:r>
      </w:hyperlink>
      <w:r>
        <w:rPr/>
        <w:t>), or tactics like issuing duplicate securities with identical registration numbers and codes.</w:t>
      </w:r>
    </w:p>
    <w:p>
      <w:pPr>
        <w:pStyle w:val="BodyText"/>
        <w:spacing w:line="271" w:lineRule="auto"/>
        <w:ind w:left="169" w:right="141" w:firstLine="206"/>
        <w:jc w:val="both"/>
      </w:pPr>
      <w:r>
        <w:rPr/>
        <w:t>In the following sections, we will brieﬂy examine each of the six strategies identiﬁed, which could, at least in principle, be implemented by any National Central Bank (NCB) within the Eurosystem—and one potentially even outside it. Our analysis will delve into detailed considerations only where there is minimal overlap with existing literature. This includes works ad- dressing topics such as credit facilities among the Eurosystem’s national central banks (</w:t>
      </w:r>
      <w:hyperlink w:history="true" w:anchor="_bookmark29">
        <w:r>
          <w:rPr/>
          <w:t>Sinn &amp; Wollmershäuser</w:t>
        </w:r>
      </w:hyperlink>
      <w:r>
        <w:rPr/>
        <w:t>, </w:t>
      </w:r>
      <w:hyperlink w:history="true" w:anchor="_bookmark29">
        <w:r>
          <w:rPr/>
          <w:t>2012</w:t>
        </w:r>
      </w:hyperlink>
      <w:r>
        <w:rPr/>
        <w:t>; </w:t>
      </w:r>
      <w:hyperlink w:history="true" w:anchor="_bookmark27">
        <w:r>
          <w:rPr/>
          <w:t>Sinn</w:t>
        </w:r>
      </w:hyperlink>
      <w:r>
        <w:rPr/>
        <w:t>, </w:t>
      </w:r>
      <w:hyperlink w:history="true" w:anchor="_bookmark27">
        <w:r>
          <w:rPr/>
          <w:t>2017</w:t>
        </w:r>
      </w:hyperlink>
      <w:r>
        <w:rPr/>
        <w:t>, </w:t>
      </w:r>
      <w:hyperlink w:history="true" w:anchor="_bookmark28">
        <w:r>
          <w:rPr/>
          <w:t>2020</w:t>
        </w:r>
      </w:hyperlink>
      <w:r>
        <w:rPr/>
        <w:t>; </w:t>
      </w:r>
      <w:hyperlink w:history="true" w:anchor="_bookmark4">
        <w:r>
          <w:rPr/>
          <w:t>Blake</w:t>
        </w:r>
      </w:hyperlink>
      <w:r>
        <w:rPr/>
        <w:t>, </w:t>
      </w:r>
      <w:hyperlink w:history="true" w:anchor="_bookmark4">
        <w:r>
          <w:rPr/>
          <w:t>2023</w:t>
        </w:r>
      </w:hyperlink>
      <w:r>
        <w:rPr/>
        <w:t>; </w:t>
      </w:r>
      <w:hyperlink w:history="true" w:anchor="_bookmark22">
        <w:r>
          <w:rPr/>
          <w:t>Perotti</w:t>
        </w:r>
      </w:hyperlink>
      <w:r>
        <w:rPr/>
        <w:t>, </w:t>
      </w:r>
      <w:hyperlink w:history="true" w:anchor="_bookmark22">
        <w:r>
          <w:rPr/>
          <w:t>2024</w:t>
        </w:r>
      </w:hyperlink>
      <w:r>
        <w:rPr/>
        <w:t>; </w:t>
      </w:r>
      <w:hyperlink w:history="true" w:anchor="_bookmark21">
        <w:r>
          <w:rPr/>
          <w:t>Ojeda</w:t>
        </w:r>
      </w:hyperlink>
      <w:r>
        <w:rPr/>
        <w:t>, </w:t>
      </w:r>
      <w:hyperlink w:history="true" w:anchor="_bookmark21">
        <w:r>
          <w:rPr/>
          <w:t>2024</w:t>
        </w:r>
      </w:hyperlink>
      <w:r>
        <w:rPr/>
        <w:t>), or, from a legislative standpoint, the necessity of a reliable operational framework (</w:t>
      </w:r>
      <w:hyperlink w:history="true" w:anchor="_bookmark20">
        <w:r>
          <w:rPr/>
          <w:t>Ojeda</w:t>
        </w:r>
      </w:hyperlink>
      <w:r>
        <w:rPr/>
        <w:t>, </w:t>
      </w:r>
      <w:hyperlink w:history="true" w:anchor="_bookmark20">
        <w:r>
          <w:rPr/>
          <w:t>2022</w:t>
        </w:r>
      </w:hyperlink>
      <w:r>
        <w:rPr/>
        <w:t>).</w:t>
      </w:r>
    </w:p>
    <w:p>
      <w:pPr>
        <w:pStyle w:val="BodyText"/>
        <w:spacing w:line="271" w:lineRule="auto"/>
        <w:ind w:left="176" w:right="141" w:firstLine="199"/>
        <w:jc w:val="both"/>
      </w:pPr>
      <w:r>
        <w:rPr/>
        <w:t>These</w:t>
      </w:r>
      <w:r>
        <w:rPr>
          <w:spacing w:val="-8"/>
        </w:rPr>
        <w:t> </w:t>
      </w:r>
      <w:r>
        <w:rPr/>
        <w:t>strategies</w:t>
      </w:r>
      <w:r>
        <w:rPr>
          <w:spacing w:val="-8"/>
        </w:rPr>
        <w:t> </w:t>
      </w:r>
      <w:r>
        <w:rPr/>
        <w:t>include:</w:t>
      </w:r>
      <w:r>
        <w:rPr>
          <w:spacing w:val="-7"/>
        </w:rPr>
        <w:t> </w:t>
      </w:r>
      <w:r>
        <w:rPr/>
        <w:t>Inﬂating</w:t>
      </w:r>
      <w:r>
        <w:rPr>
          <w:spacing w:val="-7"/>
        </w:rPr>
        <w:t> </w:t>
      </w:r>
      <w:r>
        <w:rPr>
          <w:spacing w:val="-4"/>
        </w:rPr>
        <w:t>TARGET</w:t>
      </w:r>
      <w:r>
        <w:rPr>
          <w:spacing w:val="-8"/>
        </w:rPr>
        <w:t> </w:t>
      </w:r>
      <w:r>
        <w:rPr/>
        <w:t>balances,</w:t>
      </w:r>
      <w:r>
        <w:rPr>
          <w:spacing w:val="-7"/>
        </w:rPr>
        <w:t> </w:t>
      </w:r>
      <w:r>
        <w:rPr/>
        <w:t>exchanging</w:t>
      </w:r>
      <w:r>
        <w:rPr>
          <w:spacing w:val="-8"/>
        </w:rPr>
        <w:t> </w:t>
      </w:r>
      <w:r>
        <w:rPr/>
        <w:t>fake</w:t>
      </w:r>
      <w:r>
        <w:rPr>
          <w:spacing w:val="-7"/>
        </w:rPr>
        <w:t> </w:t>
      </w:r>
      <w:r>
        <w:rPr/>
        <w:t>collaterals</w:t>
      </w:r>
      <w:r>
        <w:rPr>
          <w:spacing w:val="-7"/>
        </w:rPr>
        <w:t> </w:t>
      </w:r>
      <w:r>
        <w:rPr/>
        <w:t>and</w:t>
      </w:r>
      <w:r>
        <w:rPr>
          <w:spacing w:val="-7"/>
        </w:rPr>
        <w:t> </w:t>
      </w:r>
      <w:r>
        <w:rPr/>
        <w:t>then</w:t>
      </w:r>
      <w:r>
        <w:rPr>
          <w:spacing w:val="-7"/>
        </w:rPr>
        <w:t> </w:t>
      </w:r>
      <w:r>
        <w:rPr/>
        <w:t>defaulting,</w:t>
      </w:r>
      <w:r>
        <w:rPr>
          <w:spacing w:val="-8"/>
        </w:rPr>
        <w:t> </w:t>
      </w:r>
      <w:r>
        <w:rPr/>
        <w:t>diluting</w:t>
      </w:r>
      <w:r>
        <w:rPr>
          <w:spacing w:val="-7"/>
        </w:rPr>
        <w:t> </w:t>
      </w:r>
      <w:r>
        <w:rPr/>
        <w:t>self-imposed rules</w:t>
      </w:r>
      <w:r>
        <w:rPr>
          <w:spacing w:val="-5"/>
        </w:rPr>
        <w:t> </w:t>
      </w:r>
      <w:r>
        <w:rPr/>
        <w:t>such</w:t>
      </w:r>
      <w:r>
        <w:rPr>
          <w:spacing w:val="-5"/>
        </w:rPr>
        <w:t> </w:t>
      </w:r>
      <w:r>
        <w:rPr/>
        <w:t>as</w:t>
      </w:r>
      <w:r>
        <w:rPr>
          <w:spacing w:val="-5"/>
        </w:rPr>
        <w:t> </w:t>
      </w:r>
      <w:r>
        <w:rPr/>
        <w:t>debt</w:t>
      </w:r>
      <w:r>
        <w:rPr>
          <w:spacing w:val="-5"/>
        </w:rPr>
        <w:t> </w:t>
      </w:r>
      <w:r>
        <w:rPr/>
        <w:t>ceilings</w:t>
      </w:r>
      <w:r>
        <w:rPr>
          <w:spacing w:val="-5"/>
        </w:rPr>
        <w:t> </w:t>
      </w:r>
      <w:r>
        <w:rPr/>
        <w:t>and</w:t>
      </w:r>
      <w:r>
        <w:rPr>
          <w:spacing w:val="-5"/>
        </w:rPr>
        <w:t> </w:t>
      </w:r>
      <w:r>
        <w:rPr/>
        <w:t>collateral</w:t>
      </w:r>
      <w:r>
        <w:rPr>
          <w:spacing w:val="-4"/>
        </w:rPr>
        <w:t> </w:t>
      </w:r>
      <w:r>
        <w:rPr/>
        <w:t>requirements,</w:t>
      </w:r>
      <w:r>
        <w:rPr>
          <w:spacing w:val="-5"/>
        </w:rPr>
        <w:t> </w:t>
      </w:r>
      <w:r>
        <w:rPr/>
        <w:t>money</w:t>
      </w:r>
      <w:r>
        <w:rPr>
          <w:spacing w:val="-5"/>
        </w:rPr>
        <w:t> </w:t>
      </w:r>
      <w:r>
        <w:rPr/>
        <w:t>printing</w:t>
      </w:r>
      <w:r>
        <w:rPr>
          <w:spacing w:val="-5"/>
        </w:rPr>
        <w:t> </w:t>
      </w:r>
      <w:r>
        <w:rPr/>
        <w:t>through</w:t>
      </w:r>
      <w:r>
        <w:rPr>
          <w:spacing w:val="-5"/>
        </w:rPr>
        <w:t> </w:t>
      </w:r>
      <w:r>
        <w:rPr/>
        <w:t>Emergency</w:t>
      </w:r>
      <w:r>
        <w:rPr>
          <w:spacing w:val="-5"/>
        </w:rPr>
        <w:t> </w:t>
      </w:r>
      <w:r>
        <w:rPr/>
        <w:t>Liquidity</w:t>
      </w:r>
      <w:r>
        <w:rPr>
          <w:spacing w:val="-4"/>
        </w:rPr>
        <w:t> </w:t>
      </w:r>
      <w:r>
        <w:rPr/>
        <w:t>Assistance</w:t>
      </w:r>
      <w:r>
        <w:rPr>
          <w:spacing w:val="-5"/>
        </w:rPr>
        <w:t> </w:t>
      </w:r>
      <w:r>
        <w:rPr/>
        <w:t>(ELA),</w:t>
      </w:r>
      <w:r>
        <w:rPr>
          <w:spacing w:val="-5"/>
        </w:rPr>
        <w:t> </w:t>
      </w:r>
      <w:r>
        <w:rPr/>
        <w:t>acqui- sitions through Agreement on Net Financial Assets </w:t>
      </w:r>
      <w:r>
        <w:rPr>
          <w:spacing w:val="-3"/>
        </w:rPr>
        <w:t>(ANFA), </w:t>
      </w:r>
      <w:r>
        <w:rPr/>
        <w:t>and ﬁnally, the perpetual (re)issuing and chaining of sovereign bonds as Eurosystem</w:t>
      </w:r>
      <w:r>
        <w:rPr>
          <w:spacing w:val="-4"/>
        </w:rPr>
        <w:t> </w:t>
      </w:r>
      <w:r>
        <w:rPr/>
        <w:t>collateral.</w:t>
      </w:r>
    </w:p>
    <w:p>
      <w:pPr>
        <w:pStyle w:val="BodyText"/>
      </w:pPr>
    </w:p>
    <w:p>
      <w:pPr>
        <w:pStyle w:val="BodyText"/>
      </w:pPr>
    </w:p>
    <w:p>
      <w:pPr>
        <w:pStyle w:val="BodyText"/>
      </w:pPr>
    </w:p>
    <w:p>
      <w:pPr>
        <w:pStyle w:val="BodyText"/>
      </w:pPr>
    </w:p>
    <w:p>
      <w:pPr>
        <w:pStyle w:val="BodyText"/>
      </w:pPr>
    </w:p>
    <w:p>
      <w:pPr>
        <w:pStyle w:val="BodyText"/>
        <w:spacing w:before="4"/>
        <w:rPr>
          <w:sz w:val="10"/>
        </w:rPr>
      </w:pPr>
      <w:r>
        <w:rPr/>
        <w:pict>
          <v:shape style="position:absolute;margin-left:45.827999pt;margin-top:8.179049pt;width:502.65pt;height:.1pt;mso-position-horizontal-relative:page;mso-position-vertical-relative:paragraph;z-index:-15728128;mso-wrap-distance-left:0;mso-wrap-distance-right:0" coordorigin="917,164" coordsize="10053,0" path="m917,164l10969,164e" filled="false" stroked="true" strokeweight=".4981pt" strokecolor="#000000">
            <v:path arrowok="t"/>
            <v:stroke dashstyle="solid"/>
            <w10:wrap type="topAndBottom"/>
          </v:shape>
        </w:pict>
      </w:r>
    </w:p>
    <w:p>
      <w:pPr>
        <w:spacing w:line="266" w:lineRule="auto" w:before="42"/>
        <w:ind w:left="176" w:right="0" w:firstLine="33"/>
        <w:jc w:val="left"/>
        <w:rPr>
          <w:sz w:val="14"/>
        </w:rPr>
      </w:pPr>
      <w:r>
        <w:rPr>
          <w:b/>
          <w:sz w:val="14"/>
        </w:rPr>
        <w:t>Abbreviations: </w:t>
      </w:r>
      <w:r>
        <w:rPr>
          <w:sz w:val="14"/>
        </w:rPr>
        <w:t>ELA, Emergency Liquidity Assistance; ANFA, Agreement on Net Financial Assets; NCB, National Central Bank; ECB, European Central Bank; GDP, Gross Domestic Product.</w:t>
      </w:r>
    </w:p>
    <w:p>
      <w:pPr>
        <w:pStyle w:val="BodyText"/>
      </w:pPr>
    </w:p>
    <w:p>
      <w:pPr>
        <w:pStyle w:val="BodyText"/>
        <w:rPr>
          <w:sz w:val="21"/>
        </w:rPr>
      </w:pPr>
      <w:r>
        <w:rPr/>
        <w:pict>
          <v:group style="position:absolute;margin-left:45.612pt;margin-top:14.039444pt;width:504.4pt;height:11.35pt;mso-position-horizontal-relative:page;mso-position-vertical-relative:paragraph;z-index:-15727616;mso-wrap-distance-left:0;mso-wrap-distance-right:0" coordorigin="912,281" coordsize="10088,227">
            <v:shape style="position:absolute;left:916;top:285;width:10053;height:195" coordorigin="917,286" coordsize="10053,195" path="m917,286l10969,286m10626,480l10626,296e" filled="false" stroked="true" strokeweight=".4981pt" strokecolor="#000000">
              <v:path arrowok="t"/>
              <v:stroke dashstyle="solid"/>
            </v:shape>
            <v:shapetype id="_x0000_t202" o:spt="202" coordsize="21600,21600" path="m,l,21600r21600,l21600,xe">
              <v:stroke joinstyle="miter"/>
              <v:path gradientshapeok="t" o:connecttype="rect"/>
            </v:shapetype>
            <v:shape style="position:absolute;left:912;top:331;width:1729;height:169" type="#_x0000_t202" filled="false" stroked="false">
              <v:textbox inset="0,0,0,0">
                <w:txbxContent>
                  <w:p>
                    <w:pPr>
                      <w:spacing w:line="159" w:lineRule="exact" w:before="0"/>
                      <w:ind w:left="0" w:right="0" w:firstLine="0"/>
                      <w:jc w:val="left"/>
                      <w:rPr>
                        <w:sz w:val="14"/>
                      </w:rPr>
                    </w:pPr>
                    <w:r>
                      <w:rPr>
                        <w:i/>
                        <w:sz w:val="14"/>
                      </w:rPr>
                      <w:t>Economic Affairs </w:t>
                    </w:r>
                    <w:r>
                      <w:rPr>
                        <w:sz w:val="14"/>
                      </w:rPr>
                      <w:t>2023;00:1–9</w:t>
                    </w:r>
                  </w:p>
                </w:txbxContent>
              </v:textbox>
              <w10:wrap type="none"/>
            </v:shape>
            <v:shape style="position:absolute;left:4658;top:331;width:1788;height:169" type="#_x0000_t202" filled="false" stroked="false">
              <v:textbox inset="0,0,0,0">
                <w:txbxContent>
                  <w:p>
                    <w:pPr>
                      <w:spacing w:line="159" w:lineRule="exact" w:before="0"/>
                      <w:ind w:left="0" w:right="0" w:firstLine="0"/>
                      <w:jc w:val="left"/>
                      <w:rPr>
                        <w:sz w:val="14"/>
                      </w:rPr>
                    </w:pPr>
                    <w:r>
                      <w:rPr>
                        <w:w w:val="95"/>
                        <w:sz w:val="14"/>
                      </w:rPr>
                      <w:t>wileyonlinelibrary.com/journal/</w:t>
                    </w:r>
                  </w:p>
                </w:txbxContent>
              </v:textbox>
              <w10:wrap type="none"/>
            </v:shape>
            <v:shape style="position:absolute;left:8497;top:331;width:1830;height:169" type="#_x0000_t202" filled="false" stroked="false">
              <v:textbox inset="0,0,0,0">
                <w:txbxContent>
                  <w:p>
                    <w:pPr>
                      <w:spacing w:line="159" w:lineRule="exact" w:before="0"/>
                      <w:ind w:left="0" w:right="0" w:firstLine="0"/>
                      <w:jc w:val="left"/>
                      <w:rPr>
                        <w:sz w:val="14"/>
                      </w:rPr>
                    </w:pPr>
                    <w:r>
                      <w:rPr>
                        <w:sz w:val="14"/>
                      </w:rPr>
                      <w:t>© 2023 Copyright Holder Name</w:t>
                    </w:r>
                  </w:p>
                </w:txbxContent>
              </v:textbox>
              <w10:wrap type="none"/>
            </v:shape>
            <v:shape style="position:absolute;left:10909;top:326;width:90;height:182" type="#_x0000_t202" filled="false" stroked="false">
              <v:textbox inset="0,0,0,0">
                <w:txbxContent>
                  <w:p>
                    <w:pPr>
                      <w:spacing w:before="3"/>
                      <w:ind w:left="0" w:right="0" w:firstLine="0"/>
                      <w:jc w:val="left"/>
                      <w:rPr>
                        <w:b/>
                        <w:sz w:val="14"/>
                      </w:rPr>
                    </w:pPr>
                    <w:r>
                      <w:rPr>
                        <w:b/>
                        <w:w w:val="99"/>
                        <w:sz w:val="14"/>
                      </w:rPr>
                      <w:t>1</w:t>
                    </w:r>
                  </w:p>
                </w:txbxContent>
              </v:textbox>
              <w10:wrap type="none"/>
            </v:shape>
            <w10:wrap type="topAndBottom"/>
          </v:group>
        </w:pict>
      </w:r>
    </w:p>
    <w:p>
      <w:pPr>
        <w:spacing w:after="0"/>
        <w:rPr>
          <w:sz w:val="21"/>
        </w:rPr>
        <w:sectPr>
          <w:type w:val="continuous"/>
          <w:pgSz w:w="11910" w:h="15650"/>
          <w:pgMar w:top="480" w:bottom="280" w:left="740" w:right="760"/>
        </w:sectPr>
      </w:pPr>
    </w:p>
    <w:p>
      <w:pPr>
        <w:pStyle w:val="Heading1"/>
        <w:numPr>
          <w:ilvl w:val="0"/>
          <w:numId w:val="1"/>
        </w:numPr>
        <w:tabs>
          <w:tab w:pos="993" w:val="left" w:leader="none"/>
          <w:tab w:pos="994" w:val="left" w:leader="none"/>
        </w:tabs>
        <w:spacing w:line="240" w:lineRule="auto" w:before="183" w:after="0"/>
        <w:ind w:left="993" w:right="0" w:hanging="798"/>
        <w:jc w:val="left"/>
      </w:pPr>
      <w:r>
        <w:rPr/>
        <w:pict>
          <v:line style="position:absolute;mso-position-horizontal-relative:page;mso-position-vertical-relative:paragraph;z-index:-16005120" from="68.244003pt,20.353153pt" to="68.244003pt,9.892153pt" stroked="true" strokeweight=".9963pt" strokecolor="#000000">
            <v:stroke dashstyle="solid"/>
            <w10:wrap type="none"/>
          </v:line>
        </w:pict>
      </w:r>
      <w:bookmarkStart w:name="Strategem 1: Inflate TARGET balances" w:id="5"/>
      <w:bookmarkEnd w:id="5"/>
      <w:r>
        <w:rPr>
          <w:b w:val="0"/>
        </w:rPr>
      </w:r>
      <w:bookmarkStart w:name="Strategem 1: Inflate TARGET balances" w:id="6"/>
      <w:bookmarkEnd w:id="6"/>
      <w:r>
        <w:rPr>
          <w:spacing w:val="-3"/>
        </w:rPr>
        <w:t>STR</w:t>
      </w:r>
      <w:r>
        <w:rPr>
          <w:spacing w:val="-3"/>
        </w:rPr>
        <w:t>ATEGEM </w:t>
      </w:r>
      <w:r>
        <w:rPr/>
        <w:t>1: </w:t>
      </w:r>
      <w:r>
        <w:rPr>
          <w:spacing w:val="-4"/>
        </w:rPr>
        <w:t>INFLATE TARGET</w:t>
      </w:r>
      <w:r>
        <w:rPr>
          <w:spacing w:val="2"/>
        </w:rPr>
        <w:t> </w:t>
      </w:r>
      <w:r>
        <w:rPr/>
        <w:t>BALANCES</w:t>
      </w:r>
    </w:p>
    <w:p>
      <w:pPr>
        <w:pStyle w:val="BodyText"/>
        <w:spacing w:before="1"/>
        <w:rPr>
          <w:b/>
          <w:sz w:val="14"/>
        </w:rPr>
      </w:pPr>
    </w:p>
    <w:p>
      <w:pPr>
        <w:pStyle w:val="BodyText"/>
        <w:spacing w:before="98"/>
        <w:ind w:left="190"/>
        <w:jc w:val="both"/>
      </w:pPr>
      <w:r>
        <w:rPr>
          <w:spacing w:val="-8"/>
        </w:rPr>
        <w:t>To</w:t>
      </w:r>
      <w:r>
        <w:rPr>
          <w:spacing w:val="-11"/>
        </w:rPr>
        <w:t> </w:t>
      </w:r>
      <w:r>
        <w:rPr/>
        <w:t>quote</w:t>
      </w:r>
      <w:r>
        <w:rPr>
          <w:spacing w:val="-11"/>
        </w:rPr>
        <w:t> </w:t>
      </w:r>
      <w:r>
        <w:rPr/>
        <w:t>the</w:t>
      </w:r>
      <w:r>
        <w:rPr>
          <w:spacing w:val="-11"/>
        </w:rPr>
        <w:t> </w:t>
      </w:r>
      <w:r>
        <w:rPr/>
        <w:t>European</w:t>
      </w:r>
      <w:r>
        <w:rPr>
          <w:spacing w:val="-11"/>
        </w:rPr>
        <w:t> </w:t>
      </w:r>
      <w:r>
        <w:rPr/>
        <w:t>Central</w:t>
      </w:r>
      <w:r>
        <w:rPr>
          <w:spacing w:val="-10"/>
        </w:rPr>
        <w:t> </w:t>
      </w:r>
      <w:r>
        <w:rPr/>
        <w:t>Bank’s</w:t>
      </w:r>
      <w:r>
        <w:rPr>
          <w:spacing w:val="-11"/>
        </w:rPr>
        <w:t> </w:t>
      </w:r>
      <w:r>
        <w:rPr/>
        <w:t>(ECB’s)</w:t>
      </w:r>
      <w:r>
        <w:rPr>
          <w:spacing w:val="-11"/>
        </w:rPr>
        <w:t> </w:t>
      </w:r>
      <w:r>
        <w:rPr/>
        <w:t>own</w:t>
      </w:r>
      <w:r>
        <w:rPr>
          <w:spacing w:val="-11"/>
        </w:rPr>
        <w:t> </w:t>
      </w:r>
      <w:r>
        <w:rPr/>
        <w:t>publication</w:t>
      </w:r>
      <w:r>
        <w:rPr>
          <w:spacing w:val="-10"/>
        </w:rPr>
        <w:t> </w:t>
      </w:r>
      <w:r>
        <w:rPr/>
        <w:t>on</w:t>
      </w:r>
      <w:r>
        <w:rPr>
          <w:spacing w:val="-11"/>
        </w:rPr>
        <w:t> </w:t>
      </w:r>
      <w:r>
        <w:rPr>
          <w:spacing w:val="-4"/>
        </w:rPr>
        <w:t>TARGET</w:t>
      </w:r>
      <w:r>
        <w:rPr>
          <w:spacing w:val="-11"/>
        </w:rPr>
        <w:t> </w:t>
      </w:r>
      <w:r>
        <w:rPr/>
        <w:t>imbalances</w:t>
      </w:r>
      <w:r>
        <w:rPr>
          <w:spacing w:val="-11"/>
        </w:rPr>
        <w:t> </w:t>
      </w:r>
      <w:r>
        <w:rPr/>
        <w:t>(</w:t>
      </w:r>
      <w:hyperlink w:history="true" w:anchor="_bookmark7">
        <w:r>
          <w:rPr/>
          <w:t>European</w:t>
        </w:r>
        <w:r>
          <w:rPr>
            <w:spacing w:val="-10"/>
          </w:rPr>
          <w:t> </w:t>
        </w:r>
        <w:r>
          <w:rPr/>
          <w:t>Central</w:t>
        </w:r>
        <w:r>
          <w:rPr>
            <w:spacing w:val="-11"/>
          </w:rPr>
          <w:t> </w:t>
        </w:r>
        <w:r>
          <w:rPr/>
          <w:t>Bank</w:t>
        </w:r>
      </w:hyperlink>
      <w:r>
        <w:rPr/>
        <w:t>,</w:t>
      </w:r>
      <w:r>
        <w:rPr>
          <w:spacing w:val="-11"/>
        </w:rPr>
        <w:t> </w:t>
      </w:r>
      <w:hyperlink w:history="true" w:anchor="_bookmark7">
        <w:r>
          <w:rPr/>
          <w:t>2015</w:t>
        </w:r>
      </w:hyperlink>
      <w:r>
        <w:rPr/>
        <w:t>,</w:t>
      </w:r>
      <w:r>
        <w:rPr>
          <w:spacing w:val="-11"/>
        </w:rPr>
        <w:t> </w:t>
      </w:r>
      <w:r>
        <w:rPr/>
        <w:t>Box</w:t>
      </w:r>
      <w:r>
        <w:rPr>
          <w:spacing w:val="-10"/>
        </w:rPr>
        <w:t> </w:t>
      </w:r>
      <w:r>
        <w:rPr/>
        <w:t>4,</w:t>
      </w:r>
    </w:p>
    <w:p>
      <w:pPr>
        <w:spacing w:line="271" w:lineRule="auto" w:before="29"/>
        <w:ind w:left="196" w:right="154" w:firstLine="0"/>
        <w:jc w:val="both"/>
        <w:rPr>
          <w:i/>
          <w:sz w:val="20"/>
        </w:rPr>
      </w:pPr>
      <w:r>
        <w:rPr>
          <w:sz w:val="20"/>
        </w:rPr>
        <w:t>p. 42): </w:t>
      </w:r>
      <w:r>
        <w:rPr>
          <w:i/>
          <w:sz w:val="20"/>
        </w:rPr>
        <w:t>“TARGET balances are the net claims and liabilities of the euro area NCBs vis-à-vis the ECB which arise through </w:t>
      </w:r>
      <w:r>
        <w:rPr>
          <w:i/>
          <w:sz w:val="20"/>
        </w:rPr>
        <w:t>cross-border payments settled in central bank money of the respective national banking sectors or the NCBs themselves and are executed via the common euro area payment platform known as TARGET.</w:t>
      </w:r>
    </w:p>
    <w:p>
      <w:pPr>
        <w:spacing w:line="271" w:lineRule="auto" w:before="0"/>
        <w:ind w:left="185" w:right="119" w:firstLine="210"/>
        <w:jc w:val="both"/>
        <w:rPr>
          <w:i/>
          <w:sz w:val="20"/>
        </w:rPr>
      </w:pPr>
      <w:r>
        <w:rPr>
          <w:i/>
          <w:sz w:val="20"/>
        </w:rPr>
        <w:t>When a bank makes a payment to another bank via </w:t>
      </w:r>
      <w:r>
        <w:rPr>
          <w:i/>
          <w:spacing w:val="-4"/>
          <w:sz w:val="20"/>
        </w:rPr>
        <w:t>TARGET, </w:t>
      </w:r>
      <w:r>
        <w:rPr>
          <w:i/>
          <w:sz w:val="20"/>
        </w:rPr>
        <w:t>the current account of the payer’s bank at its NCB is debited </w:t>
      </w:r>
      <w:r>
        <w:rPr>
          <w:i/>
          <w:sz w:val="20"/>
        </w:rPr>
        <w:t>and the current account of the recipient bank at its NCB is credited. If both banks hold their current accounts at the same NCB</w:t>
      </w:r>
      <w:r>
        <w:rPr>
          <w:i/>
          <w:spacing w:val="-5"/>
          <w:sz w:val="20"/>
        </w:rPr>
        <w:t> </w:t>
      </w:r>
      <w:r>
        <w:rPr>
          <w:i/>
          <w:sz w:val="20"/>
        </w:rPr>
        <w:t>there</w:t>
      </w:r>
      <w:r>
        <w:rPr>
          <w:i/>
          <w:spacing w:val="-4"/>
          <w:sz w:val="20"/>
        </w:rPr>
        <w:t> </w:t>
      </w:r>
      <w:r>
        <w:rPr>
          <w:i/>
          <w:sz w:val="20"/>
        </w:rPr>
        <w:t>is</w:t>
      </w:r>
      <w:r>
        <w:rPr>
          <w:i/>
          <w:spacing w:val="-4"/>
          <w:sz w:val="20"/>
        </w:rPr>
        <w:t> </w:t>
      </w:r>
      <w:r>
        <w:rPr>
          <w:i/>
          <w:sz w:val="20"/>
        </w:rPr>
        <w:t>no</w:t>
      </w:r>
      <w:r>
        <w:rPr>
          <w:i/>
          <w:spacing w:val="-5"/>
          <w:sz w:val="20"/>
        </w:rPr>
        <w:t> </w:t>
      </w:r>
      <w:r>
        <w:rPr>
          <w:i/>
          <w:sz w:val="20"/>
        </w:rPr>
        <w:t>net</w:t>
      </w:r>
      <w:r>
        <w:rPr>
          <w:i/>
          <w:spacing w:val="-4"/>
          <w:sz w:val="20"/>
        </w:rPr>
        <w:t> </w:t>
      </w:r>
      <w:r>
        <w:rPr>
          <w:i/>
          <w:sz w:val="20"/>
        </w:rPr>
        <w:t>impact</w:t>
      </w:r>
      <w:r>
        <w:rPr>
          <w:i/>
          <w:spacing w:val="-4"/>
          <w:sz w:val="20"/>
        </w:rPr>
        <w:t> </w:t>
      </w:r>
      <w:r>
        <w:rPr>
          <w:i/>
          <w:sz w:val="20"/>
        </w:rPr>
        <w:t>on</w:t>
      </w:r>
      <w:r>
        <w:rPr>
          <w:i/>
          <w:spacing w:val="-4"/>
          <w:sz w:val="20"/>
        </w:rPr>
        <w:t> </w:t>
      </w:r>
      <w:r>
        <w:rPr>
          <w:i/>
          <w:sz w:val="20"/>
        </w:rPr>
        <w:t>the</w:t>
      </w:r>
      <w:r>
        <w:rPr>
          <w:i/>
          <w:spacing w:val="-5"/>
          <w:sz w:val="20"/>
        </w:rPr>
        <w:t> </w:t>
      </w:r>
      <w:r>
        <w:rPr>
          <w:i/>
          <w:spacing w:val="-3"/>
          <w:sz w:val="20"/>
        </w:rPr>
        <w:t>aggregate</w:t>
      </w:r>
      <w:r>
        <w:rPr>
          <w:i/>
          <w:spacing w:val="-4"/>
          <w:sz w:val="20"/>
        </w:rPr>
        <w:t> </w:t>
      </w:r>
      <w:r>
        <w:rPr>
          <w:i/>
          <w:sz w:val="20"/>
        </w:rPr>
        <w:t>account</w:t>
      </w:r>
      <w:r>
        <w:rPr>
          <w:i/>
          <w:spacing w:val="-4"/>
          <w:sz w:val="20"/>
        </w:rPr>
        <w:t> </w:t>
      </w:r>
      <w:r>
        <w:rPr>
          <w:i/>
          <w:sz w:val="20"/>
        </w:rPr>
        <w:t>of</w:t>
      </w:r>
      <w:r>
        <w:rPr>
          <w:i/>
          <w:spacing w:val="-5"/>
          <w:sz w:val="20"/>
        </w:rPr>
        <w:t> </w:t>
      </w:r>
      <w:r>
        <w:rPr>
          <w:i/>
          <w:sz w:val="20"/>
        </w:rPr>
        <w:t>banks</w:t>
      </w:r>
      <w:r>
        <w:rPr>
          <w:i/>
          <w:spacing w:val="-4"/>
          <w:sz w:val="20"/>
        </w:rPr>
        <w:t> </w:t>
      </w:r>
      <w:r>
        <w:rPr>
          <w:i/>
          <w:sz w:val="20"/>
        </w:rPr>
        <w:t>at</w:t>
      </w:r>
      <w:r>
        <w:rPr>
          <w:i/>
          <w:spacing w:val="-4"/>
          <w:sz w:val="20"/>
        </w:rPr>
        <w:t> </w:t>
      </w:r>
      <w:r>
        <w:rPr>
          <w:i/>
          <w:sz w:val="20"/>
        </w:rPr>
        <w:t>the</w:t>
      </w:r>
      <w:r>
        <w:rPr>
          <w:i/>
          <w:spacing w:val="-4"/>
          <w:sz w:val="20"/>
        </w:rPr>
        <w:t> </w:t>
      </w:r>
      <w:r>
        <w:rPr>
          <w:i/>
          <w:sz w:val="20"/>
        </w:rPr>
        <w:t>NCB</w:t>
      </w:r>
      <w:r>
        <w:rPr>
          <w:i/>
          <w:spacing w:val="-5"/>
          <w:sz w:val="20"/>
        </w:rPr>
        <w:t> </w:t>
      </w:r>
      <w:r>
        <w:rPr>
          <w:i/>
          <w:sz w:val="20"/>
        </w:rPr>
        <w:t>and</w:t>
      </w:r>
      <w:r>
        <w:rPr>
          <w:i/>
          <w:spacing w:val="-4"/>
          <w:sz w:val="20"/>
        </w:rPr>
        <w:t> </w:t>
      </w:r>
      <w:r>
        <w:rPr>
          <w:i/>
          <w:sz w:val="20"/>
        </w:rPr>
        <w:t>there</w:t>
      </w:r>
      <w:r>
        <w:rPr>
          <w:i/>
          <w:spacing w:val="-4"/>
          <w:sz w:val="20"/>
        </w:rPr>
        <w:t> </w:t>
      </w:r>
      <w:r>
        <w:rPr>
          <w:i/>
          <w:spacing w:val="-3"/>
          <w:sz w:val="20"/>
        </w:rPr>
        <w:t>are</w:t>
      </w:r>
      <w:r>
        <w:rPr>
          <w:i/>
          <w:spacing w:val="-5"/>
          <w:sz w:val="20"/>
        </w:rPr>
        <w:t> </w:t>
      </w:r>
      <w:r>
        <w:rPr>
          <w:i/>
          <w:sz w:val="20"/>
        </w:rPr>
        <w:t>no</w:t>
      </w:r>
      <w:r>
        <w:rPr>
          <w:i/>
          <w:spacing w:val="-4"/>
          <w:sz w:val="20"/>
        </w:rPr>
        <w:t> </w:t>
      </w:r>
      <w:r>
        <w:rPr>
          <w:i/>
          <w:sz w:val="20"/>
        </w:rPr>
        <w:t>implications</w:t>
      </w:r>
      <w:r>
        <w:rPr>
          <w:i/>
          <w:spacing w:val="-4"/>
          <w:sz w:val="20"/>
        </w:rPr>
        <w:t> </w:t>
      </w:r>
      <w:r>
        <w:rPr>
          <w:i/>
          <w:sz w:val="20"/>
        </w:rPr>
        <w:t>for</w:t>
      </w:r>
      <w:r>
        <w:rPr>
          <w:i/>
          <w:spacing w:val="-4"/>
          <w:sz w:val="20"/>
        </w:rPr>
        <w:t> </w:t>
      </w:r>
      <w:r>
        <w:rPr>
          <w:i/>
          <w:sz w:val="20"/>
        </w:rPr>
        <w:t>TARGET</w:t>
      </w:r>
      <w:r>
        <w:rPr>
          <w:i/>
          <w:spacing w:val="-5"/>
          <w:sz w:val="20"/>
        </w:rPr>
        <w:t> </w:t>
      </w:r>
      <w:r>
        <w:rPr>
          <w:i/>
          <w:sz w:val="20"/>
        </w:rPr>
        <w:t>balances. </w:t>
      </w:r>
      <w:r>
        <w:rPr>
          <w:i/>
          <w:spacing w:val="-4"/>
          <w:sz w:val="20"/>
        </w:rPr>
        <w:t>However, </w:t>
      </w:r>
      <w:r>
        <w:rPr>
          <w:i/>
          <w:sz w:val="20"/>
        </w:rPr>
        <w:t>in the case of cross-border transactions, the NCB of the paying bank sees a reduction in that banks account at the NCB, and the NCB of the recipient bank sees an increase in the recipient bank’s account. Such positions </w:t>
      </w:r>
      <w:r>
        <w:rPr>
          <w:i/>
          <w:spacing w:val="-3"/>
          <w:sz w:val="20"/>
        </w:rPr>
        <w:t>are </w:t>
      </w:r>
      <w:r>
        <w:rPr>
          <w:i/>
          <w:sz w:val="20"/>
        </w:rPr>
        <w:t>balanced by a TARGET liability for the ﬁrst NCB and a TARGET claim for the second NCB. TARGET liabilities and claims also result </w:t>
      </w:r>
      <w:r>
        <w:rPr>
          <w:i/>
          <w:spacing w:val="-3"/>
          <w:sz w:val="20"/>
        </w:rPr>
        <w:t>from </w:t>
      </w:r>
      <w:r>
        <w:rPr>
          <w:i/>
          <w:sz w:val="20"/>
        </w:rPr>
        <w:t>cross-border transactions by NCBs themselves, such as the purchase or sale of securities held for investment purposes. At the end of each </w:t>
      </w:r>
      <w:r>
        <w:rPr>
          <w:i/>
          <w:spacing w:val="-3"/>
          <w:sz w:val="20"/>
        </w:rPr>
        <w:t>day, </w:t>
      </w:r>
      <w:r>
        <w:rPr>
          <w:i/>
          <w:sz w:val="20"/>
        </w:rPr>
        <w:t>such intra-Eurosystem claims and liabilities </w:t>
      </w:r>
      <w:r>
        <w:rPr>
          <w:i/>
          <w:spacing w:val="-3"/>
          <w:sz w:val="20"/>
        </w:rPr>
        <w:t>are </w:t>
      </w:r>
      <w:r>
        <w:rPr>
          <w:i/>
          <w:sz w:val="20"/>
        </w:rPr>
        <w:t>aggregated and netted out throughout the Eurosystem. This leaves each NCB with a single net bilateral position vis-à-vis the ECB, in the form of a positive or negative TARGET balance. By design, all the TARGET balances (including the ECB’s balance) add up to</w:t>
      </w:r>
      <w:r>
        <w:rPr>
          <w:i/>
          <w:spacing w:val="-19"/>
          <w:sz w:val="20"/>
        </w:rPr>
        <w:t> </w:t>
      </w:r>
      <w:r>
        <w:rPr>
          <w:i/>
          <w:spacing w:val="-7"/>
          <w:sz w:val="20"/>
        </w:rPr>
        <w:t>zero.”</w:t>
      </w:r>
    </w:p>
    <w:p>
      <w:pPr>
        <w:pStyle w:val="BodyText"/>
        <w:spacing w:line="271" w:lineRule="auto"/>
        <w:ind w:left="189" w:right="138" w:firstLine="205"/>
        <w:jc w:val="both"/>
      </w:pPr>
      <w:r>
        <w:rPr/>
        <w:t>Essentially, </w:t>
      </w:r>
      <w:r>
        <w:rPr>
          <w:spacing w:val="-4"/>
        </w:rPr>
        <w:t>TARGET </w:t>
      </w:r>
      <w:r>
        <w:rPr/>
        <w:t>imbalances function as an automatic credit facility among the Eurosystem’s national central banks (NCBs),</w:t>
      </w:r>
      <w:r>
        <w:rPr>
          <w:spacing w:val="-4"/>
        </w:rPr>
        <w:t> </w:t>
      </w:r>
      <w:r>
        <w:rPr/>
        <w:t>characterized</w:t>
      </w:r>
      <w:r>
        <w:rPr>
          <w:spacing w:val="-3"/>
        </w:rPr>
        <w:t> </w:t>
      </w:r>
      <w:r>
        <w:rPr/>
        <w:t>by</w:t>
      </w:r>
      <w:r>
        <w:rPr>
          <w:spacing w:val="-4"/>
        </w:rPr>
        <w:t> </w:t>
      </w:r>
      <w:r>
        <w:rPr/>
        <w:t>the</w:t>
      </w:r>
      <w:r>
        <w:rPr>
          <w:spacing w:val="-3"/>
        </w:rPr>
        <w:t> </w:t>
      </w:r>
      <w:r>
        <w:rPr/>
        <w:t>following</w:t>
      </w:r>
      <w:r>
        <w:rPr>
          <w:spacing w:val="-5"/>
        </w:rPr>
        <w:t> </w:t>
      </w:r>
      <w:r>
        <w:rPr/>
        <w:t>features</w:t>
      </w:r>
      <w:r>
        <w:rPr>
          <w:spacing w:val="-3"/>
        </w:rPr>
        <w:t> </w:t>
      </w:r>
      <w:hyperlink w:history="true" w:anchor="_bookmark29">
        <w:r>
          <w:rPr/>
          <w:t>(Sinn</w:t>
        </w:r>
        <w:r>
          <w:rPr>
            <w:spacing w:val="-4"/>
          </w:rPr>
          <w:t> </w:t>
        </w:r>
        <w:r>
          <w:rPr/>
          <w:t>&amp;</w:t>
        </w:r>
        <w:r>
          <w:rPr>
            <w:spacing w:val="-3"/>
          </w:rPr>
          <w:t> </w:t>
        </w:r>
        <w:r>
          <w:rPr/>
          <w:t>Wollmershäuser</w:t>
        </w:r>
      </w:hyperlink>
      <w:r>
        <w:rPr/>
        <w:t>,</w:t>
      </w:r>
      <w:r>
        <w:rPr>
          <w:spacing w:val="-3"/>
        </w:rPr>
        <w:t> </w:t>
      </w:r>
      <w:hyperlink w:history="true" w:anchor="_bookmark29">
        <w:r>
          <w:rPr/>
          <w:t>2012</w:t>
        </w:r>
      </w:hyperlink>
      <w:r>
        <w:rPr/>
        <w:t>;</w:t>
      </w:r>
      <w:r>
        <w:rPr>
          <w:spacing w:val="-4"/>
        </w:rPr>
        <w:t> </w:t>
      </w:r>
      <w:hyperlink w:history="true" w:anchor="_bookmark27">
        <w:r>
          <w:rPr/>
          <w:t>Sinn</w:t>
        </w:r>
      </w:hyperlink>
      <w:r>
        <w:rPr/>
        <w:t>,</w:t>
      </w:r>
      <w:r>
        <w:rPr>
          <w:spacing w:val="-3"/>
        </w:rPr>
        <w:t> </w:t>
      </w:r>
      <w:hyperlink w:history="true" w:anchor="_bookmark27">
        <w:r>
          <w:rPr/>
          <w:t>2017</w:t>
        </w:r>
      </w:hyperlink>
      <w:r>
        <w:rPr/>
        <w:t>,</w:t>
      </w:r>
      <w:r>
        <w:rPr>
          <w:spacing w:val="-4"/>
        </w:rPr>
        <w:t> </w:t>
      </w:r>
      <w:hyperlink w:history="true" w:anchor="_bookmark28">
        <w:r>
          <w:rPr/>
          <w:t>2020</w:t>
        </w:r>
      </w:hyperlink>
      <w:r>
        <w:rPr/>
        <w:t>;</w:t>
      </w:r>
      <w:r>
        <w:rPr>
          <w:spacing w:val="-3"/>
        </w:rPr>
        <w:t> </w:t>
      </w:r>
      <w:hyperlink w:history="true" w:anchor="_bookmark4">
        <w:r>
          <w:rPr/>
          <w:t>Blake</w:t>
        </w:r>
      </w:hyperlink>
      <w:r>
        <w:rPr/>
        <w:t>,</w:t>
      </w:r>
      <w:r>
        <w:rPr>
          <w:spacing w:val="-4"/>
        </w:rPr>
        <w:t> </w:t>
      </w:r>
      <w:hyperlink w:history="true" w:anchor="_bookmark4">
        <w:r>
          <w:rPr/>
          <w:t>2023</w:t>
        </w:r>
      </w:hyperlink>
      <w:r>
        <w:rPr/>
        <w:t>;</w:t>
      </w:r>
      <w:r>
        <w:rPr>
          <w:spacing w:val="-3"/>
        </w:rPr>
        <w:t> </w:t>
      </w:r>
      <w:hyperlink w:history="true" w:anchor="_bookmark22">
        <w:r>
          <w:rPr/>
          <w:t>Perotti</w:t>
        </w:r>
      </w:hyperlink>
      <w:r>
        <w:rPr/>
        <w:t>,</w:t>
      </w:r>
      <w:r>
        <w:rPr>
          <w:spacing w:val="-4"/>
        </w:rPr>
        <w:t> </w:t>
      </w:r>
      <w:hyperlink w:history="true" w:anchor="_bookmark22">
        <w:r>
          <w:rPr>
            <w:spacing w:val="-3"/>
          </w:rPr>
          <w:t>2024</w:t>
        </w:r>
      </w:hyperlink>
      <w:r>
        <w:rPr>
          <w:spacing w:val="-3"/>
        </w:rPr>
        <w:t>; </w:t>
      </w:r>
      <w:hyperlink w:history="true" w:anchor="_bookmark21">
        <w:r>
          <w:rPr/>
          <w:t>Ojeda</w:t>
        </w:r>
      </w:hyperlink>
      <w:r>
        <w:rPr/>
        <w:t>,</w:t>
      </w:r>
      <w:r>
        <w:rPr>
          <w:spacing w:val="-2"/>
        </w:rPr>
        <w:t> </w:t>
      </w:r>
      <w:hyperlink w:history="true" w:anchor="_bookmark21">
        <w:r>
          <w:rPr/>
          <w:t>2024</w:t>
        </w:r>
      </w:hyperlink>
      <w:r>
        <w:rPr/>
        <w:t>):</w:t>
      </w:r>
    </w:p>
    <w:p>
      <w:pPr>
        <w:pStyle w:val="BodyText"/>
        <w:spacing w:before="6"/>
        <w:rPr>
          <w:sz w:val="19"/>
        </w:rPr>
      </w:pPr>
    </w:p>
    <w:p>
      <w:pPr>
        <w:pStyle w:val="ListParagraph"/>
        <w:numPr>
          <w:ilvl w:val="0"/>
          <w:numId w:val="2"/>
        </w:numPr>
        <w:tabs>
          <w:tab w:pos="598" w:val="left" w:leader="none"/>
        </w:tabs>
        <w:spacing w:line="240" w:lineRule="auto" w:before="1" w:after="0"/>
        <w:ind w:left="597" w:right="0" w:hanging="269"/>
        <w:jc w:val="left"/>
        <w:rPr>
          <w:sz w:val="20"/>
        </w:rPr>
      </w:pPr>
      <w:r>
        <w:rPr>
          <w:sz w:val="20"/>
        </w:rPr>
        <w:t>absence of collateral</w:t>
      </w:r>
      <w:r>
        <w:rPr>
          <w:spacing w:val="-4"/>
          <w:sz w:val="20"/>
        </w:rPr>
        <w:t> </w:t>
      </w:r>
      <w:r>
        <w:rPr>
          <w:sz w:val="20"/>
        </w:rPr>
        <w:t>requirements,</w:t>
      </w:r>
    </w:p>
    <w:p>
      <w:pPr>
        <w:pStyle w:val="ListParagraph"/>
        <w:numPr>
          <w:ilvl w:val="0"/>
          <w:numId w:val="2"/>
        </w:numPr>
        <w:tabs>
          <w:tab w:pos="598" w:val="left" w:leader="none"/>
        </w:tabs>
        <w:spacing w:line="240" w:lineRule="auto" w:before="29" w:after="0"/>
        <w:ind w:left="597" w:right="0" w:hanging="324"/>
        <w:jc w:val="left"/>
        <w:rPr>
          <w:sz w:val="20"/>
        </w:rPr>
      </w:pPr>
      <w:r>
        <w:rPr>
          <w:sz w:val="20"/>
        </w:rPr>
        <w:t>zero interest</w:t>
      </w:r>
      <w:r>
        <w:rPr>
          <w:spacing w:val="-3"/>
          <w:sz w:val="20"/>
        </w:rPr>
        <w:t> </w:t>
      </w:r>
      <w:r>
        <w:rPr>
          <w:sz w:val="20"/>
        </w:rPr>
        <w:t>rates,</w:t>
      </w:r>
    </w:p>
    <w:p>
      <w:pPr>
        <w:pStyle w:val="ListParagraph"/>
        <w:numPr>
          <w:ilvl w:val="0"/>
          <w:numId w:val="2"/>
        </w:numPr>
        <w:tabs>
          <w:tab w:pos="598" w:val="left" w:leader="none"/>
        </w:tabs>
        <w:spacing w:line="240" w:lineRule="auto" w:before="29" w:after="0"/>
        <w:ind w:left="597" w:right="0" w:hanging="380"/>
        <w:jc w:val="left"/>
        <w:rPr>
          <w:sz w:val="20"/>
        </w:rPr>
      </w:pPr>
      <w:r>
        <w:rPr>
          <w:sz w:val="20"/>
        </w:rPr>
        <w:t>no</w:t>
      </w:r>
      <w:r>
        <w:rPr>
          <w:spacing w:val="-4"/>
          <w:sz w:val="20"/>
        </w:rPr>
        <w:t> </w:t>
      </w:r>
      <w:r>
        <w:rPr>
          <w:sz w:val="20"/>
        </w:rPr>
        <w:t>requirement</w:t>
      </w:r>
      <w:r>
        <w:rPr>
          <w:spacing w:val="-3"/>
          <w:sz w:val="20"/>
        </w:rPr>
        <w:t> </w:t>
      </w:r>
      <w:r>
        <w:rPr>
          <w:sz w:val="20"/>
        </w:rPr>
        <w:t>for</w:t>
      </w:r>
      <w:r>
        <w:rPr>
          <w:spacing w:val="-3"/>
          <w:sz w:val="20"/>
        </w:rPr>
        <w:t> </w:t>
      </w:r>
      <w:r>
        <w:rPr>
          <w:sz w:val="20"/>
        </w:rPr>
        <w:t>approval</w:t>
      </w:r>
      <w:r>
        <w:rPr>
          <w:spacing w:val="-3"/>
          <w:sz w:val="20"/>
        </w:rPr>
        <w:t> </w:t>
      </w:r>
      <w:r>
        <w:rPr>
          <w:sz w:val="20"/>
        </w:rPr>
        <w:t>from</w:t>
      </w:r>
      <w:r>
        <w:rPr>
          <w:spacing w:val="-3"/>
          <w:sz w:val="20"/>
        </w:rPr>
        <w:t> </w:t>
      </w:r>
      <w:r>
        <w:rPr>
          <w:sz w:val="20"/>
        </w:rPr>
        <w:t>any</w:t>
      </w:r>
      <w:r>
        <w:rPr>
          <w:spacing w:val="-3"/>
          <w:sz w:val="20"/>
        </w:rPr>
        <w:t> </w:t>
      </w:r>
      <w:r>
        <w:rPr>
          <w:sz w:val="20"/>
        </w:rPr>
        <w:t>authority,</w:t>
      </w:r>
      <w:r>
        <w:rPr>
          <w:spacing w:val="-3"/>
          <w:sz w:val="20"/>
        </w:rPr>
        <w:t> </w:t>
      </w:r>
      <w:r>
        <w:rPr>
          <w:sz w:val="20"/>
        </w:rPr>
        <w:t>including</w:t>
      </w:r>
      <w:r>
        <w:rPr>
          <w:spacing w:val="-3"/>
          <w:sz w:val="20"/>
        </w:rPr>
        <w:t> </w:t>
      </w:r>
      <w:r>
        <w:rPr>
          <w:sz w:val="20"/>
        </w:rPr>
        <w:t>the</w:t>
      </w:r>
      <w:r>
        <w:rPr>
          <w:spacing w:val="-3"/>
          <w:sz w:val="20"/>
        </w:rPr>
        <w:t> ECB’s </w:t>
      </w:r>
      <w:r>
        <w:rPr>
          <w:sz w:val="20"/>
        </w:rPr>
        <w:t>Governing</w:t>
      </w:r>
      <w:r>
        <w:rPr>
          <w:spacing w:val="-3"/>
          <w:sz w:val="20"/>
        </w:rPr>
        <w:t> </w:t>
      </w:r>
      <w:r>
        <w:rPr>
          <w:sz w:val="20"/>
        </w:rPr>
        <w:t>Council</w:t>
      </w:r>
      <w:r>
        <w:rPr>
          <w:spacing w:val="-4"/>
          <w:sz w:val="20"/>
        </w:rPr>
        <w:t> </w:t>
      </w:r>
      <w:r>
        <w:rPr>
          <w:sz w:val="20"/>
        </w:rPr>
        <w:t>or</w:t>
      </w:r>
      <w:r>
        <w:rPr>
          <w:spacing w:val="-3"/>
          <w:sz w:val="20"/>
        </w:rPr>
        <w:t> </w:t>
      </w:r>
      <w:r>
        <w:rPr>
          <w:sz w:val="20"/>
        </w:rPr>
        <w:t>the</w:t>
      </w:r>
      <w:r>
        <w:rPr>
          <w:spacing w:val="-3"/>
          <w:sz w:val="20"/>
        </w:rPr>
        <w:t> </w:t>
      </w:r>
      <w:r>
        <w:rPr>
          <w:sz w:val="20"/>
        </w:rPr>
        <w:t>Executive</w:t>
      </w:r>
      <w:r>
        <w:rPr>
          <w:spacing w:val="-3"/>
          <w:sz w:val="20"/>
        </w:rPr>
        <w:t> </w:t>
      </w:r>
      <w:r>
        <w:rPr>
          <w:sz w:val="20"/>
        </w:rPr>
        <w:t>Board,</w:t>
      </w:r>
    </w:p>
    <w:p>
      <w:pPr>
        <w:pStyle w:val="ListParagraph"/>
        <w:numPr>
          <w:ilvl w:val="0"/>
          <w:numId w:val="2"/>
        </w:numPr>
        <w:tabs>
          <w:tab w:pos="598" w:val="left" w:leader="none"/>
        </w:tabs>
        <w:spacing w:line="271" w:lineRule="auto" w:before="29" w:after="0"/>
        <w:ind w:left="590" w:right="154" w:hanging="356"/>
        <w:jc w:val="left"/>
        <w:rPr>
          <w:sz w:val="20"/>
        </w:rPr>
      </w:pPr>
      <w:r>
        <w:rPr>
          <w:sz w:val="20"/>
        </w:rPr>
        <w:t>unlimited duration, unlike the US Federal Reserve System’s Interdistrict Settlement Accounts, which require a periodic (annual) settlement</w:t>
      </w:r>
      <w:r>
        <w:rPr>
          <w:i/>
          <w:sz w:val="20"/>
          <w:vertAlign w:val="superscript"/>
        </w:rPr>
        <w:t>‡</w:t>
      </w:r>
      <w:r>
        <w:rPr>
          <w:sz w:val="20"/>
          <w:vertAlign w:val="baseline"/>
        </w:rPr>
        <w:t>,</w:t>
      </w:r>
      <w:r>
        <w:rPr>
          <w:spacing w:val="-2"/>
          <w:sz w:val="20"/>
          <w:vertAlign w:val="baseline"/>
        </w:rPr>
        <w:t> </w:t>
      </w:r>
      <w:r>
        <w:rPr>
          <w:sz w:val="20"/>
          <w:vertAlign w:val="baseline"/>
        </w:rPr>
        <w:t>and</w:t>
      </w:r>
    </w:p>
    <w:p>
      <w:pPr>
        <w:pStyle w:val="ListParagraph"/>
        <w:numPr>
          <w:ilvl w:val="0"/>
          <w:numId w:val="2"/>
        </w:numPr>
        <w:tabs>
          <w:tab w:pos="598" w:val="left" w:leader="none"/>
        </w:tabs>
        <w:spacing w:line="228" w:lineRule="exact" w:before="0" w:after="0"/>
        <w:ind w:left="597" w:right="0" w:hanging="313"/>
        <w:jc w:val="left"/>
        <w:rPr>
          <w:sz w:val="20"/>
        </w:rPr>
      </w:pPr>
      <w:r>
        <w:rPr>
          <w:sz w:val="20"/>
        </w:rPr>
        <w:t>no caps or</w:t>
      </w:r>
      <w:r>
        <w:rPr>
          <w:spacing w:val="-4"/>
          <w:sz w:val="20"/>
        </w:rPr>
        <w:t> </w:t>
      </w:r>
      <w:r>
        <w:rPr>
          <w:sz w:val="20"/>
        </w:rPr>
        <w:t>limits.</w:t>
      </w:r>
    </w:p>
    <w:p>
      <w:pPr>
        <w:pStyle w:val="BodyText"/>
        <w:spacing w:before="3"/>
        <w:rPr>
          <w:sz w:val="23"/>
        </w:rPr>
      </w:pPr>
    </w:p>
    <w:p>
      <w:pPr>
        <w:pStyle w:val="BodyText"/>
        <w:spacing w:line="271" w:lineRule="auto"/>
        <w:ind w:left="190" w:right="119" w:firstLine="205"/>
        <w:jc w:val="both"/>
      </w:pPr>
      <w:r>
        <w:rPr/>
        <w:t>Currently, the consequences of a default by one of the participating national banks on this credit facility are undeﬁned.   The </w:t>
      </w:r>
      <w:r>
        <w:rPr>
          <w:spacing w:val="-3"/>
        </w:rPr>
        <w:t>ECB’s </w:t>
      </w:r>
      <w:r>
        <w:rPr/>
        <w:t>statements do not address the possibility of default, instead implying that imbalances are resolved through mutual, collectivized credit lines among Eurosystem member countries. This means that, for example, if the Banco de España were to default (partially) on this debt, the Bundesbank or the entire Eurosystem would need to absorb the losses, with the extent of the</w:t>
      </w:r>
      <w:r>
        <w:rPr>
          <w:spacing w:val="-3"/>
        </w:rPr>
        <w:t> </w:t>
      </w:r>
      <w:r>
        <w:rPr/>
        <w:t>absorption</w:t>
      </w:r>
      <w:r>
        <w:rPr>
          <w:spacing w:val="-3"/>
        </w:rPr>
        <w:t> </w:t>
      </w:r>
      <w:r>
        <w:rPr/>
        <w:t>(from</w:t>
      </w:r>
      <w:r>
        <w:rPr>
          <w:spacing w:val="-3"/>
        </w:rPr>
        <w:t> </w:t>
      </w:r>
      <w:r>
        <w:rPr/>
        <w:t>all</w:t>
      </w:r>
      <w:r>
        <w:rPr>
          <w:spacing w:val="-3"/>
        </w:rPr>
        <w:t> </w:t>
      </w:r>
      <w:r>
        <w:rPr/>
        <w:t>to</w:t>
      </w:r>
      <w:r>
        <w:rPr>
          <w:spacing w:val="-3"/>
        </w:rPr>
        <w:t> </w:t>
      </w:r>
      <w:r>
        <w:rPr/>
        <w:t>none)</w:t>
      </w:r>
      <w:r>
        <w:rPr>
          <w:spacing w:val="-3"/>
        </w:rPr>
        <w:t> </w:t>
      </w:r>
      <w:r>
        <w:rPr/>
        <w:t>unknown</w:t>
      </w:r>
      <w:r>
        <w:rPr>
          <w:spacing w:val="-4"/>
        </w:rPr>
        <w:t> </w:t>
      </w:r>
      <w:r>
        <w:rPr/>
        <w:t>at</w:t>
      </w:r>
      <w:r>
        <w:rPr>
          <w:spacing w:val="-3"/>
        </w:rPr>
        <w:t> </w:t>
      </w:r>
      <w:r>
        <w:rPr/>
        <w:t>present.</w:t>
      </w:r>
      <w:r>
        <w:rPr>
          <w:spacing w:val="-3"/>
        </w:rPr>
        <w:t> </w:t>
      </w:r>
      <w:r>
        <w:rPr/>
        <w:t>It</w:t>
      </w:r>
      <w:r>
        <w:rPr>
          <w:spacing w:val="-2"/>
        </w:rPr>
        <w:t> </w:t>
      </w:r>
      <w:r>
        <w:rPr/>
        <w:t>is</w:t>
      </w:r>
      <w:r>
        <w:rPr>
          <w:spacing w:val="-3"/>
        </w:rPr>
        <w:t> </w:t>
      </w:r>
      <w:r>
        <w:rPr/>
        <w:t>highly</w:t>
      </w:r>
      <w:r>
        <w:rPr>
          <w:spacing w:val="-3"/>
        </w:rPr>
        <w:t> </w:t>
      </w:r>
      <w:r>
        <w:rPr/>
        <w:t>probable</w:t>
      </w:r>
      <w:r>
        <w:rPr>
          <w:spacing w:val="-3"/>
        </w:rPr>
        <w:t> </w:t>
      </w:r>
      <w:r>
        <w:rPr/>
        <w:t>that</w:t>
      </w:r>
      <w:r>
        <w:rPr>
          <w:spacing w:val="-3"/>
        </w:rPr>
        <w:t> </w:t>
      </w:r>
      <w:r>
        <w:rPr/>
        <w:t>signiﬁcant</w:t>
      </w:r>
      <w:r>
        <w:rPr>
          <w:spacing w:val="-3"/>
        </w:rPr>
        <w:t> </w:t>
      </w:r>
      <w:r>
        <w:rPr/>
        <w:t>political</w:t>
      </w:r>
      <w:r>
        <w:rPr>
          <w:spacing w:val="-3"/>
        </w:rPr>
        <w:t> </w:t>
      </w:r>
      <w:r>
        <w:rPr/>
        <w:t>pressures</w:t>
      </w:r>
      <w:r>
        <w:rPr>
          <w:spacing w:val="-3"/>
        </w:rPr>
        <w:t> </w:t>
      </w:r>
      <w:r>
        <w:rPr/>
        <w:t>will</w:t>
      </w:r>
      <w:r>
        <w:rPr>
          <w:spacing w:val="-3"/>
        </w:rPr>
        <w:t> </w:t>
      </w:r>
      <w:r>
        <w:rPr/>
        <w:t>inﬂuence</w:t>
      </w:r>
      <w:r>
        <w:rPr>
          <w:spacing w:val="-3"/>
        </w:rPr>
        <w:t> </w:t>
      </w:r>
      <w:r>
        <w:rPr/>
        <w:t>the resolution of such a</w:t>
      </w:r>
      <w:r>
        <w:rPr>
          <w:spacing w:val="-5"/>
        </w:rPr>
        <w:t> </w:t>
      </w:r>
      <w:r>
        <w:rPr/>
        <w:t>situation.</w:t>
      </w:r>
    </w:p>
    <w:p>
      <w:pPr>
        <w:spacing w:line="271" w:lineRule="auto" w:before="0"/>
        <w:ind w:left="189" w:right="129" w:firstLine="205"/>
        <w:jc w:val="both"/>
        <w:rPr>
          <w:i/>
          <w:sz w:val="20"/>
        </w:rPr>
      </w:pPr>
      <w:r>
        <w:rPr>
          <w:sz w:val="20"/>
        </w:rPr>
        <w:t>On request the Austrian OeNB, one of the national banks of the Eurosystem, issued the following statement (in German, translation by deepl.com) </w:t>
      </w:r>
      <w:hyperlink w:history="true" w:anchor="_bookmark0">
        <w:r>
          <w:rPr>
            <w:sz w:val="20"/>
          </w:rPr>
          <w:t>(Ackerler</w:t>
        </w:r>
      </w:hyperlink>
      <w:r>
        <w:rPr>
          <w:sz w:val="20"/>
        </w:rPr>
        <w:t>, </w:t>
      </w:r>
      <w:hyperlink w:history="true" w:anchor="_bookmark0">
        <w:r>
          <w:rPr>
            <w:sz w:val="20"/>
          </w:rPr>
          <w:t>2024</w:t>
        </w:r>
      </w:hyperlink>
      <w:r>
        <w:rPr>
          <w:sz w:val="20"/>
        </w:rPr>
        <w:t>): </w:t>
      </w:r>
      <w:r>
        <w:rPr>
          <w:i/>
          <w:sz w:val="20"/>
        </w:rPr>
        <w:t>“There is no list of TARGET balances between individual countries. The ECB </w:t>
      </w:r>
      <w:r>
        <w:rPr>
          <w:i/>
          <w:sz w:val="20"/>
        </w:rPr>
        <w:t>acts as the central settlement centre for the central banks participating in </w:t>
      </w:r>
      <w:r>
        <w:rPr>
          <w:i/>
          <w:spacing w:val="-4"/>
          <w:sz w:val="20"/>
        </w:rPr>
        <w:t>TARGET; </w:t>
      </w:r>
      <w:r>
        <w:rPr>
          <w:i/>
          <w:sz w:val="20"/>
        </w:rPr>
        <w:t>at the end of the </w:t>
      </w:r>
      <w:r>
        <w:rPr>
          <w:i/>
          <w:spacing w:val="-3"/>
          <w:sz w:val="20"/>
        </w:rPr>
        <w:t>day, </w:t>
      </w:r>
      <w:r>
        <w:rPr>
          <w:i/>
          <w:sz w:val="20"/>
        </w:rPr>
        <w:t>the resulting claims and liabilities between the national central banks </w:t>
      </w:r>
      <w:r>
        <w:rPr>
          <w:i/>
          <w:spacing w:val="-3"/>
          <w:sz w:val="20"/>
        </w:rPr>
        <w:t>are </w:t>
      </w:r>
      <w:r>
        <w:rPr>
          <w:i/>
          <w:sz w:val="20"/>
        </w:rPr>
        <w:t>netted out to form a claim on or liability to the </w:t>
      </w:r>
      <w:r>
        <w:rPr>
          <w:i/>
          <w:spacing w:val="-6"/>
          <w:sz w:val="20"/>
        </w:rPr>
        <w:t>ECB.” </w:t>
      </w:r>
      <w:r>
        <w:rPr>
          <w:sz w:val="20"/>
        </w:rPr>
        <w:t>This has been corroborated</w:t>
      </w:r>
      <w:r>
        <w:rPr>
          <w:spacing w:val="-10"/>
          <w:sz w:val="20"/>
        </w:rPr>
        <w:t> </w:t>
      </w:r>
      <w:r>
        <w:rPr>
          <w:sz w:val="20"/>
        </w:rPr>
        <w:t>by</w:t>
      </w:r>
      <w:r>
        <w:rPr>
          <w:spacing w:val="-9"/>
          <w:sz w:val="20"/>
        </w:rPr>
        <w:t> </w:t>
      </w:r>
      <w:r>
        <w:rPr>
          <w:sz w:val="20"/>
        </w:rPr>
        <w:t>a</w:t>
      </w:r>
      <w:r>
        <w:rPr>
          <w:spacing w:val="-10"/>
          <w:sz w:val="20"/>
        </w:rPr>
        <w:t> </w:t>
      </w:r>
      <w:r>
        <w:rPr>
          <w:sz w:val="20"/>
        </w:rPr>
        <w:t>statement</w:t>
      </w:r>
      <w:r>
        <w:rPr>
          <w:spacing w:val="-9"/>
          <w:sz w:val="20"/>
        </w:rPr>
        <w:t> </w:t>
      </w:r>
      <w:r>
        <w:rPr>
          <w:sz w:val="20"/>
        </w:rPr>
        <w:t>of</w:t>
      </w:r>
      <w:r>
        <w:rPr>
          <w:spacing w:val="-9"/>
          <w:sz w:val="20"/>
        </w:rPr>
        <w:t> </w:t>
      </w:r>
      <w:r>
        <w:rPr>
          <w:sz w:val="20"/>
        </w:rPr>
        <w:t>the</w:t>
      </w:r>
      <w:r>
        <w:rPr>
          <w:spacing w:val="-10"/>
          <w:sz w:val="20"/>
        </w:rPr>
        <w:t> </w:t>
      </w:r>
      <w:r>
        <w:rPr>
          <w:sz w:val="20"/>
        </w:rPr>
        <w:t>ECB</w:t>
      </w:r>
      <w:r>
        <w:rPr>
          <w:spacing w:val="-9"/>
          <w:sz w:val="20"/>
        </w:rPr>
        <w:t> </w:t>
      </w:r>
      <w:r>
        <w:rPr>
          <w:sz w:val="20"/>
        </w:rPr>
        <w:t>(</w:t>
      </w:r>
      <w:hyperlink w:history="true" w:anchor="_bookmark24">
        <w:r>
          <w:rPr>
            <w:sz w:val="20"/>
          </w:rPr>
          <w:t>Putignano</w:t>
        </w:r>
      </w:hyperlink>
      <w:r>
        <w:rPr>
          <w:sz w:val="20"/>
        </w:rPr>
        <w:t>,</w:t>
      </w:r>
      <w:r>
        <w:rPr>
          <w:spacing w:val="-10"/>
          <w:sz w:val="20"/>
        </w:rPr>
        <w:t> </w:t>
      </w:r>
      <w:hyperlink w:history="true" w:anchor="_bookmark24">
        <w:r>
          <w:rPr>
            <w:sz w:val="20"/>
          </w:rPr>
          <w:t>2024</w:t>
        </w:r>
      </w:hyperlink>
      <w:r>
        <w:rPr>
          <w:sz w:val="20"/>
        </w:rPr>
        <w:t>):</w:t>
      </w:r>
      <w:r>
        <w:rPr>
          <w:spacing w:val="-9"/>
          <w:sz w:val="20"/>
        </w:rPr>
        <w:t> </w:t>
      </w:r>
      <w:r>
        <w:rPr>
          <w:i/>
          <w:sz w:val="20"/>
        </w:rPr>
        <w:t>“Please</w:t>
      </w:r>
      <w:r>
        <w:rPr>
          <w:i/>
          <w:spacing w:val="-9"/>
          <w:sz w:val="20"/>
        </w:rPr>
        <w:t> </w:t>
      </w:r>
      <w:r>
        <w:rPr>
          <w:i/>
          <w:sz w:val="20"/>
        </w:rPr>
        <w:t>note</w:t>
      </w:r>
      <w:r>
        <w:rPr>
          <w:i/>
          <w:spacing w:val="-10"/>
          <w:sz w:val="20"/>
        </w:rPr>
        <w:t> </w:t>
      </w:r>
      <w:r>
        <w:rPr>
          <w:i/>
          <w:sz w:val="20"/>
        </w:rPr>
        <w:t>that</w:t>
      </w:r>
      <w:r>
        <w:rPr>
          <w:i/>
          <w:spacing w:val="-9"/>
          <w:sz w:val="20"/>
        </w:rPr>
        <w:t> </w:t>
      </w:r>
      <w:r>
        <w:rPr>
          <w:i/>
          <w:sz w:val="20"/>
        </w:rPr>
        <w:t>TARGET</w:t>
      </w:r>
      <w:r>
        <w:rPr>
          <w:i/>
          <w:spacing w:val="-9"/>
          <w:sz w:val="20"/>
        </w:rPr>
        <w:t> </w:t>
      </w:r>
      <w:r>
        <w:rPr>
          <w:i/>
          <w:sz w:val="20"/>
        </w:rPr>
        <w:t>balances</w:t>
      </w:r>
      <w:r>
        <w:rPr>
          <w:i/>
          <w:spacing w:val="-10"/>
          <w:sz w:val="20"/>
        </w:rPr>
        <w:t> </w:t>
      </w:r>
      <w:r>
        <w:rPr>
          <w:i/>
          <w:spacing w:val="-3"/>
          <w:sz w:val="20"/>
        </w:rPr>
        <w:t>are</w:t>
      </w:r>
      <w:r>
        <w:rPr>
          <w:i/>
          <w:spacing w:val="-9"/>
          <w:sz w:val="20"/>
        </w:rPr>
        <w:t> </w:t>
      </w:r>
      <w:r>
        <w:rPr>
          <w:i/>
          <w:sz w:val="20"/>
        </w:rPr>
        <w:t>computed</w:t>
      </w:r>
      <w:r>
        <w:rPr>
          <w:i/>
          <w:spacing w:val="-10"/>
          <w:sz w:val="20"/>
        </w:rPr>
        <w:t> </w:t>
      </w:r>
      <w:r>
        <w:rPr>
          <w:i/>
          <w:sz w:val="20"/>
        </w:rPr>
        <w:t>automatically</w:t>
      </w:r>
      <w:r>
        <w:rPr>
          <w:i/>
          <w:spacing w:val="-9"/>
          <w:sz w:val="20"/>
        </w:rPr>
        <w:t> </w:t>
      </w:r>
      <w:r>
        <w:rPr>
          <w:i/>
          <w:sz w:val="20"/>
        </w:rPr>
        <w:t>at </w:t>
      </w:r>
      <w:r>
        <w:rPr>
          <w:i/>
          <w:sz w:val="20"/>
        </w:rPr>
        <w:t>the</w:t>
      </w:r>
      <w:r>
        <w:rPr>
          <w:i/>
          <w:spacing w:val="-9"/>
          <w:sz w:val="20"/>
        </w:rPr>
        <w:t> </w:t>
      </w:r>
      <w:r>
        <w:rPr>
          <w:i/>
          <w:sz w:val="20"/>
        </w:rPr>
        <w:t>end</w:t>
      </w:r>
      <w:r>
        <w:rPr>
          <w:i/>
          <w:spacing w:val="-9"/>
          <w:sz w:val="20"/>
        </w:rPr>
        <w:t> </w:t>
      </w:r>
      <w:r>
        <w:rPr>
          <w:i/>
          <w:sz w:val="20"/>
        </w:rPr>
        <w:t>of</w:t>
      </w:r>
      <w:r>
        <w:rPr>
          <w:i/>
          <w:spacing w:val="-8"/>
          <w:sz w:val="20"/>
        </w:rPr>
        <w:t> </w:t>
      </w:r>
      <w:r>
        <w:rPr>
          <w:i/>
          <w:sz w:val="20"/>
        </w:rPr>
        <w:t>the</w:t>
      </w:r>
      <w:r>
        <w:rPr>
          <w:i/>
          <w:spacing w:val="-9"/>
          <w:sz w:val="20"/>
        </w:rPr>
        <w:t> </w:t>
      </w:r>
      <w:r>
        <w:rPr>
          <w:i/>
          <w:sz w:val="20"/>
        </w:rPr>
        <w:t>day</w:t>
      </w:r>
      <w:r>
        <w:rPr>
          <w:i/>
          <w:spacing w:val="-9"/>
          <w:sz w:val="20"/>
        </w:rPr>
        <w:t> </w:t>
      </w:r>
      <w:r>
        <w:rPr>
          <w:i/>
          <w:sz w:val="20"/>
        </w:rPr>
        <w:t>in</w:t>
      </w:r>
      <w:r>
        <w:rPr>
          <w:i/>
          <w:spacing w:val="-8"/>
          <w:sz w:val="20"/>
        </w:rPr>
        <w:t> </w:t>
      </w:r>
      <w:r>
        <w:rPr>
          <w:i/>
          <w:sz w:val="20"/>
        </w:rPr>
        <w:t>TARGET</w:t>
      </w:r>
      <w:r>
        <w:rPr>
          <w:i/>
          <w:spacing w:val="-9"/>
          <w:sz w:val="20"/>
        </w:rPr>
        <w:t> </w:t>
      </w:r>
      <w:r>
        <w:rPr>
          <w:i/>
          <w:sz w:val="20"/>
        </w:rPr>
        <w:t>Services.</w:t>
      </w:r>
      <w:r>
        <w:rPr>
          <w:i/>
          <w:spacing w:val="-8"/>
          <w:sz w:val="20"/>
        </w:rPr>
        <w:t> </w:t>
      </w:r>
      <w:r>
        <w:rPr>
          <w:i/>
          <w:sz w:val="20"/>
        </w:rPr>
        <w:t>Unfortunately,</w:t>
      </w:r>
      <w:r>
        <w:rPr>
          <w:i/>
          <w:spacing w:val="-9"/>
          <w:sz w:val="20"/>
        </w:rPr>
        <w:t> </w:t>
      </w:r>
      <w:r>
        <w:rPr>
          <w:i/>
          <w:sz w:val="20"/>
        </w:rPr>
        <w:t>the</w:t>
      </w:r>
      <w:r>
        <w:rPr>
          <w:i/>
          <w:spacing w:val="-9"/>
          <w:sz w:val="20"/>
        </w:rPr>
        <w:t> </w:t>
      </w:r>
      <w:r>
        <w:rPr>
          <w:i/>
          <w:sz w:val="20"/>
        </w:rPr>
        <w:t>data</w:t>
      </w:r>
      <w:r>
        <w:rPr>
          <w:i/>
          <w:spacing w:val="-8"/>
          <w:sz w:val="20"/>
        </w:rPr>
        <w:t> </w:t>
      </w:r>
      <w:r>
        <w:rPr>
          <w:i/>
          <w:sz w:val="20"/>
        </w:rPr>
        <w:t>you</w:t>
      </w:r>
      <w:r>
        <w:rPr>
          <w:i/>
          <w:spacing w:val="-9"/>
          <w:sz w:val="20"/>
        </w:rPr>
        <w:t> </w:t>
      </w:r>
      <w:r>
        <w:rPr>
          <w:i/>
          <w:spacing w:val="-3"/>
          <w:sz w:val="20"/>
        </w:rPr>
        <w:t>are</w:t>
      </w:r>
      <w:r>
        <w:rPr>
          <w:i/>
          <w:spacing w:val="-9"/>
          <w:sz w:val="20"/>
        </w:rPr>
        <w:t> </w:t>
      </w:r>
      <w:r>
        <w:rPr>
          <w:i/>
          <w:sz w:val="20"/>
        </w:rPr>
        <w:t>enquiring</w:t>
      </w:r>
      <w:r>
        <w:rPr>
          <w:i/>
          <w:spacing w:val="-9"/>
          <w:sz w:val="20"/>
        </w:rPr>
        <w:t> </w:t>
      </w:r>
      <w:r>
        <w:rPr>
          <w:i/>
          <w:spacing w:val="-6"/>
          <w:sz w:val="20"/>
        </w:rPr>
        <w:t>for,</w:t>
      </w:r>
      <w:r>
        <w:rPr>
          <w:i/>
          <w:spacing w:val="-9"/>
          <w:sz w:val="20"/>
        </w:rPr>
        <w:t> </w:t>
      </w:r>
      <w:r>
        <w:rPr>
          <w:i/>
          <w:sz w:val="20"/>
        </w:rPr>
        <w:t>i.e.</w:t>
      </w:r>
      <w:r>
        <w:rPr>
          <w:i/>
          <w:spacing w:val="-9"/>
          <w:sz w:val="20"/>
        </w:rPr>
        <w:t> </w:t>
      </w:r>
      <w:r>
        <w:rPr>
          <w:i/>
          <w:sz w:val="20"/>
        </w:rPr>
        <w:t>the</w:t>
      </w:r>
      <w:r>
        <w:rPr>
          <w:i/>
          <w:spacing w:val="-9"/>
          <w:sz w:val="20"/>
        </w:rPr>
        <w:t> </w:t>
      </w:r>
      <w:r>
        <w:rPr>
          <w:i/>
          <w:sz w:val="20"/>
        </w:rPr>
        <w:t>balance</w:t>
      </w:r>
      <w:r>
        <w:rPr>
          <w:i/>
          <w:spacing w:val="-8"/>
          <w:sz w:val="20"/>
        </w:rPr>
        <w:t> </w:t>
      </w:r>
      <w:r>
        <w:rPr>
          <w:i/>
          <w:sz w:val="20"/>
        </w:rPr>
        <w:t>position</w:t>
      </w:r>
      <w:r>
        <w:rPr>
          <w:i/>
          <w:spacing w:val="-9"/>
          <w:sz w:val="20"/>
        </w:rPr>
        <w:t> </w:t>
      </w:r>
      <w:r>
        <w:rPr>
          <w:i/>
          <w:sz w:val="20"/>
        </w:rPr>
        <w:t>of</w:t>
      </w:r>
      <w:r>
        <w:rPr>
          <w:i/>
          <w:spacing w:val="-9"/>
          <w:sz w:val="20"/>
        </w:rPr>
        <w:t> </w:t>
      </w:r>
      <w:r>
        <w:rPr>
          <w:i/>
          <w:sz w:val="20"/>
        </w:rPr>
        <w:t>each</w:t>
      </w:r>
      <w:r>
        <w:rPr>
          <w:i/>
          <w:spacing w:val="-8"/>
          <w:sz w:val="20"/>
        </w:rPr>
        <w:t> </w:t>
      </w:r>
      <w:r>
        <w:rPr>
          <w:i/>
          <w:sz w:val="20"/>
        </w:rPr>
        <w:t>National Central Bank (NCB) vis-à-vis all other NCBs, is not</w:t>
      </w:r>
      <w:r>
        <w:rPr>
          <w:i/>
          <w:spacing w:val="-11"/>
          <w:sz w:val="20"/>
        </w:rPr>
        <w:t> </w:t>
      </w:r>
      <w:r>
        <w:rPr>
          <w:i/>
          <w:spacing w:val="-3"/>
          <w:sz w:val="20"/>
        </w:rPr>
        <w:t>available.”</w:t>
      </w:r>
    </w:p>
    <w:p>
      <w:pPr>
        <w:pStyle w:val="BodyText"/>
        <w:spacing w:line="271" w:lineRule="auto"/>
        <w:ind w:left="196" w:right="154" w:firstLine="199"/>
        <w:jc w:val="both"/>
      </w:pPr>
      <w:r>
        <w:rPr>
          <w:spacing w:val="-8"/>
        </w:rPr>
        <w:t>We </w:t>
      </w:r>
      <w:r>
        <w:rPr/>
        <w:t>therefore</w:t>
      </w:r>
      <w:r>
        <w:rPr>
          <w:spacing w:val="-7"/>
        </w:rPr>
        <w:t> </w:t>
      </w:r>
      <w:r>
        <w:rPr/>
        <w:t>conclude</w:t>
      </w:r>
      <w:r>
        <w:rPr>
          <w:spacing w:val="-8"/>
        </w:rPr>
        <w:t> </w:t>
      </w:r>
      <w:r>
        <w:rPr/>
        <w:t>that,</w:t>
      </w:r>
      <w:r>
        <w:rPr>
          <w:spacing w:val="-6"/>
        </w:rPr>
        <w:t> </w:t>
      </w:r>
      <w:r>
        <w:rPr/>
        <w:t>at</w:t>
      </w:r>
      <w:r>
        <w:rPr>
          <w:spacing w:val="-8"/>
        </w:rPr>
        <w:t> </w:t>
      </w:r>
      <w:r>
        <w:rPr/>
        <w:t>the</w:t>
      </w:r>
      <w:r>
        <w:rPr>
          <w:spacing w:val="-7"/>
        </w:rPr>
        <w:t> </w:t>
      </w:r>
      <w:r>
        <w:rPr/>
        <w:t>end</w:t>
      </w:r>
      <w:r>
        <w:rPr>
          <w:spacing w:val="-6"/>
        </w:rPr>
        <w:t> </w:t>
      </w:r>
      <w:r>
        <w:rPr/>
        <w:t>of</w:t>
      </w:r>
      <w:r>
        <w:rPr>
          <w:spacing w:val="-8"/>
        </w:rPr>
        <w:t> </w:t>
      </w:r>
      <w:r>
        <w:rPr/>
        <w:t>each</w:t>
      </w:r>
      <w:r>
        <w:rPr>
          <w:spacing w:val="-7"/>
        </w:rPr>
        <w:t> </w:t>
      </w:r>
      <w:r>
        <w:rPr>
          <w:spacing w:val="-4"/>
        </w:rPr>
        <w:t>day,</w:t>
      </w:r>
      <w:r>
        <w:rPr>
          <w:spacing w:val="-8"/>
        </w:rPr>
        <w:t> </w:t>
      </w:r>
      <w:r>
        <w:rPr/>
        <w:t>the</w:t>
      </w:r>
      <w:r>
        <w:rPr>
          <w:spacing w:val="-7"/>
        </w:rPr>
        <w:t> </w:t>
      </w:r>
      <w:r>
        <w:rPr>
          <w:spacing w:val="-4"/>
        </w:rPr>
        <w:t>TARGET</w:t>
      </w:r>
      <w:r>
        <w:rPr>
          <w:spacing w:val="-8"/>
        </w:rPr>
        <w:t> </w:t>
      </w:r>
      <w:r>
        <w:rPr/>
        <w:t>balances</w:t>
      </w:r>
      <w:r>
        <w:rPr>
          <w:spacing w:val="-6"/>
        </w:rPr>
        <w:t> </w:t>
      </w:r>
      <w:r>
        <w:rPr/>
        <w:t>are</w:t>
      </w:r>
      <w:r>
        <w:rPr>
          <w:spacing w:val="-7"/>
        </w:rPr>
        <w:t> </w:t>
      </w:r>
      <w:r>
        <w:rPr/>
        <w:t>‘collectivized’</w:t>
      </w:r>
      <w:r>
        <w:rPr>
          <w:spacing w:val="-8"/>
        </w:rPr>
        <w:t> </w:t>
      </w:r>
      <w:r>
        <w:rPr/>
        <w:t>or</w:t>
      </w:r>
      <w:r>
        <w:rPr>
          <w:spacing w:val="-6"/>
        </w:rPr>
        <w:t> </w:t>
      </w:r>
      <w:r>
        <w:rPr/>
        <w:t>netted</w:t>
      </w:r>
      <w:r>
        <w:rPr>
          <w:spacing w:val="-8"/>
        </w:rPr>
        <w:t> </w:t>
      </w:r>
      <w:r>
        <w:rPr/>
        <w:t>among</w:t>
      </w:r>
      <w:r>
        <w:rPr>
          <w:spacing w:val="-7"/>
        </w:rPr>
        <w:t> </w:t>
      </w:r>
      <w:r>
        <w:rPr/>
        <w:t>all</w:t>
      </w:r>
      <w:r>
        <w:rPr>
          <w:spacing w:val="-8"/>
        </w:rPr>
        <w:t> </w:t>
      </w:r>
      <w:r>
        <w:rPr/>
        <w:t>members</w:t>
      </w:r>
      <w:r>
        <w:rPr>
          <w:spacing w:val="-6"/>
        </w:rPr>
        <w:t> </w:t>
      </w:r>
      <w:r>
        <w:rPr/>
        <w:t>of the Eurosystem, and no ofﬁcial record exists to delineate and analyze them, such as a skew-symmetric matrix with vanishing diagonal entries, showing the balances of each individual NCB against every other</w:t>
      </w:r>
      <w:r>
        <w:rPr>
          <w:spacing w:val="-19"/>
        </w:rPr>
        <w:t> </w:t>
      </w:r>
      <w:r>
        <w:rPr/>
        <w:t>NCB.</w:t>
      </w:r>
    </w:p>
    <w:p>
      <w:pPr>
        <w:pStyle w:val="BodyText"/>
        <w:spacing w:line="271" w:lineRule="auto"/>
        <w:ind w:left="196" w:right="151" w:firstLine="199"/>
        <w:jc w:val="both"/>
      </w:pPr>
      <w:r>
        <w:rPr/>
        <w:t>This reporting procedure for </w:t>
      </w:r>
      <w:r>
        <w:rPr>
          <w:spacing w:val="-4"/>
        </w:rPr>
        <w:t>TARGET </w:t>
      </w:r>
      <w:r>
        <w:rPr/>
        <w:t>balances has signiﬁcant implications for a potential collapse of the Eurosystem and the subsequent debt settlement among its member states. The procedure is inadequate and irreversible, as it does not allow</w:t>
      </w:r>
      <w:r>
        <w:rPr>
          <w:spacing w:val="-26"/>
        </w:rPr>
        <w:t> </w:t>
      </w:r>
      <w:r>
        <w:rPr/>
        <w:t>for the tracking of individual balances between National Central Banks. </w:t>
      </w:r>
      <w:r>
        <w:rPr>
          <w:spacing w:val="-8"/>
        </w:rPr>
        <w:t>To  </w:t>
      </w:r>
      <w:r>
        <w:rPr/>
        <w:t>illustrate this, consider Austria’s OeNB, which has   a current negative </w:t>
      </w:r>
      <w:r>
        <w:rPr>
          <w:spacing w:val="-4"/>
        </w:rPr>
        <w:t>TARGET </w:t>
      </w:r>
      <w:r>
        <w:rPr/>
        <w:t>balance of approximately –65 billion (outstanding) Euro (</w:t>
      </w:r>
      <w:hyperlink w:history="true" w:anchor="_bookmark10">
        <w:r>
          <w:rPr/>
          <w:t>European Central Bank</w:t>
        </w:r>
      </w:hyperlink>
      <w:r>
        <w:rPr/>
        <w:t>, </w:t>
      </w:r>
      <w:hyperlink w:history="true" w:anchor="_bookmark10">
        <w:r>
          <w:rPr/>
          <w:t>2024a</w:t>
        </w:r>
      </w:hyperlink>
      <w:r>
        <w:rPr/>
        <w:t>). This balance</w:t>
      </w:r>
      <w:r>
        <w:rPr>
          <w:spacing w:val="-3"/>
        </w:rPr>
        <w:t> </w:t>
      </w:r>
      <w:r>
        <w:rPr/>
        <w:t>could</w:t>
      </w:r>
      <w:r>
        <w:rPr>
          <w:spacing w:val="-3"/>
        </w:rPr>
        <w:t> </w:t>
      </w:r>
      <w:r>
        <w:rPr/>
        <w:t>have</w:t>
      </w:r>
      <w:r>
        <w:rPr>
          <w:spacing w:val="-2"/>
        </w:rPr>
        <w:t> </w:t>
      </w:r>
      <w:r>
        <w:rPr/>
        <w:t>resulted</w:t>
      </w:r>
      <w:r>
        <w:rPr>
          <w:spacing w:val="-3"/>
        </w:rPr>
        <w:t> </w:t>
      </w:r>
      <w:r>
        <w:rPr/>
        <w:t>from</w:t>
      </w:r>
      <w:r>
        <w:rPr>
          <w:spacing w:val="-2"/>
        </w:rPr>
        <w:t> </w:t>
      </w:r>
      <w:r>
        <w:rPr/>
        <w:t>various</w:t>
      </w:r>
      <w:r>
        <w:rPr>
          <w:spacing w:val="-3"/>
        </w:rPr>
        <w:t> </w:t>
      </w:r>
      <w:r>
        <w:rPr/>
        <w:t>(a</w:t>
      </w:r>
      <w:r>
        <w:rPr>
          <w:spacing w:val="-3"/>
        </w:rPr>
        <w:t> </w:t>
      </w:r>
      <w:r>
        <w:rPr/>
        <w:t>continuity</w:t>
      </w:r>
      <w:r>
        <w:rPr>
          <w:spacing w:val="-2"/>
        </w:rPr>
        <w:t> </w:t>
      </w:r>
      <w:r>
        <w:rPr/>
        <w:t>of)</w:t>
      </w:r>
      <w:r>
        <w:rPr>
          <w:spacing w:val="-3"/>
        </w:rPr>
        <w:t> </w:t>
      </w:r>
      <w:r>
        <w:rPr/>
        <w:t>transactions,</w:t>
      </w:r>
      <w:r>
        <w:rPr>
          <w:spacing w:val="-2"/>
        </w:rPr>
        <w:t> </w:t>
      </w:r>
      <w:r>
        <w:rPr/>
        <w:t>such</w:t>
      </w:r>
      <w:r>
        <w:rPr>
          <w:spacing w:val="-3"/>
        </w:rPr>
        <w:t> </w:t>
      </w:r>
      <w:r>
        <w:rPr/>
        <w:t>as</w:t>
      </w:r>
      <w:r>
        <w:rPr>
          <w:spacing w:val="-3"/>
        </w:rPr>
        <w:t> </w:t>
      </w:r>
      <w:r>
        <w:rPr/>
        <w:t>lending</w:t>
      </w:r>
      <w:r>
        <w:rPr>
          <w:spacing w:val="-2"/>
        </w:rPr>
        <w:t> </w:t>
      </w:r>
      <w:r>
        <w:rPr/>
        <w:t>100</w:t>
      </w:r>
      <w:r>
        <w:rPr>
          <w:spacing w:val="-3"/>
        </w:rPr>
        <w:t> </w:t>
      </w:r>
      <w:r>
        <w:rPr/>
        <w:t>billion</w:t>
      </w:r>
      <w:r>
        <w:rPr>
          <w:spacing w:val="-2"/>
        </w:rPr>
        <w:t> </w:t>
      </w:r>
      <w:r>
        <w:rPr/>
        <w:t>to</w:t>
      </w:r>
      <w:r>
        <w:rPr>
          <w:spacing w:val="-3"/>
        </w:rPr>
        <w:t> </w:t>
      </w:r>
      <w:r>
        <w:rPr/>
        <w:t>Italy</w:t>
      </w:r>
      <w:r>
        <w:rPr>
          <w:spacing w:val="-3"/>
        </w:rPr>
        <w:t> </w:t>
      </w:r>
      <w:r>
        <w:rPr/>
        <w:t>and</w:t>
      </w:r>
      <w:r>
        <w:rPr>
          <w:spacing w:val="-2"/>
        </w:rPr>
        <w:t> </w:t>
      </w:r>
      <w:r>
        <w:rPr/>
        <w:t>borrowing</w:t>
      </w:r>
      <w:r>
        <w:rPr>
          <w:spacing w:val="-3"/>
        </w:rPr>
        <w:t> </w:t>
      </w:r>
      <w:r>
        <w:rPr/>
        <w:t>165 billion</w:t>
      </w:r>
      <w:r>
        <w:rPr>
          <w:spacing w:val="10"/>
        </w:rPr>
        <w:t> </w:t>
      </w:r>
      <w:r>
        <w:rPr/>
        <w:t>from</w:t>
      </w:r>
      <w:r>
        <w:rPr>
          <w:spacing w:val="11"/>
        </w:rPr>
        <w:t> </w:t>
      </w:r>
      <w:r>
        <w:rPr/>
        <w:t>Germany,</w:t>
      </w:r>
      <w:r>
        <w:rPr>
          <w:spacing w:val="10"/>
        </w:rPr>
        <w:t> </w:t>
      </w:r>
      <w:r>
        <w:rPr/>
        <w:t>or</w:t>
      </w:r>
      <w:r>
        <w:rPr>
          <w:spacing w:val="12"/>
        </w:rPr>
        <w:t> </w:t>
      </w:r>
      <w:r>
        <w:rPr/>
        <w:t>alternatively</w:t>
      </w:r>
      <w:r>
        <w:rPr>
          <w:spacing w:val="10"/>
        </w:rPr>
        <w:t> </w:t>
      </w:r>
      <w:r>
        <w:rPr/>
        <w:t>borrowing</w:t>
      </w:r>
      <w:r>
        <w:rPr>
          <w:spacing w:val="11"/>
        </w:rPr>
        <w:t> </w:t>
      </w:r>
      <w:r>
        <w:rPr/>
        <w:t>30</w:t>
      </w:r>
      <w:r>
        <w:rPr>
          <w:spacing w:val="10"/>
        </w:rPr>
        <w:t> </w:t>
      </w:r>
      <w:r>
        <w:rPr/>
        <w:t>billion</w:t>
      </w:r>
      <w:r>
        <w:rPr>
          <w:spacing w:val="12"/>
        </w:rPr>
        <w:t> </w:t>
      </w:r>
      <w:r>
        <w:rPr/>
        <w:t>from</w:t>
      </w:r>
      <w:r>
        <w:rPr>
          <w:spacing w:val="10"/>
        </w:rPr>
        <w:t> </w:t>
      </w:r>
      <w:r>
        <w:rPr>
          <w:spacing w:val="-3"/>
        </w:rPr>
        <w:t>Italy,</w:t>
      </w:r>
      <w:r>
        <w:rPr>
          <w:spacing w:val="11"/>
        </w:rPr>
        <w:t> </w:t>
      </w:r>
      <w:r>
        <w:rPr/>
        <w:t>lending</w:t>
      </w:r>
      <w:r>
        <w:rPr>
          <w:spacing w:val="10"/>
        </w:rPr>
        <w:t> </w:t>
      </w:r>
      <w:r>
        <w:rPr/>
        <w:t>100</w:t>
      </w:r>
      <w:r>
        <w:rPr>
          <w:spacing w:val="12"/>
        </w:rPr>
        <w:t> </w:t>
      </w:r>
      <w:r>
        <w:rPr/>
        <w:t>billion</w:t>
      </w:r>
      <w:r>
        <w:rPr>
          <w:spacing w:val="10"/>
        </w:rPr>
        <w:t> </w:t>
      </w:r>
      <w:r>
        <w:rPr/>
        <w:t>to</w:t>
      </w:r>
      <w:r>
        <w:rPr>
          <w:spacing w:val="11"/>
        </w:rPr>
        <w:t> </w:t>
      </w:r>
      <w:r>
        <w:rPr/>
        <w:t>Germany,</w:t>
      </w:r>
      <w:r>
        <w:rPr>
          <w:spacing w:val="10"/>
        </w:rPr>
        <w:t> </w:t>
      </w:r>
      <w:r>
        <w:rPr/>
        <w:t>and</w:t>
      </w:r>
      <w:r>
        <w:rPr>
          <w:spacing w:val="12"/>
        </w:rPr>
        <w:t> </w:t>
      </w:r>
      <w:r>
        <w:rPr/>
        <w:t>borrowing</w:t>
      </w:r>
      <w:r>
        <w:rPr>
          <w:spacing w:val="11"/>
        </w:rPr>
        <w:t> </w:t>
      </w:r>
      <w:r>
        <w:rPr/>
        <w:t>135</w:t>
      </w:r>
    </w:p>
    <w:p>
      <w:pPr>
        <w:pStyle w:val="BodyText"/>
        <w:rPr>
          <w:sz w:val="18"/>
        </w:rPr>
      </w:pPr>
      <w:r>
        <w:rPr/>
        <w:pict>
          <v:shape style="position:absolute;margin-left:46.824001pt;margin-top:12.578657pt;width:502.65pt;height:.1pt;mso-position-horizontal-relative:page;mso-position-vertical-relative:paragraph;z-index:-15726080;mso-wrap-distance-left:0;mso-wrap-distance-right:0" coordorigin="936,252" coordsize="10053,0" path="m936,252l10989,252e" filled="false" stroked="true" strokeweight=".4981pt" strokecolor="#000000">
            <v:path arrowok="t"/>
            <v:stroke dashstyle="solid"/>
            <w10:wrap type="topAndBottom"/>
          </v:shape>
        </w:pict>
      </w:r>
    </w:p>
    <w:p>
      <w:pPr>
        <w:spacing w:line="264" w:lineRule="auto" w:before="56"/>
        <w:ind w:left="196" w:right="147" w:firstLine="0"/>
        <w:jc w:val="left"/>
        <w:rPr>
          <w:sz w:val="14"/>
        </w:rPr>
      </w:pPr>
      <w:r>
        <w:rPr>
          <w:rFonts w:ascii="Bookman Old Style" w:hAnsi="Bookman Old Style"/>
          <w:b w:val="0"/>
          <w:i/>
          <w:sz w:val="14"/>
          <w:vertAlign w:val="superscript"/>
        </w:rPr>
        <w:t>‡</w:t>
      </w:r>
      <w:r>
        <w:rPr>
          <w:rFonts w:ascii="Bookman Old Style" w:hAnsi="Bookman Old Style"/>
          <w:b w:val="0"/>
          <w:i/>
          <w:sz w:val="14"/>
          <w:vertAlign w:val="baseline"/>
        </w:rPr>
        <w:t> </w:t>
      </w:r>
      <w:r>
        <w:rPr>
          <w:sz w:val="14"/>
          <w:vertAlign w:val="baseline"/>
        </w:rPr>
        <w:t>Interdistrict Settlement Accounts are settled primarily through the transfer of US Treasury securities. Historically, Gold Certiﬁcates were used in Federal Reserve accounting, but they are no longer part of the settlement process today.</w:t>
      </w:r>
    </w:p>
    <w:p>
      <w:pPr>
        <w:spacing w:after="0" w:line="264" w:lineRule="auto"/>
        <w:jc w:val="left"/>
        <w:rPr>
          <w:sz w:val="14"/>
        </w:rPr>
        <w:sectPr>
          <w:headerReference w:type="even" r:id="rId7"/>
          <w:headerReference w:type="default" r:id="rId8"/>
          <w:pgSz w:w="11910" w:h="15650"/>
          <w:pgMar w:header="730" w:footer="0" w:top="940" w:bottom="280" w:left="740" w:right="760"/>
          <w:pgNumType w:start="2"/>
        </w:sectPr>
      </w:pPr>
    </w:p>
    <w:p>
      <w:pPr>
        <w:pStyle w:val="BodyText"/>
        <w:spacing w:line="271" w:lineRule="auto" w:before="146"/>
        <w:ind w:left="176"/>
      </w:pPr>
      <w:r>
        <w:rPr/>
        <w:t>billion from France. However, the current system does not allow for the identiﬁcation of these speciﬁc transactions, and no ofﬁcial records are maintained.</w:t>
      </w:r>
    </w:p>
    <w:p>
      <w:pPr>
        <w:pStyle w:val="BodyText"/>
        <w:spacing w:line="271" w:lineRule="auto"/>
        <w:ind w:left="176" w:right="94" w:firstLine="199"/>
      </w:pPr>
      <w:r>
        <w:rPr/>
        <w:t>Formally, the quantitative ﬂows of inter-NCB </w:t>
      </w:r>
      <w:r>
        <w:rPr>
          <w:spacing w:val="-4"/>
        </w:rPr>
        <w:t>Target </w:t>
      </w:r>
      <w:r>
        <w:rPr/>
        <w:t>balances can be represented by a skew-symmetric matrix with zero diagonal elements, where the entry </w:t>
      </w:r>
      <w:r>
        <w:rPr>
          <w:i/>
        </w:rPr>
        <w:t>T</w:t>
      </w:r>
      <w:r>
        <w:rPr>
          <w:i/>
          <w:vertAlign w:val="subscript"/>
        </w:rPr>
        <w:t>ij</w:t>
      </w:r>
      <w:r>
        <w:rPr>
          <w:i/>
          <w:vertAlign w:val="baseline"/>
        </w:rPr>
        <w:t> </w:t>
      </w:r>
      <w:r>
        <w:rPr>
          <w:vertAlign w:val="baseline"/>
        </w:rPr>
        <w:t>in the </w:t>
      </w:r>
      <w:r>
        <w:rPr>
          <w:i/>
          <w:vertAlign w:val="baseline"/>
        </w:rPr>
        <w:t>i</w:t>
      </w:r>
      <w:r>
        <w:rPr>
          <w:vertAlign w:val="baseline"/>
        </w:rPr>
        <w:t>th row and </w:t>
      </w:r>
      <w:r>
        <w:rPr>
          <w:i/>
          <w:vertAlign w:val="baseline"/>
        </w:rPr>
        <w:t>j</w:t>
      </w:r>
      <w:r>
        <w:rPr>
          <w:vertAlign w:val="baseline"/>
        </w:rPr>
        <w:t>th column represents the respective </w:t>
      </w:r>
      <w:r>
        <w:rPr>
          <w:spacing w:val="-4"/>
          <w:vertAlign w:val="baseline"/>
        </w:rPr>
        <w:t>TARGET </w:t>
      </w:r>
      <w:r>
        <w:rPr>
          <w:vertAlign w:val="baseline"/>
        </w:rPr>
        <w:t>balance of the </w:t>
      </w:r>
      <w:r>
        <w:rPr>
          <w:i/>
          <w:vertAlign w:val="baseline"/>
        </w:rPr>
        <w:t>i</w:t>
      </w:r>
      <w:r>
        <w:rPr>
          <w:vertAlign w:val="baseline"/>
        </w:rPr>
        <w:t>th NCB</w:t>
      </w:r>
    </w:p>
    <w:p>
      <w:pPr>
        <w:pStyle w:val="BodyText"/>
        <w:spacing w:line="131" w:lineRule="exact"/>
        <w:ind w:left="169"/>
      </w:pPr>
      <w:r>
        <w:rPr/>
        <w:t>with respect to the </w:t>
      </w:r>
      <w:r>
        <w:rPr>
          <w:i/>
        </w:rPr>
        <w:t>j</w:t>
      </w:r>
      <w:r>
        <w:rPr/>
        <w:t>th NCB:</w:t>
      </w:r>
    </w:p>
    <w:p>
      <w:pPr>
        <w:tabs>
          <w:tab w:pos="929" w:val="left" w:leader="none"/>
        </w:tabs>
        <w:spacing w:line="321" w:lineRule="exact" w:before="0"/>
        <w:ind w:left="266" w:right="0" w:firstLine="0"/>
        <w:jc w:val="center"/>
        <w:rPr>
          <w:sz w:val="20"/>
        </w:rPr>
      </w:pPr>
      <w:r>
        <w:rPr>
          <w:w w:val="105"/>
          <w:position w:val="12"/>
          <w:sz w:val="20"/>
        </w:rPr>
        <w:t> </w:t>
      </w:r>
      <w:r>
        <w:rPr>
          <w:spacing w:val="28"/>
          <w:w w:val="105"/>
          <w:position w:val="12"/>
          <w:sz w:val="20"/>
        </w:rPr>
        <w:t> </w:t>
      </w:r>
      <w:r>
        <w:rPr>
          <w:w w:val="105"/>
          <w:sz w:val="20"/>
        </w:rPr>
        <w:t>0</w:t>
        <w:tab/>
      </w:r>
      <w:r>
        <w:rPr>
          <w:i/>
          <w:w w:val="105"/>
          <w:sz w:val="20"/>
        </w:rPr>
        <w:t>T</w:t>
      </w:r>
      <w:r>
        <w:rPr>
          <w:w w:val="105"/>
          <w:sz w:val="20"/>
          <w:vertAlign w:val="subscript"/>
        </w:rPr>
        <w:t>12</w:t>
      </w:r>
      <w:r>
        <w:rPr>
          <w:w w:val="105"/>
          <w:sz w:val="20"/>
          <w:vertAlign w:val="baseline"/>
        </w:rPr>
        <w:t>   </w:t>
      </w:r>
      <w:r>
        <w:rPr>
          <w:i/>
          <w:w w:val="105"/>
          <w:sz w:val="20"/>
          <w:vertAlign w:val="baseline"/>
        </w:rPr>
        <w:t>T</w:t>
      </w:r>
      <w:r>
        <w:rPr>
          <w:w w:val="105"/>
          <w:sz w:val="20"/>
          <w:vertAlign w:val="subscript"/>
        </w:rPr>
        <w:t>13</w:t>
      </w:r>
      <w:r>
        <w:rPr>
          <w:w w:val="105"/>
          <w:sz w:val="20"/>
          <w:vertAlign w:val="baseline"/>
        </w:rPr>
        <w:t>   </w:t>
      </w:r>
      <w:r>
        <w:rPr>
          <w:rFonts w:ascii="Georgia" w:hAnsi="Georgia"/>
          <w:i/>
          <w:w w:val="105"/>
          <w:sz w:val="20"/>
          <w:vertAlign w:val="baseline"/>
        </w:rPr>
        <w:t>· · ·</w:t>
      </w:r>
      <w:r>
        <w:rPr>
          <w:rFonts w:ascii="Georgia" w:hAnsi="Georgia"/>
          <w:i/>
          <w:spacing w:val="6"/>
          <w:w w:val="105"/>
          <w:sz w:val="20"/>
          <w:vertAlign w:val="baseline"/>
        </w:rPr>
        <w:t> </w:t>
      </w:r>
      <w:r>
        <w:rPr>
          <w:i/>
          <w:spacing w:val="2"/>
          <w:w w:val="105"/>
          <w:sz w:val="20"/>
          <w:vertAlign w:val="baseline"/>
        </w:rPr>
        <w:t>T</w:t>
      </w:r>
      <w:r>
        <w:rPr>
          <w:spacing w:val="2"/>
          <w:w w:val="105"/>
          <w:sz w:val="20"/>
          <w:vertAlign w:val="subscript"/>
        </w:rPr>
        <w:t>1</w:t>
      </w:r>
      <w:r>
        <w:rPr>
          <w:i/>
          <w:spacing w:val="2"/>
          <w:w w:val="105"/>
          <w:sz w:val="20"/>
          <w:vertAlign w:val="subscript"/>
        </w:rPr>
        <w:t>n</w:t>
      </w:r>
      <w:r>
        <w:rPr>
          <w:spacing w:val="2"/>
          <w:w w:val="105"/>
          <w:position w:val="12"/>
          <w:sz w:val="20"/>
          <w:vertAlign w:val="baseline"/>
        </w:rPr>
        <w:t></w:t>
      </w:r>
    </w:p>
    <w:p>
      <w:pPr>
        <w:tabs>
          <w:tab w:pos="825" w:val="left" w:leader="none"/>
          <w:tab w:pos="1185" w:val="left" w:leader="none"/>
        </w:tabs>
        <w:spacing w:before="28"/>
        <w:ind w:left="256" w:right="0" w:firstLine="0"/>
        <w:jc w:val="center"/>
        <w:rPr>
          <w:i/>
          <w:sz w:val="20"/>
        </w:rPr>
      </w:pPr>
      <w:r>
        <w:rPr/>
        <w:pict>
          <v:shape style="position:absolute;margin-left:247.800995pt;margin-top:7.38279pt;width:112pt;height:37.2pt;mso-position-horizontal-relative:page;mso-position-vertical-relative:paragraph;z-index:-16001536" type="#_x0000_t202" filled="false" stroked="false">
            <v:textbox inset="0,0,0,0">
              <w:txbxContent>
                <w:p>
                  <w:pPr>
                    <w:pStyle w:val="BodyText"/>
                    <w:tabs>
                      <w:tab w:pos="2065" w:val="left" w:leader="none"/>
                    </w:tabs>
                    <w:spacing w:line="197" w:lineRule="exact"/>
                  </w:pPr>
                  <w:r>
                    <w:rPr>
                      <w:w w:val="110"/>
                    </w:rPr>
                    <w:t></w:t>
                    <w:tab/>
                  </w:r>
                  <w:r>
                    <w:rPr>
                      <w:spacing w:val="-70"/>
                      <w:w w:val="110"/>
                    </w:rPr>
                    <w:t></w:t>
                  </w:r>
                </w:p>
              </w:txbxContent>
            </v:textbox>
            <w10:wrap type="none"/>
          </v:shape>
        </w:pict>
      </w:r>
      <w:r>
        <w:rPr>
          <w:sz w:val="20"/>
        </w:rPr>
        <w:t>–</w:t>
      </w:r>
      <w:r>
        <w:rPr>
          <w:i/>
          <w:sz w:val="20"/>
        </w:rPr>
        <w:t>T</w:t>
      </w:r>
      <w:r>
        <w:rPr>
          <w:sz w:val="20"/>
          <w:vertAlign w:val="subscript"/>
        </w:rPr>
        <w:t>12</w:t>
      </w:r>
      <w:r>
        <w:rPr>
          <w:sz w:val="20"/>
          <w:vertAlign w:val="baseline"/>
        </w:rPr>
        <w:tab/>
        <w:t>0</w:t>
        <w:tab/>
      </w:r>
      <w:r>
        <w:rPr>
          <w:i/>
          <w:sz w:val="20"/>
          <w:vertAlign w:val="baseline"/>
        </w:rPr>
        <w:t>T</w:t>
      </w:r>
      <w:r>
        <w:rPr>
          <w:sz w:val="20"/>
          <w:vertAlign w:val="subscript"/>
        </w:rPr>
        <w:t>23</w:t>
      </w:r>
      <w:r>
        <w:rPr>
          <w:sz w:val="20"/>
          <w:vertAlign w:val="baseline"/>
        </w:rPr>
        <w:t>   </w:t>
      </w:r>
      <w:r>
        <w:rPr>
          <w:rFonts w:ascii="Georgia" w:hAnsi="Georgia"/>
          <w:i/>
          <w:sz w:val="20"/>
          <w:vertAlign w:val="baseline"/>
        </w:rPr>
        <w:t>· · ·</w:t>
      </w:r>
      <w:r>
        <w:rPr>
          <w:rFonts w:ascii="Georgia" w:hAnsi="Georgia"/>
          <w:i/>
          <w:spacing w:val="-10"/>
          <w:sz w:val="20"/>
          <w:vertAlign w:val="baseline"/>
        </w:rPr>
        <w:t> </w:t>
      </w:r>
      <w:r>
        <w:rPr>
          <w:i/>
          <w:sz w:val="20"/>
          <w:vertAlign w:val="baseline"/>
        </w:rPr>
        <w:t>T</w:t>
      </w:r>
      <w:r>
        <w:rPr>
          <w:sz w:val="20"/>
          <w:vertAlign w:val="subscript"/>
        </w:rPr>
        <w:t>2</w:t>
      </w:r>
      <w:r>
        <w:rPr>
          <w:i/>
          <w:sz w:val="20"/>
          <w:vertAlign w:val="subscript"/>
        </w:rPr>
        <w:t>n</w:t>
      </w:r>
    </w:p>
    <w:p>
      <w:pPr>
        <w:tabs>
          <w:tab w:pos="5399" w:val="left" w:leader="none"/>
          <w:tab w:pos="5708" w:val="left" w:leader="none"/>
          <w:tab w:pos="9996" w:val="left" w:leader="none"/>
        </w:tabs>
        <w:spacing w:before="29"/>
        <w:ind w:left="3866" w:right="0" w:firstLine="0"/>
        <w:jc w:val="left"/>
        <w:rPr>
          <w:sz w:val="20"/>
        </w:rPr>
      </w:pPr>
      <w:r>
        <w:rPr/>
        <w:pict>
          <v:shape style="position:absolute;margin-left:247.800995pt;margin-top:12.414802pt;width:8.75pt;height:43.6pt;mso-position-horizontal-relative:page;mso-position-vertical-relative:paragraph;z-index:-16000000" type="#_x0000_t202" filled="false" stroked="false">
            <v:textbox inset="0,0,0,0">
              <w:txbxContent>
                <w:p>
                  <w:pPr>
                    <w:pStyle w:val="BodyText"/>
                    <w:spacing w:line="196" w:lineRule="auto"/>
                  </w:pPr>
                  <w:r>
                    <w:rPr>
                      <w:spacing w:val="-175"/>
                      <w:w w:val="112"/>
                    </w:rPr>
                    <w:t></w:t>
                  </w:r>
                  <w:r>
                    <w:rPr>
                      <w:w w:val="112"/>
                      <w:position w:val="-12"/>
                    </w:rPr>
                    <w:t></w:t>
                  </w:r>
                </w:p>
              </w:txbxContent>
            </v:textbox>
            <w10:wrap type="none"/>
          </v:shape>
        </w:pict>
      </w:r>
      <w:r>
        <w:rPr/>
        <w:pict>
          <v:shape style="position:absolute;margin-left:351.070007pt;margin-top:12.414802pt;width:8.75pt;height:43.6pt;mso-position-horizontal-relative:page;mso-position-vertical-relative:paragraph;z-index:-15999488" type="#_x0000_t202" filled="false" stroked="false">
            <v:textbox inset="0,0,0,0">
              <w:txbxContent>
                <w:p>
                  <w:pPr>
                    <w:pStyle w:val="BodyText"/>
                    <w:spacing w:line="196" w:lineRule="auto"/>
                  </w:pPr>
                  <w:r>
                    <w:rPr>
                      <w:spacing w:val="-175"/>
                      <w:w w:val="112"/>
                    </w:rPr>
                    <w:t></w:t>
                  </w:r>
                  <w:r>
                    <w:rPr>
                      <w:w w:val="112"/>
                      <w:position w:val="-12"/>
                    </w:rPr>
                    <w:t></w:t>
                  </w:r>
                </w:p>
              </w:txbxContent>
            </v:textbox>
            <w10:wrap type="none"/>
          </v:shape>
        </w:pict>
      </w:r>
      <w:r>
        <w:rPr>
          <w:i/>
          <w:position w:val="-5"/>
          <w:sz w:val="20"/>
        </w:rPr>
        <w:t>T  </w:t>
      </w:r>
      <w:r>
        <w:rPr>
          <w:position w:val="-5"/>
          <w:sz w:val="20"/>
        </w:rPr>
        <w:t>=</w:t>
      </w:r>
      <w:r>
        <w:rPr>
          <w:spacing w:val="-12"/>
          <w:position w:val="-5"/>
          <w:sz w:val="20"/>
        </w:rPr>
        <w:t> </w:t>
      </w:r>
      <w:r>
        <w:rPr>
          <w:position w:val="-6"/>
          <w:sz w:val="20"/>
        </w:rPr>
        <w:t></w:t>
      </w:r>
      <w:r>
        <w:rPr>
          <w:sz w:val="20"/>
        </w:rPr>
        <w:t>–</w:t>
      </w:r>
      <w:r>
        <w:rPr>
          <w:i/>
          <w:sz w:val="20"/>
        </w:rPr>
        <w:t>T</w:t>
      </w:r>
      <w:r>
        <w:rPr>
          <w:sz w:val="20"/>
          <w:vertAlign w:val="subscript"/>
        </w:rPr>
        <w:t>13</w:t>
      </w:r>
      <w:r>
        <w:rPr>
          <w:spacing w:val="49"/>
          <w:sz w:val="20"/>
          <w:vertAlign w:val="baseline"/>
        </w:rPr>
        <w:t> </w:t>
      </w:r>
      <w:r>
        <w:rPr>
          <w:sz w:val="20"/>
          <w:vertAlign w:val="baseline"/>
        </w:rPr>
        <w:t>–</w:t>
      </w:r>
      <w:r>
        <w:rPr>
          <w:i/>
          <w:sz w:val="20"/>
          <w:vertAlign w:val="baseline"/>
        </w:rPr>
        <w:t>T</w:t>
      </w:r>
      <w:r>
        <w:rPr>
          <w:sz w:val="20"/>
          <w:vertAlign w:val="subscript"/>
        </w:rPr>
        <w:t>23</w:t>
      </w:r>
      <w:r>
        <w:rPr>
          <w:sz w:val="20"/>
          <w:vertAlign w:val="baseline"/>
        </w:rPr>
        <w:tab/>
        <w:t>0</w:t>
        <w:tab/>
      </w:r>
      <w:r>
        <w:rPr>
          <w:rFonts w:ascii="Georgia" w:hAnsi="Georgia"/>
          <w:i/>
          <w:sz w:val="20"/>
          <w:vertAlign w:val="baseline"/>
        </w:rPr>
        <w:t>· · ·</w:t>
      </w:r>
      <w:r>
        <w:rPr>
          <w:rFonts w:ascii="Georgia" w:hAnsi="Georgia"/>
          <w:i/>
          <w:spacing w:val="14"/>
          <w:sz w:val="20"/>
          <w:vertAlign w:val="baseline"/>
        </w:rPr>
        <w:t> </w:t>
      </w:r>
      <w:r>
        <w:rPr>
          <w:i/>
          <w:spacing w:val="2"/>
          <w:sz w:val="20"/>
          <w:vertAlign w:val="baseline"/>
        </w:rPr>
        <w:t>T</w:t>
      </w:r>
      <w:r>
        <w:rPr>
          <w:spacing w:val="2"/>
          <w:sz w:val="20"/>
          <w:vertAlign w:val="subscript"/>
        </w:rPr>
        <w:t>3</w:t>
      </w:r>
      <w:r>
        <w:rPr>
          <w:i/>
          <w:spacing w:val="2"/>
          <w:sz w:val="20"/>
          <w:vertAlign w:val="subscript"/>
        </w:rPr>
        <w:t>n</w:t>
      </w:r>
      <w:r>
        <w:rPr>
          <w:spacing w:val="2"/>
          <w:position w:val="-6"/>
          <w:sz w:val="20"/>
          <w:vertAlign w:val="baseline"/>
        </w:rPr>
        <w:t></w:t>
      </w:r>
      <w:r>
        <w:rPr>
          <w:spacing w:val="-14"/>
          <w:position w:val="-6"/>
          <w:sz w:val="20"/>
          <w:vertAlign w:val="baseline"/>
        </w:rPr>
        <w:t> </w:t>
      </w:r>
      <w:r>
        <w:rPr>
          <w:position w:val="-5"/>
          <w:sz w:val="20"/>
          <w:vertAlign w:val="baseline"/>
        </w:rPr>
        <w:t>.</w:t>
        <w:tab/>
        <w:t>(1)</w:t>
      </w:r>
    </w:p>
    <w:p>
      <w:pPr>
        <w:pStyle w:val="BodyText"/>
        <w:tabs>
          <w:tab w:pos="4984" w:val="left" w:leader="none"/>
          <w:tab w:pos="5424" w:val="left" w:leader="none"/>
        </w:tabs>
        <w:ind w:left="4545"/>
      </w:pPr>
      <w:r>
        <w:rPr>
          <w:position w:val="14"/>
        </w:rPr>
        <w:pict>
          <v:shape style="width:2.5pt;height:16pt;mso-position-horizontal-relative:char;mso-position-vertical-relative:line" type="#_x0000_t202" filled="false" stroked="false">
            <w10:anchorlock/>
            <v:textbox inset="0,0,0,0">
              <w:txbxContent>
                <w:p>
                  <w:pPr>
                    <w:pStyle w:val="BodyText"/>
                    <w:spacing w:before="77"/>
                  </w:pPr>
                  <w:r>
                    <w:rPr>
                      <w:w w:val="99"/>
                    </w:rPr>
                    <w:t>.</w:t>
                  </w:r>
                </w:p>
              </w:txbxContent>
            </v:textbox>
          </v:shape>
        </w:pict>
      </w:r>
      <w:r>
        <w:rPr>
          <w:position w:val="14"/>
        </w:rPr>
      </w:r>
      <w:r>
        <w:rPr>
          <w:position w:val="14"/>
        </w:rPr>
        <w:tab/>
      </w:r>
      <w:r>
        <w:rPr>
          <w:position w:val="14"/>
        </w:rPr>
        <w:pict>
          <v:shape style="width:2.5pt;height:16pt;mso-position-horizontal-relative:char;mso-position-vertical-relative:line" type="#_x0000_t202" filled="false" stroked="false">
            <w10:anchorlock/>
            <v:textbox inset="0,0,0,0">
              <w:txbxContent>
                <w:p>
                  <w:pPr>
                    <w:pStyle w:val="BodyText"/>
                    <w:spacing w:before="77"/>
                  </w:pPr>
                  <w:r>
                    <w:rPr>
                      <w:w w:val="99"/>
                    </w:rPr>
                    <w:t>.</w:t>
                  </w:r>
                </w:p>
              </w:txbxContent>
            </v:textbox>
          </v:shape>
        </w:pict>
      </w:r>
      <w:r>
        <w:rPr>
          <w:position w:val="14"/>
        </w:rPr>
      </w:r>
      <w:r>
        <w:rPr>
          <w:position w:val="14"/>
        </w:rPr>
        <w:tab/>
      </w:r>
      <w:r>
        <w:rPr/>
        <w:pict>
          <v:shape style="width:25.85pt;height:22.8pt;mso-position-horizontal-relative:char;mso-position-vertical-relative:line" type="#_x0000_t202" filled="false" stroked="false">
            <w10:anchorlock/>
            <v:textbox inset="0,0,0,0">
              <w:txbxContent>
                <w:p>
                  <w:pPr>
                    <w:tabs>
                      <w:tab w:pos="284" w:val="left" w:leader="none"/>
                    </w:tabs>
                    <w:spacing w:before="77"/>
                    <w:ind w:left="0" w:right="0" w:firstLine="0"/>
                    <w:jc w:val="left"/>
                    <w:rPr>
                      <w:rFonts w:ascii="Georgia" w:hAnsi="Georgia"/>
                      <w:i/>
                      <w:sz w:val="20"/>
                    </w:rPr>
                  </w:pPr>
                  <w:r>
                    <w:rPr>
                      <w:sz w:val="20"/>
                    </w:rPr>
                    <w:t>.</w:t>
                    <w:tab/>
                  </w:r>
                  <w:r>
                    <w:rPr>
                      <w:rFonts w:ascii="Georgia" w:hAnsi="Georgia"/>
                      <w:i/>
                      <w:sz w:val="20"/>
                    </w:rPr>
                    <w:t>· ·</w:t>
                  </w:r>
                  <w:r>
                    <w:rPr>
                      <w:rFonts w:ascii="Georgia" w:hAnsi="Georgia"/>
                      <w:i/>
                      <w:spacing w:val="-33"/>
                      <w:sz w:val="20"/>
                    </w:rPr>
                    <w:t> </w:t>
                  </w:r>
                  <w:r>
                    <w:rPr>
                      <w:rFonts w:ascii="Georgia" w:hAnsi="Georgia"/>
                      <w:i/>
                      <w:spacing w:val="-19"/>
                      <w:sz w:val="20"/>
                    </w:rPr>
                    <w:t>·</w:t>
                  </w:r>
                </w:p>
              </w:txbxContent>
            </v:textbox>
          </v:shape>
        </w:pict>
      </w:r>
      <w:r>
        <w:rPr/>
      </w:r>
      <w:r>
        <w:rPr>
          <w:spacing w:val="135"/>
        </w:rPr>
        <w:t> </w:t>
      </w:r>
      <w:r>
        <w:rPr>
          <w:spacing w:val="135"/>
          <w:position w:val="14"/>
        </w:rPr>
        <w:pict>
          <v:shape style="width:2.5pt;height:16pt;mso-position-horizontal-relative:char;mso-position-vertical-relative:line" type="#_x0000_t202" filled="false" stroked="false">
            <w10:anchorlock/>
            <v:textbox inset="0,0,0,0">
              <w:txbxContent>
                <w:p>
                  <w:pPr>
                    <w:pStyle w:val="BodyText"/>
                    <w:spacing w:before="77"/>
                  </w:pPr>
                  <w:r>
                    <w:rPr>
                      <w:w w:val="99"/>
                    </w:rPr>
                    <w:t>.</w:t>
                  </w:r>
                </w:p>
              </w:txbxContent>
            </v:textbox>
          </v:shape>
        </w:pict>
      </w:r>
      <w:r>
        <w:rPr>
          <w:spacing w:val="135"/>
          <w:position w:val="14"/>
        </w:rPr>
      </w:r>
    </w:p>
    <w:p>
      <w:pPr>
        <w:spacing w:line="110" w:lineRule="exact" w:before="0"/>
        <w:ind w:left="185" w:right="0" w:firstLine="0"/>
        <w:jc w:val="center"/>
        <w:rPr>
          <w:sz w:val="20"/>
        </w:rPr>
      </w:pPr>
      <w:r>
        <w:rPr>
          <w:sz w:val="20"/>
        </w:rPr>
        <w:t>–</w:t>
      </w:r>
      <w:r>
        <w:rPr>
          <w:i/>
          <w:sz w:val="20"/>
        </w:rPr>
        <w:t>T</w:t>
      </w:r>
      <w:r>
        <w:rPr>
          <w:sz w:val="20"/>
          <w:vertAlign w:val="subscript"/>
        </w:rPr>
        <w:t>1</w:t>
      </w:r>
      <w:r>
        <w:rPr>
          <w:i/>
          <w:sz w:val="20"/>
          <w:vertAlign w:val="subscript"/>
        </w:rPr>
        <w:t>n</w:t>
      </w:r>
      <w:r>
        <w:rPr>
          <w:i/>
          <w:sz w:val="20"/>
          <w:vertAlign w:val="baseline"/>
        </w:rPr>
        <w:t>  </w:t>
      </w:r>
      <w:r>
        <w:rPr>
          <w:sz w:val="20"/>
          <w:vertAlign w:val="baseline"/>
        </w:rPr>
        <w:t>–</w:t>
      </w:r>
      <w:r>
        <w:rPr>
          <w:i/>
          <w:sz w:val="20"/>
          <w:vertAlign w:val="baseline"/>
        </w:rPr>
        <w:t>T</w:t>
      </w:r>
      <w:r>
        <w:rPr>
          <w:sz w:val="20"/>
          <w:vertAlign w:val="subscript"/>
        </w:rPr>
        <w:t>2</w:t>
      </w:r>
      <w:r>
        <w:rPr>
          <w:i/>
          <w:sz w:val="20"/>
          <w:vertAlign w:val="subscript"/>
        </w:rPr>
        <w:t>n</w:t>
      </w:r>
      <w:r>
        <w:rPr>
          <w:i/>
          <w:sz w:val="20"/>
          <w:vertAlign w:val="baseline"/>
        </w:rPr>
        <w:t>  </w:t>
      </w:r>
      <w:r>
        <w:rPr>
          <w:sz w:val="20"/>
          <w:vertAlign w:val="baseline"/>
        </w:rPr>
        <w:t>–</w:t>
      </w:r>
      <w:r>
        <w:rPr>
          <w:i/>
          <w:sz w:val="20"/>
          <w:vertAlign w:val="baseline"/>
        </w:rPr>
        <w:t>T</w:t>
      </w:r>
      <w:r>
        <w:rPr>
          <w:sz w:val="20"/>
          <w:vertAlign w:val="subscript"/>
        </w:rPr>
        <w:t>3</w:t>
      </w:r>
      <w:r>
        <w:rPr>
          <w:i/>
          <w:sz w:val="20"/>
          <w:vertAlign w:val="subscript"/>
        </w:rPr>
        <w:t>n</w:t>
      </w:r>
      <w:r>
        <w:rPr>
          <w:i/>
          <w:sz w:val="20"/>
          <w:vertAlign w:val="baseline"/>
        </w:rPr>
        <w:t>  </w:t>
      </w:r>
      <w:r>
        <w:rPr>
          <w:rFonts w:ascii="Georgia" w:hAnsi="Georgia"/>
          <w:i/>
          <w:sz w:val="20"/>
          <w:vertAlign w:val="baseline"/>
        </w:rPr>
        <w:t>· · · </w:t>
      </w:r>
      <w:r>
        <w:rPr>
          <w:rFonts w:ascii="Georgia" w:hAnsi="Georgia"/>
          <w:i/>
          <w:spacing w:val="20"/>
          <w:sz w:val="20"/>
          <w:vertAlign w:val="baseline"/>
        </w:rPr>
        <w:t> </w:t>
      </w:r>
      <w:r>
        <w:rPr>
          <w:sz w:val="20"/>
          <w:vertAlign w:val="baseline"/>
        </w:rPr>
        <w:t>0</w:t>
      </w:r>
    </w:p>
    <w:p>
      <w:pPr>
        <w:pStyle w:val="BodyText"/>
        <w:spacing w:line="271" w:lineRule="auto" w:before="69"/>
        <w:ind w:left="169" w:right="141" w:firstLine="1"/>
        <w:jc w:val="both"/>
      </w:pPr>
      <w:r>
        <w:rPr/>
        <w:t>This representation excludes balances of the ECB and the Extra Euro Area (outside of the EU), whose inclusion is straightfor- ward. There are currently 20 NCBs in the Eurosystem (excluding the ECB), so </w:t>
      </w:r>
      <w:r>
        <w:rPr>
          <w:i/>
        </w:rPr>
        <w:t>n </w:t>
      </w:r>
      <w:r>
        <w:rPr/>
        <w:t>= 20. Including the ECB and the Extra Euro Area would result in </w:t>
      </w:r>
      <w:r>
        <w:rPr>
          <w:i/>
        </w:rPr>
        <w:t>n </w:t>
      </w:r>
      <w:r>
        <w:rPr/>
        <w:t>= 21 and </w:t>
      </w:r>
      <w:r>
        <w:rPr>
          <w:i/>
        </w:rPr>
        <w:t>n </w:t>
      </w:r>
      <w:r>
        <w:rPr/>
        <w:t>=  22, respectively. The number of independent inter-NCB </w:t>
      </w:r>
      <w:r>
        <w:rPr>
          <w:spacing w:val="-4"/>
        </w:rPr>
        <w:t>TARGET </w:t>
      </w:r>
      <w:r>
        <w:rPr/>
        <w:t>balances per day is  (</w:t>
      </w:r>
      <w:r>
        <w:rPr>
          <w:i/>
        </w:rPr>
        <w:t>n</w:t>
      </w:r>
      <w:r>
        <w:rPr>
          <w:vertAlign w:val="superscript"/>
        </w:rPr>
        <w:t>2</w:t>
      </w:r>
      <w:r>
        <w:rPr>
          <w:vertAlign w:val="baseline"/>
        </w:rPr>
        <w:t> – </w:t>
      </w:r>
      <w:r>
        <w:rPr>
          <w:i/>
          <w:vertAlign w:val="baseline"/>
        </w:rPr>
        <w:t>n</w:t>
      </w:r>
      <w:r>
        <w:rPr>
          <w:vertAlign w:val="baseline"/>
        </w:rPr>
        <w:t>)/2 = </w:t>
      </w:r>
      <w:r>
        <w:rPr>
          <w:i/>
          <w:vertAlign w:val="baseline"/>
        </w:rPr>
        <w:t>n</w:t>
      </w:r>
      <w:r>
        <w:rPr>
          <w:vertAlign w:val="baseline"/>
        </w:rPr>
        <w:t>(</w:t>
      </w:r>
      <w:r>
        <w:rPr>
          <w:i/>
          <w:vertAlign w:val="baseline"/>
        </w:rPr>
        <w:t>n </w:t>
      </w:r>
      <w:r>
        <w:rPr>
          <w:vertAlign w:val="baseline"/>
        </w:rPr>
        <w:t>– 1)/2, which equals 190 for </w:t>
      </w:r>
      <w:r>
        <w:rPr>
          <w:i/>
          <w:vertAlign w:val="baseline"/>
        </w:rPr>
        <w:t>n </w:t>
      </w:r>
      <w:r>
        <w:rPr>
          <w:vertAlign w:val="baseline"/>
        </w:rPr>
        <w:t>= 20, 210 for </w:t>
      </w:r>
      <w:r>
        <w:rPr>
          <w:i/>
          <w:vertAlign w:val="baseline"/>
        </w:rPr>
        <w:t>n </w:t>
      </w:r>
      <w:r>
        <w:rPr>
          <w:vertAlign w:val="baseline"/>
        </w:rPr>
        <w:t>= 21, and 231 for </w:t>
      </w:r>
      <w:r>
        <w:rPr>
          <w:i/>
          <w:vertAlign w:val="baseline"/>
        </w:rPr>
        <w:t>n </w:t>
      </w:r>
      <w:r>
        <w:rPr>
          <w:vertAlign w:val="baseline"/>
        </w:rPr>
        <w:t>=</w:t>
      </w:r>
      <w:r>
        <w:rPr>
          <w:spacing w:val="9"/>
          <w:vertAlign w:val="baseline"/>
        </w:rPr>
        <w:t> </w:t>
      </w:r>
      <w:r>
        <w:rPr>
          <w:vertAlign w:val="baseline"/>
        </w:rPr>
        <w:t>22.</w:t>
      </w:r>
    </w:p>
    <w:p>
      <w:pPr>
        <w:pStyle w:val="BodyText"/>
        <w:spacing w:line="227" w:lineRule="exact"/>
        <w:ind w:left="375"/>
        <w:jc w:val="both"/>
      </w:pPr>
      <w:r>
        <w:rPr/>
        <w:t>The current TARGET reporting aggregates these balances into </w:t>
      </w:r>
      <w:r>
        <w:rPr>
          <w:i/>
        </w:rPr>
        <w:t>n </w:t>
      </w:r>
      <w:r>
        <w:rPr/>
        <w:t>= 20, as it only captures the </w:t>
      </w:r>
      <w:r>
        <w:rPr>
          <w:i/>
        </w:rPr>
        <w:t>n </w:t>
      </w:r>
      <w:r>
        <w:rPr/>
        <w:t>aggregate sums</w:t>
      </w:r>
    </w:p>
    <w:p>
      <w:pPr>
        <w:spacing w:before="149"/>
        <w:ind w:left="151" w:right="0" w:firstLine="0"/>
        <w:jc w:val="center"/>
        <w:rPr>
          <w:i/>
          <w:sz w:val="14"/>
        </w:rPr>
      </w:pPr>
      <w:r>
        <w:rPr/>
        <w:pict>
          <v:shape style="position:absolute;margin-left:293.721985pt;margin-top:9.283003pt;width:14.4pt;height:37.2pt;mso-position-horizontal-relative:page;mso-position-vertical-relative:paragraph;z-index:-16001024" type="#_x0000_t202" filled="false" stroked="false">
            <v:textbox inset="0,0,0,0">
              <w:txbxContent>
                <w:p>
                  <w:pPr>
                    <w:pStyle w:val="BodyText"/>
                    <w:spacing w:line="197" w:lineRule="exact"/>
                  </w:pPr>
                  <w:r>
                    <w:rPr>
                      <w:w w:val="201"/>
                    </w:rPr>
                    <w:t>∑</w:t>
                  </w:r>
                </w:p>
              </w:txbxContent>
            </v:textbox>
            <w10:wrap type="none"/>
          </v:shape>
        </w:pict>
      </w:r>
      <w:r>
        <w:rPr>
          <w:i/>
          <w:w w:val="99"/>
          <w:sz w:val="14"/>
        </w:rPr>
        <w:t>n</w:t>
      </w:r>
    </w:p>
    <w:p>
      <w:pPr>
        <w:tabs>
          <w:tab w:pos="5455" w:val="left" w:leader="none"/>
          <w:tab w:pos="9996" w:val="left" w:leader="none"/>
        </w:tabs>
        <w:spacing w:before="32"/>
        <w:ind w:left="4751" w:right="0" w:firstLine="0"/>
        <w:jc w:val="left"/>
        <w:rPr>
          <w:sz w:val="20"/>
        </w:rPr>
      </w:pPr>
      <w:r>
        <w:rPr>
          <w:i/>
          <w:sz w:val="20"/>
        </w:rPr>
        <w:t>T</w:t>
      </w:r>
      <w:r>
        <w:rPr>
          <w:i/>
          <w:sz w:val="20"/>
          <w:vertAlign w:val="subscript"/>
        </w:rPr>
        <w:t>i</w:t>
      </w:r>
      <w:r>
        <w:rPr>
          <w:i/>
          <w:spacing w:val="15"/>
          <w:sz w:val="20"/>
          <w:vertAlign w:val="baseline"/>
        </w:rPr>
        <w:t> </w:t>
      </w:r>
      <w:r>
        <w:rPr>
          <w:sz w:val="20"/>
          <w:vertAlign w:val="baseline"/>
        </w:rPr>
        <w:t>=</w:t>
        <w:tab/>
      </w:r>
      <w:r>
        <w:rPr>
          <w:i/>
          <w:sz w:val="20"/>
          <w:vertAlign w:val="baseline"/>
        </w:rPr>
        <w:t>T</w:t>
      </w:r>
      <w:r>
        <w:rPr>
          <w:i/>
          <w:sz w:val="20"/>
          <w:vertAlign w:val="subscript"/>
        </w:rPr>
        <w:t>ij</w:t>
      </w:r>
      <w:r>
        <w:rPr>
          <w:i/>
          <w:sz w:val="20"/>
          <w:vertAlign w:val="baseline"/>
        </w:rPr>
        <w:tab/>
      </w:r>
      <w:r>
        <w:rPr>
          <w:sz w:val="20"/>
          <w:vertAlign w:val="baseline"/>
        </w:rPr>
        <w:t>(2)</w:t>
      </w:r>
    </w:p>
    <w:p>
      <w:pPr>
        <w:spacing w:before="63"/>
        <w:ind w:left="151" w:right="0" w:firstLine="0"/>
        <w:jc w:val="center"/>
        <w:rPr>
          <w:sz w:val="14"/>
        </w:rPr>
      </w:pPr>
      <w:r>
        <w:rPr>
          <w:i/>
          <w:sz w:val="14"/>
        </w:rPr>
        <w:t>j</w:t>
      </w:r>
      <w:r>
        <w:rPr>
          <w:sz w:val="14"/>
        </w:rPr>
        <w:t>=1</w:t>
      </w:r>
    </w:p>
    <w:p>
      <w:pPr>
        <w:pStyle w:val="BodyText"/>
        <w:spacing w:before="42"/>
        <w:ind w:left="176"/>
      </w:pPr>
      <w:r>
        <w:rPr/>
        <w:pict>
          <v:shape style="position:absolute;margin-left:512.075989pt;margin-top:15.481157pt;width:9.4pt;height:8.450pt;mso-position-horizontal-relative:page;mso-position-vertical-relative:paragraph;z-index:-16000512" type="#_x0000_t202" filled="false" stroked="false">
            <v:textbox inset="0,0,0,0">
              <w:txbxContent>
                <w:p>
                  <w:pPr>
                    <w:spacing w:line="159" w:lineRule="exact" w:before="0"/>
                    <w:ind w:left="0" w:right="0" w:firstLine="0"/>
                    <w:jc w:val="left"/>
                    <w:rPr>
                      <w:sz w:val="14"/>
                    </w:rPr>
                  </w:pPr>
                  <w:r>
                    <w:rPr>
                      <w:i/>
                      <w:w w:val="95"/>
                      <w:sz w:val="14"/>
                    </w:rPr>
                    <w:t>i</w:t>
                  </w:r>
                  <w:r>
                    <w:rPr>
                      <w:w w:val="95"/>
                      <w:sz w:val="14"/>
                    </w:rPr>
                    <w:t>=1</w:t>
                  </w:r>
                </w:p>
              </w:txbxContent>
            </v:textbox>
            <w10:wrap type="none"/>
          </v:shape>
        </w:pict>
      </w:r>
      <w:r>
        <w:rPr/>
        <w:t>for the </w:t>
      </w:r>
      <w:r>
        <w:rPr>
          <w:i/>
        </w:rPr>
        <w:t>i</w:t>
      </w:r>
      <w:r>
        <w:rPr/>
        <w:t>th NCB (noting that </w:t>
      </w:r>
      <w:r>
        <w:rPr>
          <w:i/>
        </w:rPr>
        <w:t>T</w:t>
      </w:r>
      <w:r>
        <w:rPr>
          <w:i/>
          <w:vertAlign w:val="subscript"/>
        </w:rPr>
        <w:t>ii</w:t>
      </w:r>
      <w:r>
        <w:rPr>
          <w:i/>
          <w:vertAlign w:val="baseline"/>
        </w:rPr>
        <w:t> </w:t>
      </w:r>
      <w:r>
        <w:rPr>
          <w:vertAlign w:val="baseline"/>
        </w:rPr>
        <w:t>= 0). All </w:t>
      </w:r>
      <w:r>
        <w:rPr>
          <w:i/>
          <w:vertAlign w:val="baseline"/>
        </w:rPr>
        <w:t>T</w:t>
      </w:r>
      <w:r>
        <w:rPr>
          <w:i/>
          <w:vertAlign w:val="subscript"/>
        </w:rPr>
        <w:t>i</w:t>
      </w:r>
      <w:r>
        <w:rPr>
          <w:i/>
          <w:vertAlign w:val="baseline"/>
        </w:rPr>
        <w:t> </w:t>
      </w:r>
      <w:r>
        <w:rPr>
          <w:vertAlign w:val="baseline"/>
        </w:rPr>
        <w:t>have to sum up to zero, therefore, the parameters </w:t>
      </w:r>
      <w:r>
        <w:rPr>
          <w:i/>
          <w:vertAlign w:val="baseline"/>
        </w:rPr>
        <w:t>T</w:t>
      </w:r>
      <w:r>
        <w:rPr>
          <w:i/>
          <w:vertAlign w:val="subscript"/>
        </w:rPr>
        <w:t>i</w:t>
      </w:r>
      <w:r>
        <w:rPr>
          <w:i/>
          <w:vertAlign w:val="baseline"/>
        </w:rPr>
        <w:t> </w:t>
      </w:r>
      <w:r>
        <w:rPr>
          <w:vertAlign w:val="baseline"/>
        </w:rPr>
        <w:t>are dependent, with </w:t>
      </w:r>
      <w:r>
        <w:rPr>
          <w:position w:val="15"/>
          <w:vertAlign w:val="baseline"/>
        </w:rPr>
        <w:t>∑</w:t>
      </w:r>
      <w:r>
        <w:rPr>
          <w:i/>
          <w:position w:val="10"/>
          <w:sz w:val="14"/>
          <w:vertAlign w:val="baseline"/>
        </w:rPr>
        <w:t>n </w:t>
      </w:r>
      <w:r>
        <w:rPr>
          <w:i/>
          <w:vertAlign w:val="baseline"/>
        </w:rPr>
        <w:t>T</w:t>
      </w:r>
      <w:r>
        <w:rPr>
          <w:i/>
          <w:vertAlign w:val="subscript"/>
        </w:rPr>
        <w:t>i</w:t>
      </w:r>
      <w:r>
        <w:rPr>
          <w:i/>
          <w:vertAlign w:val="baseline"/>
        </w:rPr>
        <w:t> </w:t>
      </w:r>
      <w:r>
        <w:rPr>
          <w:vertAlign w:val="baseline"/>
        </w:rPr>
        <w:t>= 0.</w:t>
      </w:r>
    </w:p>
    <w:p>
      <w:pPr>
        <w:pStyle w:val="BodyText"/>
        <w:spacing w:line="271" w:lineRule="auto" w:before="29"/>
        <w:ind w:left="176" w:right="168"/>
        <w:jc w:val="both"/>
      </w:pPr>
      <w:r>
        <w:rPr/>
        <w:t>So, there are </w:t>
      </w:r>
      <w:r>
        <w:rPr>
          <w:i/>
        </w:rPr>
        <w:t>n </w:t>
      </w:r>
      <w:r>
        <w:rPr/>
        <w:t>– 1 independent reported aggregate balances, and </w:t>
      </w:r>
      <w:r>
        <w:rPr>
          <w:i/>
        </w:rPr>
        <w:t>n</w:t>
      </w:r>
      <w:r>
        <w:rPr/>
        <w:t>(</w:t>
      </w:r>
      <w:r>
        <w:rPr>
          <w:i/>
        </w:rPr>
        <w:t>n </w:t>
      </w:r>
      <w:r>
        <w:rPr/>
        <w:t>– 1)/2 independent non-reported inter-NCB </w:t>
      </w:r>
      <w:r>
        <w:rPr>
          <w:spacing w:val="-4"/>
        </w:rPr>
        <w:t>TARGET </w:t>
      </w:r>
      <w:r>
        <w:rPr/>
        <w:t>balances.</w:t>
      </w:r>
      <w:r>
        <w:rPr>
          <w:spacing w:val="-12"/>
        </w:rPr>
        <w:t> </w:t>
      </w:r>
      <w:r>
        <w:rPr/>
        <w:t>Evidently,</w:t>
      </w:r>
      <w:r>
        <w:rPr>
          <w:spacing w:val="-12"/>
        </w:rPr>
        <w:t> </w:t>
      </w:r>
      <w:r>
        <w:rPr/>
        <w:t>since</w:t>
      </w:r>
      <w:r>
        <w:rPr>
          <w:spacing w:val="-12"/>
        </w:rPr>
        <w:t> </w:t>
      </w:r>
      <w:r>
        <w:rPr>
          <w:i/>
          <w:spacing w:val="2"/>
        </w:rPr>
        <w:t>n</w:t>
      </w:r>
      <w:r>
        <w:rPr>
          <w:spacing w:val="2"/>
        </w:rPr>
        <w:t>(</w:t>
      </w:r>
      <w:r>
        <w:rPr>
          <w:i/>
          <w:spacing w:val="2"/>
        </w:rPr>
        <w:t>n</w:t>
      </w:r>
      <w:r>
        <w:rPr>
          <w:spacing w:val="2"/>
        </w:rPr>
        <w:t>–1)/2 </w:t>
      </w:r>
      <w:r>
        <w:rPr/>
        <w:t>&gt;</w:t>
      </w:r>
      <w:r>
        <w:rPr>
          <w:spacing w:val="2"/>
        </w:rPr>
        <w:t> </w:t>
      </w:r>
      <w:r>
        <w:rPr>
          <w:i/>
          <w:spacing w:val="6"/>
        </w:rPr>
        <w:t>n</w:t>
      </w:r>
      <w:r>
        <w:rPr>
          <w:spacing w:val="6"/>
        </w:rPr>
        <w:t>–1</w:t>
      </w:r>
      <w:r>
        <w:rPr>
          <w:spacing w:val="-12"/>
        </w:rPr>
        <w:t> </w:t>
      </w:r>
      <w:r>
        <w:rPr/>
        <w:t>for</w:t>
      </w:r>
      <w:r>
        <w:rPr>
          <w:spacing w:val="-12"/>
        </w:rPr>
        <w:t> </w:t>
      </w:r>
      <w:r>
        <w:rPr>
          <w:i/>
        </w:rPr>
        <w:t>n</w:t>
      </w:r>
      <w:r>
        <w:rPr>
          <w:i/>
          <w:spacing w:val="3"/>
        </w:rPr>
        <w:t> </w:t>
      </w:r>
      <w:r>
        <w:rPr/>
        <w:t>&gt;</w:t>
      </w:r>
      <w:r>
        <w:rPr>
          <w:spacing w:val="2"/>
        </w:rPr>
        <w:t> </w:t>
      </w:r>
      <w:r>
        <w:rPr/>
        <w:t>2,</w:t>
      </w:r>
      <w:r>
        <w:rPr>
          <w:spacing w:val="-12"/>
        </w:rPr>
        <w:t> </w:t>
      </w:r>
      <w:r>
        <w:rPr/>
        <w:t>this</w:t>
      </w:r>
      <w:r>
        <w:rPr>
          <w:spacing w:val="-12"/>
        </w:rPr>
        <w:t> </w:t>
      </w:r>
      <w:r>
        <w:rPr/>
        <w:t>accounting</w:t>
      </w:r>
      <w:r>
        <w:rPr>
          <w:spacing w:val="-12"/>
        </w:rPr>
        <w:t> </w:t>
      </w:r>
      <w:r>
        <w:rPr/>
        <w:t>is</w:t>
      </w:r>
      <w:r>
        <w:rPr>
          <w:spacing w:val="-12"/>
        </w:rPr>
        <w:t> </w:t>
      </w:r>
      <w:r>
        <w:rPr/>
        <w:t>irreversible</w:t>
      </w:r>
      <w:r>
        <w:rPr>
          <w:spacing w:val="-12"/>
        </w:rPr>
        <w:t> </w:t>
      </w:r>
      <w:r>
        <w:rPr/>
        <w:t>for</w:t>
      </w:r>
      <w:r>
        <w:rPr>
          <w:spacing w:val="-12"/>
        </w:rPr>
        <w:t> </w:t>
      </w:r>
      <w:r>
        <w:rPr>
          <w:i/>
        </w:rPr>
        <w:t>n</w:t>
      </w:r>
      <w:r>
        <w:rPr>
          <w:i/>
          <w:spacing w:val="3"/>
        </w:rPr>
        <w:t> </w:t>
      </w:r>
      <w:r>
        <w:rPr/>
        <w:t>&gt;</w:t>
      </w:r>
      <w:r>
        <w:rPr>
          <w:spacing w:val="2"/>
        </w:rPr>
        <w:t> </w:t>
      </w:r>
      <w:r>
        <w:rPr/>
        <w:t>2,</w:t>
      </w:r>
      <w:r>
        <w:rPr>
          <w:spacing w:val="-12"/>
        </w:rPr>
        <w:t> </w:t>
      </w:r>
      <w:r>
        <w:rPr/>
        <w:t>meaning</w:t>
      </w:r>
      <w:r>
        <w:rPr>
          <w:spacing w:val="-12"/>
        </w:rPr>
        <w:t> </w:t>
      </w:r>
      <w:r>
        <w:rPr/>
        <w:t>it</w:t>
      </w:r>
      <w:r>
        <w:rPr>
          <w:spacing w:val="-12"/>
        </w:rPr>
        <w:t> </w:t>
      </w:r>
      <w:r>
        <w:rPr/>
        <w:t>cannot</w:t>
      </w:r>
      <w:r>
        <w:rPr>
          <w:spacing w:val="-12"/>
        </w:rPr>
        <w:t> </w:t>
      </w:r>
      <w:r>
        <w:rPr/>
        <w:t>be</w:t>
      </w:r>
      <w:r>
        <w:rPr>
          <w:spacing w:val="-12"/>
        </w:rPr>
        <w:t> </w:t>
      </w:r>
      <w:r>
        <w:rPr/>
        <w:t>reconstructed for more than two</w:t>
      </w:r>
      <w:r>
        <w:rPr>
          <w:spacing w:val="-4"/>
        </w:rPr>
        <w:t> </w:t>
      </w:r>
      <w:r>
        <w:rPr/>
        <w:t>NCBs</w:t>
      </w:r>
      <w:r>
        <w:rPr>
          <w:i/>
          <w:vertAlign w:val="superscript"/>
        </w:rPr>
        <w:t>§</w:t>
      </w:r>
      <w:r>
        <w:rPr>
          <w:vertAlign w:val="baseline"/>
        </w:rPr>
        <w:t>.</w:t>
      </w:r>
    </w:p>
    <w:p>
      <w:pPr>
        <w:pStyle w:val="BodyText"/>
      </w:pPr>
    </w:p>
    <w:p>
      <w:pPr>
        <w:pStyle w:val="BodyText"/>
        <w:spacing w:before="3"/>
        <w:rPr>
          <w:sz w:val="24"/>
        </w:rPr>
      </w:pPr>
    </w:p>
    <w:p>
      <w:pPr>
        <w:pStyle w:val="Heading1"/>
        <w:numPr>
          <w:ilvl w:val="0"/>
          <w:numId w:val="1"/>
        </w:numPr>
        <w:tabs>
          <w:tab w:pos="973" w:val="left" w:leader="none"/>
          <w:tab w:pos="974" w:val="left" w:leader="none"/>
        </w:tabs>
        <w:spacing w:line="240" w:lineRule="auto" w:before="0" w:after="0"/>
        <w:ind w:left="973" w:right="0" w:hanging="798"/>
        <w:jc w:val="left"/>
      </w:pPr>
      <w:r>
        <w:rPr/>
        <w:pict>
          <v:line style="position:absolute;mso-position-horizontal-relative:page;mso-position-vertical-relative:paragraph;z-index:-16002048" from="67.248001pt,11.203124pt" to="67.248001pt,.742124pt" stroked="true" strokeweight=".9963pt" strokecolor="#000000">
            <v:stroke dashstyle="solid"/>
            <w10:wrap type="none"/>
          </v:line>
        </w:pict>
      </w:r>
      <w:bookmarkStart w:name="Strategem 2: Exchange fake collaterals t" w:id="7"/>
      <w:bookmarkEnd w:id="7"/>
      <w:r>
        <w:rPr>
          <w:b w:val="0"/>
        </w:rPr>
      </w:r>
      <w:bookmarkStart w:name="Strategem 2: Exchange fake collaterals t" w:id="8"/>
      <w:bookmarkEnd w:id="8"/>
      <w:r>
        <w:rPr>
          <w:spacing w:val="-3"/>
        </w:rPr>
        <w:t>STR</w:t>
      </w:r>
      <w:r>
        <w:rPr>
          <w:spacing w:val="-3"/>
        </w:rPr>
        <w:t>ATEGEM </w:t>
      </w:r>
      <w:r>
        <w:rPr/>
        <w:t>2: EXCHANGE </w:t>
      </w:r>
      <w:r>
        <w:rPr>
          <w:spacing w:val="-6"/>
        </w:rPr>
        <w:t>FAKE </w:t>
      </w:r>
      <w:r>
        <w:rPr>
          <w:spacing w:val="-3"/>
        </w:rPr>
        <w:t>COLLATERALS </w:t>
      </w:r>
      <w:r>
        <w:rPr/>
        <w:t>THEN</w:t>
      </w:r>
      <w:r>
        <w:rPr>
          <w:spacing w:val="4"/>
        </w:rPr>
        <w:t> </w:t>
      </w:r>
      <w:r>
        <w:rPr>
          <w:spacing w:val="-8"/>
        </w:rPr>
        <w:t>DEFAULT</w:t>
      </w:r>
    </w:p>
    <w:p>
      <w:pPr>
        <w:pStyle w:val="BodyText"/>
        <w:spacing w:before="1"/>
        <w:rPr>
          <w:b/>
          <w:sz w:val="14"/>
        </w:rPr>
      </w:pPr>
    </w:p>
    <w:p>
      <w:pPr>
        <w:spacing w:line="268" w:lineRule="auto" w:before="98"/>
        <w:ind w:left="176" w:right="141" w:firstLine="0"/>
        <w:jc w:val="both"/>
        <w:rPr>
          <w:i/>
          <w:sz w:val="20"/>
        </w:rPr>
      </w:pPr>
      <w:r>
        <w:rPr>
          <w:sz w:val="20"/>
        </w:rPr>
        <w:t>Here is a quote from a crisis management paper by the Financial Stability Institute (FSI) of the Bank for International Settle- ments</w:t>
      </w:r>
      <w:r>
        <w:rPr>
          <w:spacing w:val="-7"/>
          <w:sz w:val="20"/>
        </w:rPr>
        <w:t> </w:t>
      </w:r>
      <w:r>
        <w:rPr>
          <w:sz w:val="20"/>
        </w:rPr>
        <w:t>(BIS)</w:t>
      </w:r>
      <w:r>
        <w:rPr>
          <w:spacing w:val="-6"/>
          <w:sz w:val="20"/>
        </w:rPr>
        <w:t> </w:t>
      </w:r>
      <w:r>
        <w:rPr>
          <w:sz w:val="20"/>
        </w:rPr>
        <w:t>exposing</w:t>
      </w:r>
      <w:r>
        <w:rPr>
          <w:spacing w:val="-7"/>
          <w:sz w:val="20"/>
        </w:rPr>
        <w:t> </w:t>
      </w:r>
      <w:r>
        <w:rPr>
          <w:sz w:val="20"/>
        </w:rPr>
        <w:t>this</w:t>
      </w:r>
      <w:r>
        <w:rPr>
          <w:spacing w:val="-6"/>
          <w:sz w:val="20"/>
        </w:rPr>
        <w:t> </w:t>
      </w:r>
      <w:r>
        <w:rPr>
          <w:sz w:val="20"/>
        </w:rPr>
        <w:t>scheme</w:t>
      </w:r>
      <w:r>
        <w:rPr>
          <w:spacing w:val="-7"/>
          <w:sz w:val="20"/>
        </w:rPr>
        <w:t> </w:t>
      </w:r>
      <w:r>
        <w:rPr>
          <w:sz w:val="20"/>
        </w:rPr>
        <w:t>(</w:t>
      </w:r>
      <w:hyperlink w:history="true" w:anchor="_bookmark2">
        <w:r>
          <w:rPr>
            <w:sz w:val="20"/>
          </w:rPr>
          <w:t>Baudino,</w:t>
        </w:r>
        <w:r>
          <w:rPr>
            <w:spacing w:val="-6"/>
            <w:sz w:val="20"/>
          </w:rPr>
          <w:t> </w:t>
        </w:r>
        <w:r>
          <w:rPr>
            <w:sz w:val="20"/>
          </w:rPr>
          <w:t>Sturluson,</w:t>
        </w:r>
        <w:r>
          <w:rPr>
            <w:spacing w:val="-7"/>
            <w:sz w:val="20"/>
          </w:rPr>
          <w:t> </w:t>
        </w:r>
        <w:r>
          <w:rPr>
            <w:sz w:val="20"/>
          </w:rPr>
          <w:t>&amp;</w:t>
        </w:r>
        <w:r>
          <w:rPr>
            <w:spacing w:val="-6"/>
            <w:sz w:val="20"/>
          </w:rPr>
          <w:t> </w:t>
        </w:r>
        <w:r>
          <w:rPr>
            <w:sz w:val="20"/>
          </w:rPr>
          <w:t>Svoronos</w:t>
        </w:r>
      </w:hyperlink>
      <w:r>
        <w:rPr>
          <w:sz w:val="20"/>
        </w:rPr>
        <w:t>,</w:t>
      </w:r>
      <w:r>
        <w:rPr>
          <w:spacing w:val="-7"/>
          <w:sz w:val="20"/>
        </w:rPr>
        <w:t> </w:t>
      </w:r>
      <w:hyperlink w:history="true" w:anchor="_bookmark2">
        <w:r>
          <w:rPr>
            <w:sz w:val="20"/>
          </w:rPr>
          <w:t>2020</w:t>
        </w:r>
      </w:hyperlink>
      <w:r>
        <w:rPr>
          <w:sz w:val="20"/>
        </w:rPr>
        <w:t>,</w:t>
      </w:r>
      <w:r>
        <w:rPr>
          <w:spacing w:val="-6"/>
          <w:sz w:val="20"/>
        </w:rPr>
        <w:t> </w:t>
      </w:r>
      <w:r>
        <w:rPr>
          <w:sz w:val="20"/>
        </w:rPr>
        <w:t>p.</w:t>
      </w:r>
      <w:r>
        <w:rPr>
          <w:spacing w:val="-7"/>
          <w:sz w:val="20"/>
        </w:rPr>
        <w:t> </w:t>
      </w:r>
      <w:r>
        <w:rPr>
          <w:sz w:val="20"/>
        </w:rPr>
        <w:t>9):</w:t>
      </w:r>
      <w:r>
        <w:rPr>
          <w:spacing w:val="-6"/>
          <w:sz w:val="20"/>
        </w:rPr>
        <w:t> </w:t>
      </w:r>
      <w:r>
        <w:rPr>
          <w:i/>
          <w:sz w:val="20"/>
        </w:rPr>
        <w:t>“</w:t>
      </w:r>
      <w:r>
        <w:rPr>
          <w:rFonts w:ascii="Arial" w:hAnsi="Arial"/>
          <w:i/>
          <w:sz w:val="20"/>
        </w:rPr>
        <w:t>.</w:t>
      </w:r>
      <w:r>
        <w:rPr>
          <w:rFonts w:ascii="Arial" w:hAnsi="Arial"/>
          <w:i/>
          <w:spacing w:val="-25"/>
          <w:sz w:val="20"/>
        </w:rPr>
        <w:t> </w:t>
      </w:r>
      <w:r>
        <w:rPr>
          <w:rFonts w:ascii="Arial" w:hAnsi="Arial"/>
          <w:i/>
          <w:sz w:val="20"/>
        </w:rPr>
        <w:t>.</w:t>
      </w:r>
      <w:r>
        <w:rPr>
          <w:rFonts w:ascii="Arial" w:hAnsi="Arial"/>
          <w:i/>
          <w:spacing w:val="-25"/>
          <w:sz w:val="20"/>
        </w:rPr>
        <w:t> </w:t>
      </w:r>
      <w:r>
        <w:rPr>
          <w:rFonts w:ascii="Arial" w:hAnsi="Arial"/>
          <w:i/>
          <w:sz w:val="20"/>
        </w:rPr>
        <w:t>.</w:t>
      </w:r>
      <w:r>
        <w:rPr>
          <w:rFonts w:ascii="Arial" w:hAnsi="Arial"/>
          <w:i/>
          <w:spacing w:val="-11"/>
          <w:sz w:val="20"/>
        </w:rPr>
        <w:t> </w:t>
      </w:r>
      <w:r>
        <w:rPr>
          <w:i/>
          <w:sz w:val="20"/>
        </w:rPr>
        <w:t>banks</w:t>
      </w:r>
      <w:r>
        <w:rPr>
          <w:i/>
          <w:spacing w:val="-7"/>
          <w:sz w:val="20"/>
        </w:rPr>
        <w:t> </w:t>
      </w:r>
      <w:r>
        <w:rPr>
          <w:i/>
          <w:sz w:val="20"/>
        </w:rPr>
        <w:t>issued</w:t>
      </w:r>
      <w:r>
        <w:rPr>
          <w:i/>
          <w:spacing w:val="-6"/>
          <w:sz w:val="20"/>
        </w:rPr>
        <w:t> </w:t>
      </w:r>
      <w:r>
        <w:rPr>
          <w:i/>
          <w:sz w:val="20"/>
        </w:rPr>
        <w:t>bonds</w:t>
      </w:r>
      <w:r>
        <w:rPr>
          <w:i/>
          <w:spacing w:val="-7"/>
          <w:sz w:val="20"/>
        </w:rPr>
        <w:t> </w:t>
      </w:r>
      <w:r>
        <w:rPr>
          <w:i/>
          <w:sz w:val="20"/>
        </w:rPr>
        <w:t>and</w:t>
      </w:r>
      <w:r>
        <w:rPr>
          <w:i/>
          <w:spacing w:val="-6"/>
          <w:sz w:val="20"/>
        </w:rPr>
        <w:t> </w:t>
      </w:r>
      <w:r>
        <w:rPr>
          <w:i/>
          <w:sz w:val="20"/>
        </w:rPr>
        <w:t>exchanged</w:t>
      </w:r>
      <w:r>
        <w:rPr>
          <w:i/>
          <w:spacing w:val="-7"/>
          <w:sz w:val="20"/>
        </w:rPr>
        <w:t> </w:t>
      </w:r>
      <w:r>
        <w:rPr>
          <w:i/>
          <w:sz w:val="20"/>
        </w:rPr>
        <w:t>them </w:t>
      </w:r>
      <w:r>
        <w:rPr>
          <w:i/>
          <w:sz w:val="20"/>
        </w:rPr>
        <w:t>between each other so that they could be pledged as collateral with the central banks. This allowed them to break free </w:t>
      </w:r>
      <w:r>
        <w:rPr>
          <w:i/>
          <w:spacing w:val="-3"/>
          <w:sz w:val="20"/>
        </w:rPr>
        <w:t>from </w:t>
      </w:r>
      <w:r>
        <w:rPr>
          <w:i/>
          <w:sz w:val="20"/>
        </w:rPr>
        <w:t>central bank funding limits since they could issue such bonds (which became known as ‘love letters’) at</w:t>
      </w:r>
      <w:r>
        <w:rPr>
          <w:i/>
          <w:spacing w:val="-35"/>
          <w:sz w:val="20"/>
        </w:rPr>
        <w:t> </w:t>
      </w:r>
      <w:r>
        <w:rPr>
          <w:i/>
          <w:spacing w:val="-5"/>
          <w:sz w:val="20"/>
        </w:rPr>
        <w:t>will.”</w:t>
      </w:r>
    </w:p>
    <w:p>
      <w:pPr>
        <w:pStyle w:val="BodyText"/>
        <w:spacing w:before="4"/>
        <w:ind w:left="375"/>
        <w:jc w:val="both"/>
      </w:pPr>
      <w:r>
        <w:rPr/>
        <w:t>The core strategy behind this approach includes (</w:t>
      </w:r>
      <w:hyperlink w:history="true" w:anchor="_bookmark13">
        <w:r>
          <w:rPr/>
          <w:t>Flannery</w:t>
        </w:r>
      </w:hyperlink>
      <w:r>
        <w:rPr/>
        <w:t>, </w:t>
      </w:r>
      <w:hyperlink w:history="true" w:anchor="_bookmark13">
        <w:r>
          <w:rPr/>
          <w:t>2009</w:t>
        </w:r>
      </w:hyperlink>
      <w:r>
        <w:rPr/>
        <w:t>; </w:t>
      </w:r>
      <w:hyperlink w:history="true" w:anchor="_bookmark19">
        <w:r>
          <w:rPr/>
          <w:t>Hreinsson, Tryggvi, &amp; Sigridur</w:t>
        </w:r>
      </w:hyperlink>
      <w:r>
        <w:rPr/>
        <w:t>, </w:t>
      </w:r>
      <w:hyperlink w:history="true" w:anchor="_bookmark19">
        <w:r>
          <w:rPr/>
          <w:t>2009</w:t>
        </w:r>
      </w:hyperlink>
      <w:r>
        <w:rPr/>
        <w:t>; </w:t>
      </w:r>
      <w:hyperlink w:history="true" w:anchor="_bookmark26">
        <w:r>
          <w:rPr/>
          <w:t>Sibert</w:t>
        </w:r>
      </w:hyperlink>
      <w:r>
        <w:rPr/>
        <w:t>, </w:t>
      </w:r>
      <w:hyperlink w:history="true" w:anchor="_bookmark26">
        <w:r>
          <w:rPr/>
          <w:t>2010</w:t>
        </w:r>
      </w:hyperlink>
      <w:r>
        <w:rPr/>
        <w:t>):</w:t>
      </w:r>
    </w:p>
    <w:p>
      <w:pPr>
        <w:pStyle w:val="BodyText"/>
        <w:spacing w:before="4"/>
        <w:rPr>
          <w:sz w:val="23"/>
        </w:rPr>
      </w:pPr>
    </w:p>
    <w:p>
      <w:pPr>
        <w:pStyle w:val="ListParagraph"/>
        <w:numPr>
          <w:ilvl w:val="1"/>
          <w:numId w:val="1"/>
        </w:numPr>
        <w:tabs>
          <w:tab w:pos="578" w:val="left" w:leader="none"/>
        </w:tabs>
        <w:spacing w:line="240" w:lineRule="auto" w:before="0" w:after="0"/>
        <w:ind w:left="577" w:right="0" w:hanging="269"/>
        <w:jc w:val="left"/>
        <w:rPr>
          <w:sz w:val="20"/>
        </w:rPr>
      </w:pPr>
      <w:r>
        <w:rPr>
          <w:sz w:val="20"/>
        </w:rPr>
        <w:t>generating ﬁctitious collateral, such as "I Owe (yo)Us" (IOUs),</w:t>
      </w:r>
      <w:r>
        <w:rPr>
          <w:spacing w:val="-11"/>
          <w:sz w:val="20"/>
        </w:rPr>
        <w:t> </w:t>
      </w:r>
      <w:r>
        <w:rPr>
          <w:sz w:val="20"/>
        </w:rPr>
        <w:t>and</w:t>
      </w:r>
    </w:p>
    <w:p>
      <w:pPr>
        <w:pStyle w:val="ListParagraph"/>
        <w:numPr>
          <w:ilvl w:val="1"/>
          <w:numId w:val="1"/>
        </w:numPr>
        <w:tabs>
          <w:tab w:pos="578" w:val="left" w:leader="none"/>
        </w:tabs>
        <w:spacing w:line="240" w:lineRule="auto" w:before="29" w:after="0"/>
        <w:ind w:left="577" w:right="0" w:hanging="324"/>
        <w:jc w:val="left"/>
        <w:rPr>
          <w:sz w:val="20"/>
        </w:rPr>
      </w:pPr>
      <w:r>
        <w:rPr>
          <w:sz w:val="20"/>
        </w:rPr>
        <w:t>subsequently defaulting on these worthless certiﬁcates of</w:t>
      </w:r>
      <w:r>
        <w:rPr>
          <w:spacing w:val="-9"/>
          <w:sz w:val="20"/>
        </w:rPr>
        <w:t> </w:t>
      </w:r>
      <w:r>
        <w:rPr>
          <w:sz w:val="20"/>
        </w:rPr>
        <w:t>obligation.</w:t>
      </w:r>
    </w:p>
    <w:p>
      <w:pPr>
        <w:pStyle w:val="BodyText"/>
        <w:spacing w:before="4"/>
        <w:rPr>
          <w:sz w:val="23"/>
        </w:rPr>
      </w:pPr>
    </w:p>
    <w:p>
      <w:pPr>
        <w:pStyle w:val="BodyText"/>
        <w:spacing w:line="271" w:lineRule="auto"/>
        <w:ind w:left="176" w:right="174" w:firstLine="199"/>
        <w:jc w:val="both"/>
      </w:pPr>
      <w:r>
        <w:rPr/>
        <w:t>In greater detail, Icelandic banks engaged in a practice where they exchanged debt securities, using one another’s debt as so-called “love letter” collateral to secure borrowing from central banks. The Eurosystem accepted these securities despite concerns about questionable correlation risks.</w:t>
      </w:r>
    </w:p>
    <w:p>
      <w:pPr>
        <w:pStyle w:val="BodyText"/>
        <w:spacing w:line="271" w:lineRule="auto"/>
        <w:ind w:left="176" w:right="167" w:firstLine="199"/>
        <w:jc w:val="both"/>
      </w:pPr>
      <w:r>
        <w:rPr/>
        <w:t>Between February and April 2008, Icelandic bank subsidiaries borrowed 2.5 billion from the Central Bank of Luxembourg using</w:t>
      </w:r>
      <w:r>
        <w:rPr>
          <w:spacing w:val="-13"/>
        </w:rPr>
        <w:t> </w:t>
      </w:r>
      <w:r>
        <w:rPr/>
        <w:t>these</w:t>
      </w:r>
      <w:r>
        <w:rPr>
          <w:spacing w:val="-12"/>
        </w:rPr>
        <w:t> </w:t>
      </w:r>
      <w:r>
        <w:rPr/>
        <w:t>“love</w:t>
      </w:r>
      <w:r>
        <w:rPr>
          <w:spacing w:val="-12"/>
        </w:rPr>
        <w:t> </w:t>
      </w:r>
      <w:r>
        <w:rPr/>
        <w:t>letters”</w:t>
      </w:r>
      <w:r>
        <w:rPr>
          <w:spacing w:val="-12"/>
        </w:rPr>
        <w:t> </w:t>
      </w:r>
      <w:r>
        <w:rPr/>
        <w:t>as</w:t>
      </w:r>
      <w:r>
        <w:rPr>
          <w:spacing w:val="-13"/>
        </w:rPr>
        <w:t> </w:t>
      </w:r>
      <w:r>
        <w:rPr/>
        <w:t>collateral.</w:t>
      </w:r>
      <w:r>
        <w:rPr>
          <w:spacing w:val="-12"/>
        </w:rPr>
        <w:t> </w:t>
      </w:r>
      <w:r>
        <w:rPr/>
        <w:t>Although</w:t>
      </w:r>
      <w:r>
        <w:rPr>
          <w:spacing w:val="-12"/>
        </w:rPr>
        <w:t> </w:t>
      </w:r>
      <w:r>
        <w:rPr/>
        <w:t>the</w:t>
      </w:r>
      <w:r>
        <w:rPr>
          <w:spacing w:val="-12"/>
        </w:rPr>
        <w:t> </w:t>
      </w:r>
      <w:r>
        <w:rPr/>
        <w:t>European</w:t>
      </w:r>
      <w:r>
        <w:rPr>
          <w:spacing w:val="-13"/>
        </w:rPr>
        <w:t> </w:t>
      </w:r>
      <w:r>
        <w:rPr/>
        <w:t>Central</w:t>
      </w:r>
      <w:r>
        <w:rPr>
          <w:spacing w:val="-12"/>
        </w:rPr>
        <w:t> </w:t>
      </w:r>
      <w:r>
        <w:rPr/>
        <w:t>Bank</w:t>
      </w:r>
      <w:r>
        <w:rPr>
          <w:spacing w:val="-12"/>
        </w:rPr>
        <w:t> </w:t>
      </w:r>
      <w:r>
        <w:rPr/>
        <w:t>raised</w:t>
      </w:r>
      <w:r>
        <w:rPr>
          <w:spacing w:val="-12"/>
        </w:rPr>
        <w:t> </w:t>
      </w:r>
      <w:r>
        <w:rPr/>
        <w:t>concerns</w:t>
      </w:r>
      <w:r>
        <w:rPr>
          <w:spacing w:val="-13"/>
        </w:rPr>
        <w:t> </w:t>
      </w:r>
      <w:r>
        <w:rPr/>
        <w:t>and</w:t>
      </w:r>
      <w:r>
        <w:rPr>
          <w:spacing w:val="-12"/>
        </w:rPr>
        <w:t> </w:t>
      </w:r>
      <w:r>
        <w:rPr/>
        <w:t>reached</w:t>
      </w:r>
      <w:r>
        <w:rPr>
          <w:spacing w:val="-12"/>
        </w:rPr>
        <w:t> </w:t>
      </w:r>
      <w:r>
        <w:rPr/>
        <w:t>an</w:t>
      </w:r>
      <w:r>
        <w:rPr>
          <w:spacing w:val="-12"/>
        </w:rPr>
        <w:t> </w:t>
      </w:r>
      <w:r>
        <w:rPr/>
        <w:t>informal</w:t>
      </w:r>
      <w:r>
        <w:rPr>
          <w:spacing w:val="-13"/>
        </w:rPr>
        <w:t> </w:t>
      </w:r>
      <w:r>
        <w:rPr/>
        <w:t>agreement to</w:t>
      </w:r>
      <w:r>
        <w:rPr>
          <w:spacing w:val="-6"/>
        </w:rPr>
        <w:t> </w:t>
      </w:r>
      <w:r>
        <w:rPr/>
        <w:t>limit</w:t>
      </w:r>
      <w:r>
        <w:rPr>
          <w:spacing w:val="-6"/>
        </w:rPr>
        <w:t> </w:t>
      </w:r>
      <w:r>
        <w:rPr/>
        <w:t>the</w:t>
      </w:r>
      <w:r>
        <w:rPr>
          <w:spacing w:val="-6"/>
        </w:rPr>
        <w:t> </w:t>
      </w:r>
      <w:r>
        <w:rPr/>
        <w:t>use</w:t>
      </w:r>
      <w:r>
        <w:rPr>
          <w:spacing w:val="-6"/>
        </w:rPr>
        <w:t> </w:t>
      </w:r>
      <w:r>
        <w:rPr/>
        <w:t>of</w:t>
      </w:r>
      <w:r>
        <w:rPr>
          <w:spacing w:val="-6"/>
        </w:rPr>
        <w:t> </w:t>
      </w:r>
      <w:r>
        <w:rPr/>
        <w:t>such</w:t>
      </w:r>
      <w:r>
        <w:rPr>
          <w:spacing w:val="-6"/>
        </w:rPr>
        <w:t> </w:t>
      </w:r>
      <w:r>
        <w:rPr/>
        <w:t>collateral,</w:t>
      </w:r>
      <w:r>
        <w:rPr>
          <w:spacing w:val="-6"/>
        </w:rPr>
        <w:t> </w:t>
      </w:r>
      <w:r>
        <w:rPr/>
        <w:t>the</w:t>
      </w:r>
      <w:r>
        <w:rPr>
          <w:spacing w:val="-5"/>
        </w:rPr>
        <w:t> </w:t>
      </w:r>
      <w:r>
        <w:rPr/>
        <w:t>borrowing</w:t>
      </w:r>
      <w:r>
        <w:rPr>
          <w:spacing w:val="-6"/>
        </w:rPr>
        <w:t> </w:t>
      </w:r>
      <w:r>
        <w:rPr/>
        <w:t>increased</w:t>
      </w:r>
      <w:r>
        <w:rPr>
          <w:spacing w:val="-6"/>
        </w:rPr>
        <w:t> </w:t>
      </w:r>
      <w:r>
        <w:rPr/>
        <w:t>to</w:t>
      </w:r>
      <w:r>
        <w:rPr>
          <w:spacing w:val="-6"/>
        </w:rPr>
        <w:t> </w:t>
      </w:r>
      <w:r>
        <w:rPr/>
        <w:t>4.5</w:t>
      </w:r>
      <w:r>
        <w:rPr>
          <w:spacing w:val="-6"/>
        </w:rPr>
        <w:t> </w:t>
      </w:r>
      <w:r>
        <w:rPr/>
        <w:t>billion</w:t>
      </w:r>
      <w:r>
        <w:rPr>
          <w:spacing w:val="-6"/>
        </w:rPr>
        <w:t> </w:t>
      </w:r>
      <w:r>
        <w:rPr/>
        <w:t>by</w:t>
      </w:r>
      <w:r>
        <w:rPr>
          <w:spacing w:val="-6"/>
        </w:rPr>
        <w:t> </w:t>
      </w:r>
      <w:r>
        <w:rPr/>
        <w:t>June.</w:t>
      </w:r>
      <w:r>
        <w:rPr>
          <w:spacing w:val="-6"/>
        </w:rPr>
        <w:t> </w:t>
      </w:r>
      <w:r>
        <w:rPr/>
        <w:t>By</w:t>
      </w:r>
      <w:r>
        <w:rPr>
          <w:spacing w:val="-5"/>
        </w:rPr>
        <w:t> </w:t>
      </w:r>
      <w:r>
        <w:rPr>
          <w:spacing w:val="-3"/>
        </w:rPr>
        <w:t>July,</w:t>
      </w:r>
      <w:r>
        <w:rPr>
          <w:spacing w:val="-6"/>
        </w:rPr>
        <w:t> </w:t>
      </w:r>
      <w:r>
        <w:rPr/>
        <w:t>the</w:t>
      </w:r>
      <w:r>
        <w:rPr>
          <w:spacing w:val="-6"/>
        </w:rPr>
        <w:t> </w:t>
      </w:r>
      <w:r>
        <w:rPr/>
        <w:t>use</w:t>
      </w:r>
      <w:r>
        <w:rPr>
          <w:spacing w:val="-6"/>
        </w:rPr>
        <w:t> </w:t>
      </w:r>
      <w:r>
        <w:rPr/>
        <w:t>of</w:t>
      </w:r>
      <w:r>
        <w:rPr>
          <w:spacing w:val="-6"/>
        </w:rPr>
        <w:t> </w:t>
      </w:r>
      <w:r>
        <w:rPr/>
        <w:t>“love</w:t>
      </w:r>
      <w:r>
        <w:rPr>
          <w:spacing w:val="-6"/>
        </w:rPr>
        <w:t> </w:t>
      </w:r>
      <w:r>
        <w:rPr/>
        <w:t>letters”</w:t>
      </w:r>
      <w:r>
        <w:rPr>
          <w:spacing w:val="-6"/>
        </w:rPr>
        <w:t> </w:t>
      </w:r>
      <w:r>
        <w:rPr/>
        <w:t>was</w:t>
      </w:r>
      <w:r>
        <w:rPr>
          <w:spacing w:val="-5"/>
        </w:rPr>
        <w:t> </w:t>
      </w:r>
      <w:r>
        <w:rPr/>
        <w:t>formally prohibited, leading to a reduction in borrowing to 3.5</w:t>
      </w:r>
      <w:r>
        <w:rPr>
          <w:spacing w:val="-11"/>
        </w:rPr>
        <w:t> </w:t>
      </w:r>
      <w:r>
        <w:rPr/>
        <w:t>billion.</w:t>
      </w:r>
    </w:p>
    <w:p>
      <w:pPr>
        <w:pStyle w:val="BodyText"/>
        <w:spacing w:line="271" w:lineRule="auto"/>
        <w:ind w:left="169" w:right="169" w:firstLine="206"/>
        <w:jc w:val="both"/>
      </w:pPr>
      <w:r>
        <w:rPr>
          <w:spacing w:val="-3"/>
        </w:rPr>
        <w:t>However,</w:t>
      </w:r>
      <w:r>
        <w:rPr>
          <w:spacing w:val="-6"/>
        </w:rPr>
        <w:t> </w:t>
      </w:r>
      <w:r>
        <w:rPr/>
        <w:t>by</w:t>
      </w:r>
      <w:r>
        <w:rPr>
          <w:spacing w:val="-6"/>
        </w:rPr>
        <w:t> </w:t>
      </w:r>
      <w:r>
        <w:rPr/>
        <w:t>autumn</w:t>
      </w:r>
      <w:r>
        <w:rPr>
          <w:spacing w:val="-6"/>
        </w:rPr>
        <w:t> </w:t>
      </w:r>
      <w:r>
        <w:rPr/>
        <w:t>2008,</w:t>
      </w:r>
      <w:r>
        <w:rPr>
          <w:spacing w:val="-6"/>
        </w:rPr>
        <w:t> </w:t>
      </w:r>
      <w:r>
        <w:rPr/>
        <w:t>ﬁnancial</w:t>
      </w:r>
      <w:r>
        <w:rPr>
          <w:spacing w:val="-6"/>
        </w:rPr>
        <w:t> </w:t>
      </w:r>
      <w:r>
        <w:rPr/>
        <w:t>turmoil</w:t>
      </w:r>
      <w:r>
        <w:rPr>
          <w:spacing w:val="-6"/>
        </w:rPr>
        <w:t> </w:t>
      </w:r>
      <w:r>
        <w:rPr/>
        <w:t>escalated,</w:t>
      </w:r>
      <w:r>
        <w:rPr>
          <w:spacing w:val="-6"/>
        </w:rPr>
        <w:t> </w:t>
      </w:r>
      <w:r>
        <w:rPr/>
        <w:t>and</w:t>
      </w:r>
      <w:r>
        <w:rPr>
          <w:spacing w:val="-6"/>
        </w:rPr>
        <w:t> </w:t>
      </w:r>
      <w:r>
        <w:rPr>
          <w:spacing w:val="-3"/>
        </w:rPr>
        <w:t>ﬁve</w:t>
      </w:r>
      <w:r>
        <w:rPr>
          <w:spacing w:val="-5"/>
        </w:rPr>
        <w:t> </w:t>
      </w:r>
      <w:r>
        <w:rPr/>
        <w:t>counterparties</w:t>
      </w:r>
      <w:r>
        <w:rPr>
          <w:spacing w:val="-6"/>
        </w:rPr>
        <w:t> </w:t>
      </w:r>
      <w:r>
        <w:rPr/>
        <w:t>defaulted,</w:t>
      </w:r>
      <w:r>
        <w:rPr>
          <w:spacing w:val="-6"/>
        </w:rPr>
        <w:t> </w:t>
      </w:r>
      <w:r>
        <w:rPr/>
        <w:t>three</w:t>
      </w:r>
      <w:r>
        <w:rPr>
          <w:spacing w:val="-6"/>
        </w:rPr>
        <w:t> </w:t>
      </w:r>
      <w:r>
        <w:rPr/>
        <w:t>of</w:t>
      </w:r>
      <w:r>
        <w:rPr>
          <w:spacing w:val="-6"/>
        </w:rPr>
        <w:t> </w:t>
      </w:r>
      <w:r>
        <w:rPr/>
        <w:t>which</w:t>
      </w:r>
      <w:r>
        <w:rPr>
          <w:spacing w:val="-6"/>
        </w:rPr>
        <w:t> </w:t>
      </w:r>
      <w:r>
        <w:rPr/>
        <w:t>were</w:t>
      </w:r>
      <w:r>
        <w:rPr>
          <w:spacing w:val="-6"/>
        </w:rPr>
        <w:t> </w:t>
      </w:r>
      <w:r>
        <w:rPr/>
        <w:t>Icelandic</w:t>
      </w:r>
      <w:r>
        <w:rPr>
          <w:spacing w:val="-6"/>
        </w:rPr>
        <w:t> </w:t>
      </w:r>
      <w:r>
        <w:rPr/>
        <w:t>bank subsidiaries. Ultimately, in March 2009, following a European Parliament member’s inquiry about these loans, the strategem was publicly</w:t>
      </w:r>
      <w:r>
        <w:rPr>
          <w:spacing w:val="-3"/>
        </w:rPr>
        <w:t> </w:t>
      </w:r>
      <w:r>
        <w:rPr/>
        <w:t>exposed.</w:t>
      </w:r>
    </w:p>
    <w:p>
      <w:pPr>
        <w:pStyle w:val="BodyText"/>
        <w:spacing w:line="271" w:lineRule="auto"/>
        <w:ind w:left="176" w:right="167" w:firstLine="199"/>
        <w:jc w:val="both"/>
      </w:pPr>
      <w:r>
        <w:rPr/>
        <w:t>This</w:t>
      </w:r>
      <w:r>
        <w:rPr>
          <w:spacing w:val="-11"/>
        </w:rPr>
        <w:t> </w:t>
      </w:r>
      <w:r>
        <w:rPr/>
        <w:t>strategy</w:t>
      </w:r>
      <w:r>
        <w:rPr>
          <w:spacing w:val="-10"/>
        </w:rPr>
        <w:t> </w:t>
      </w:r>
      <w:r>
        <w:rPr/>
        <w:t>bears</w:t>
      </w:r>
      <w:r>
        <w:rPr>
          <w:spacing w:val="-11"/>
        </w:rPr>
        <w:t> </w:t>
      </w:r>
      <w:r>
        <w:rPr/>
        <w:t>some</w:t>
      </w:r>
      <w:r>
        <w:rPr>
          <w:spacing w:val="-10"/>
        </w:rPr>
        <w:t> </w:t>
      </w:r>
      <w:r>
        <w:rPr/>
        <w:t>resemblance</w:t>
      </w:r>
      <w:r>
        <w:rPr>
          <w:spacing w:val="-11"/>
        </w:rPr>
        <w:t> </w:t>
      </w:r>
      <w:r>
        <w:rPr/>
        <w:t>to</w:t>
      </w:r>
      <w:r>
        <w:rPr>
          <w:spacing w:val="-10"/>
        </w:rPr>
        <w:t> </w:t>
      </w:r>
      <w:r>
        <w:rPr/>
        <w:t>a</w:t>
      </w:r>
      <w:r>
        <w:rPr>
          <w:spacing w:val="-11"/>
        </w:rPr>
        <w:t> </w:t>
      </w:r>
      <w:r>
        <w:rPr/>
        <w:t>scheme</w:t>
      </w:r>
      <w:r>
        <w:rPr>
          <w:spacing w:val="-10"/>
        </w:rPr>
        <w:t> </w:t>
      </w:r>
      <w:r>
        <w:rPr/>
        <w:t>in</w:t>
      </w:r>
      <w:r>
        <w:rPr>
          <w:spacing w:val="-11"/>
        </w:rPr>
        <w:t> </w:t>
      </w:r>
      <w:r>
        <w:rPr/>
        <w:t>which</w:t>
      </w:r>
      <w:r>
        <w:rPr>
          <w:spacing w:val="-10"/>
        </w:rPr>
        <w:t> </w:t>
      </w:r>
      <w:r>
        <w:rPr/>
        <w:t>two</w:t>
      </w:r>
      <w:r>
        <w:rPr>
          <w:spacing w:val="-10"/>
        </w:rPr>
        <w:t> </w:t>
      </w:r>
      <w:r>
        <w:rPr/>
        <w:t>large</w:t>
      </w:r>
      <w:r>
        <w:rPr>
          <w:spacing w:val="-11"/>
        </w:rPr>
        <w:t> </w:t>
      </w:r>
      <w:r>
        <w:rPr/>
        <w:t>European</w:t>
      </w:r>
      <w:r>
        <w:rPr>
          <w:spacing w:val="-10"/>
        </w:rPr>
        <w:t> </w:t>
      </w:r>
      <w:r>
        <w:rPr/>
        <w:t>banks</w:t>
      </w:r>
      <w:r>
        <w:rPr>
          <w:spacing w:val="-11"/>
        </w:rPr>
        <w:t> </w:t>
      </w:r>
      <w:r>
        <w:rPr/>
        <w:t>outside</w:t>
      </w:r>
      <w:r>
        <w:rPr>
          <w:spacing w:val="-10"/>
        </w:rPr>
        <w:t> </w:t>
      </w:r>
      <w:r>
        <w:rPr/>
        <w:t>the</w:t>
      </w:r>
      <w:r>
        <w:rPr>
          <w:spacing w:val="-11"/>
        </w:rPr>
        <w:t> </w:t>
      </w:r>
      <w:r>
        <w:rPr/>
        <w:t>Eurosystem</w:t>
      </w:r>
      <w:r>
        <w:rPr>
          <w:spacing w:val="-10"/>
        </w:rPr>
        <w:t> </w:t>
      </w:r>
      <w:r>
        <w:rPr/>
        <w:t>were</w:t>
      </w:r>
      <w:r>
        <w:rPr>
          <w:spacing w:val="-11"/>
        </w:rPr>
        <w:t> </w:t>
      </w:r>
      <w:r>
        <w:rPr/>
        <w:t>allegedly involved.</w:t>
      </w:r>
      <w:r>
        <w:rPr>
          <w:spacing w:val="-5"/>
        </w:rPr>
        <w:t> </w:t>
      </w:r>
      <w:r>
        <w:rPr/>
        <w:t>During</w:t>
      </w:r>
      <w:r>
        <w:rPr>
          <w:spacing w:val="-5"/>
        </w:rPr>
        <w:t> </w:t>
      </w:r>
      <w:r>
        <w:rPr/>
        <w:t>the</w:t>
      </w:r>
      <w:r>
        <w:rPr>
          <w:spacing w:val="-5"/>
        </w:rPr>
        <w:t> </w:t>
      </w:r>
      <w:r>
        <w:rPr/>
        <w:t>2008</w:t>
      </w:r>
      <w:r>
        <w:rPr>
          <w:spacing w:val="-5"/>
        </w:rPr>
        <w:t> </w:t>
      </w:r>
      <w:r>
        <w:rPr/>
        <w:t>ﬁnancial</w:t>
      </w:r>
      <w:r>
        <w:rPr>
          <w:spacing w:val="-5"/>
        </w:rPr>
        <w:t> </w:t>
      </w:r>
      <w:r>
        <w:rPr/>
        <w:t>crisis,</w:t>
      </w:r>
      <w:r>
        <w:rPr>
          <w:spacing w:val="-5"/>
        </w:rPr>
        <w:t> </w:t>
      </w:r>
      <w:r>
        <w:rPr/>
        <w:t>these</w:t>
      </w:r>
      <w:r>
        <w:rPr>
          <w:spacing w:val="-5"/>
        </w:rPr>
        <w:t> </w:t>
      </w:r>
      <w:r>
        <w:rPr/>
        <w:t>banks</w:t>
      </w:r>
      <w:r>
        <w:rPr>
          <w:spacing w:val="-5"/>
        </w:rPr>
        <w:t> </w:t>
      </w:r>
      <w:r>
        <w:rPr/>
        <w:t>reportedly</w:t>
      </w:r>
      <w:r>
        <w:rPr>
          <w:spacing w:val="-5"/>
        </w:rPr>
        <w:t> </w:t>
      </w:r>
      <w:r>
        <w:rPr/>
        <w:t>created</w:t>
      </w:r>
      <w:r>
        <w:rPr>
          <w:spacing w:val="-5"/>
        </w:rPr>
        <w:t> </w:t>
      </w:r>
      <w:r>
        <w:rPr/>
        <w:t>capital</w:t>
      </w:r>
      <w:r>
        <w:rPr>
          <w:spacing w:val="-4"/>
        </w:rPr>
        <w:t> </w:t>
      </w:r>
      <w:r>
        <w:rPr/>
        <w:t>through</w:t>
      </w:r>
      <w:r>
        <w:rPr>
          <w:spacing w:val="-5"/>
        </w:rPr>
        <w:t> </w:t>
      </w:r>
      <w:r>
        <w:rPr/>
        <w:t>a</w:t>
      </w:r>
      <w:r>
        <w:rPr>
          <w:spacing w:val="-5"/>
        </w:rPr>
        <w:t> </w:t>
      </w:r>
      <w:r>
        <w:rPr/>
        <w:t>credit-share</w:t>
      </w:r>
      <w:r>
        <w:rPr>
          <w:spacing w:val="-5"/>
        </w:rPr>
        <w:t> </w:t>
      </w:r>
      <w:r>
        <w:rPr/>
        <w:t>swap.</w:t>
      </w:r>
      <w:r>
        <w:rPr>
          <w:spacing w:val="-5"/>
        </w:rPr>
        <w:t> </w:t>
      </w:r>
      <w:r>
        <w:rPr/>
        <w:t>At</w:t>
      </w:r>
      <w:r>
        <w:rPr>
          <w:spacing w:val="-5"/>
        </w:rPr>
        <w:t> </w:t>
      </w:r>
      <w:r>
        <w:rPr/>
        <w:t>the</w:t>
      </w:r>
      <w:r>
        <w:rPr>
          <w:spacing w:val="-5"/>
        </w:rPr>
        <w:t> </w:t>
      </w:r>
      <w:r>
        <w:rPr/>
        <w:t>time,</w:t>
      </w:r>
      <w:r>
        <w:rPr>
          <w:spacing w:val="-5"/>
        </w:rPr>
        <w:t> </w:t>
      </w:r>
      <w:r>
        <w:rPr/>
        <w:t>they </w:t>
      </w:r>
      <w:r>
        <w:rPr>
          <w:w w:val="99"/>
        </w:rPr>
        <w:t>required</w:t>
      </w:r>
      <w:r>
        <w:rPr>
          <w:spacing w:val="-1"/>
        </w:rPr>
        <w:t> </w:t>
      </w:r>
      <w:r>
        <w:rPr>
          <w:w w:val="99"/>
        </w:rPr>
        <w:t>approximately</w:t>
      </w:r>
      <w:r>
        <w:rPr>
          <w:spacing w:val="-1"/>
        </w:rPr>
        <w:t> </w:t>
      </w:r>
      <w:r>
        <w:rPr>
          <w:spacing w:val="-78"/>
          <w:w w:val="99"/>
        </w:rPr>
        <w:t>c</w:t>
      </w:r>
      <w:r>
        <w:rPr>
          <w:spacing w:val="10"/>
          <w:w w:val="99"/>
        </w:rPr>
        <w:t>ˇ</w:t>
      </w:r>
      <w:r>
        <w:rPr>
          <w:w w:val="99"/>
        </w:rPr>
        <w:t>7</w:t>
      </w:r>
      <w:r>
        <w:rPr>
          <w:spacing w:val="-1"/>
        </w:rPr>
        <w:t> </w:t>
      </w:r>
      <w:r>
        <w:rPr>
          <w:w w:val="99"/>
        </w:rPr>
        <w:t>billion</w:t>
      </w:r>
      <w:r>
        <w:rPr>
          <w:spacing w:val="-1"/>
        </w:rPr>
        <w:t> </w:t>
      </w:r>
      <w:r>
        <w:rPr>
          <w:w w:val="99"/>
        </w:rPr>
        <w:t>in</w:t>
      </w:r>
      <w:r>
        <w:rPr>
          <w:spacing w:val="-1"/>
        </w:rPr>
        <w:t> </w:t>
      </w:r>
      <w:r>
        <w:rPr>
          <w:w w:val="99"/>
        </w:rPr>
        <w:t>n</w:t>
      </w:r>
      <w:r>
        <w:rPr>
          <w:spacing w:val="-5"/>
          <w:w w:val="99"/>
        </w:rPr>
        <w:t>e</w:t>
      </w:r>
      <w:r>
        <w:rPr>
          <w:w w:val="99"/>
        </w:rPr>
        <w:t>w</w:t>
      </w:r>
      <w:r>
        <w:rPr>
          <w:spacing w:val="-1"/>
        </w:rPr>
        <w:t> </w:t>
      </w:r>
      <w:r>
        <w:rPr>
          <w:w w:val="99"/>
        </w:rPr>
        <w:t>capital.</w:t>
      </w:r>
    </w:p>
    <w:p>
      <w:pPr>
        <w:pStyle w:val="BodyText"/>
        <w:spacing w:before="4"/>
        <w:rPr>
          <w:sz w:val="18"/>
        </w:rPr>
      </w:pPr>
      <w:r>
        <w:rPr/>
        <w:pict>
          <v:shape style="position:absolute;margin-left:45.827999pt;margin-top:12.759186pt;width:502.65pt;height:.1pt;mso-position-horizontal-relative:page;mso-position-vertical-relative:paragraph;z-index:-15723008;mso-wrap-distance-left:0;mso-wrap-distance-right:0" coordorigin="917,255" coordsize="10053,0" path="m917,255l10969,255e" filled="false" stroked="true" strokeweight=".4981pt" strokecolor="#000000">
            <v:path arrowok="t"/>
            <v:stroke dashstyle="solid"/>
            <w10:wrap type="topAndBottom"/>
          </v:shape>
        </w:pict>
      </w:r>
    </w:p>
    <w:p>
      <w:pPr>
        <w:spacing w:line="235" w:lineRule="auto" w:before="60"/>
        <w:ind w:left="176" w:right="223" w:firstLine="0"/>
        <w:jc w:val="left"/>
        <w:rPr>
          <w:sz w:val="14"/>
        </w:rPr>
      </w:pPr>
      <w:r>
        <w:rPr>
          <w:rFonts w:ascii="Bookman Old Style" w:hAnsi="Bookman Old Style"/>
          <w:b w:val="0"/>
          <w:i/>
          <w:sz w:val="14"/>
          <w:vertAlign w:val="superscript"/>
        </w:rPr>
        <w:t>§</w:t>
      </w:r>
      <w:r>
        <w:rPr>
          <w:rFonts w:ascii="Bookman Old Style" w:hAnsi="Bookman Old Style"/>
          <w:b w:val="0"/>
          <w:i/>
          <w:sz w:val="14"/>
          <w:vertAlign w:val="baseline"/>
        </w:rPr>
        <w:t> </w:t>
      </w:r>
      <w:r>
        <w:rPr>
          <w:position w:val="2"/>
          <w:sz w:val="14"/>
          <w:vertAlign w:val="baseline"/>
        </w:rPr>
        <w:t>This can be explicitly demonstrated in the case of </w:t>
      </w:r>
      <w:r>
        <w:rPr>
          <w:i/>
          <w:position w:val="2"/>
          <w:sz w:val="14"/>
          <w:vertAlign w:val="baseline"/>
        </w:rPr>
        <w:t>n </w:t>
      </w:r>
      <w:r>
        <w:rPr>
          <w:position w:val="2"/>
          <w:sz w:val="14"/>
          <w:vertAlign w:val="baseline"/>
        </w:rPr>
        <w:t>= 3, as </w:t>
      </w:r>
      <w:r>
        <w:rPr>
          <w:i/>
          <w:position w:val="2"/>
          <w:sz w:val="14"/>
          <w:vertAlign w:val="baseline"/>
        </w:rPr>
        <w:t>T</w:t>
      </w:r>
      <w:r>
        <w:rPr>
          <w:sz w:val="10"/>
          <w:vertAlign w:val="baseline"/>
        </w:rPr>
        <w:t>1 </w:t>
      </w:r>
      <w:r>
        <w:rPr>
          <w:position w:val="2"/>
          <w:sz w:val="14"/>
          <w:vertAlign w:val="baseline"/>
        </w:rPr>
        <w:t>= </w:t>
      </w:r>
      <w:r>
        <w:rPr>
          <w:i/>
          <w:position w:val="2"/>
          <w:sz w:val="14"/>
          <w:vertAlign w:val="baseline"/>
        </w:rPr>
        <w:t>T</w:t>
      </w:r>
      <w:r>
        <w:rPr>
          <w:sz w:val="10"/>
          <w:vertAlign w:val="baseline"/>
        </w:rPr>
        <w:t>12 </w:t>
      </w:r>
      <w:r>
        <w:rPr>
          <w:position w:val="2"/>
          <w:sz w:val="14"/>
          <w:vertAlign w:val="baseline"/>
        </w:rPr>
        <w:t>+ </w:t>
      </w:r>
      <w:r>
        <w:rPr>
          <w:i/>
          <w:position w:val="2"/>
          <w:sz w:val="14"/>
          <w:vertAlign w:val="baseline"/>
        </w:rPr>
        <w:t>T</w:t>
      </w:r>
      <w:r>
        <w:rPr>
          <w:sz w:val="10"/>
          <w:vertAlign w:val="baseline"/>
        </w:rPr>
        <w:t>13 </w:t>
      </w:r>
      <w:r>
        <w:rPr>
          <w:position w:val="2"/>
          <w:sz w:val="14"/>
          <w:vertAlign w:val="baseline"/>
        </w:rPr>
        <w:t>, </w:t>
      </w:r>
      <w:r>
        <w:rPr>
          <w:i/>
          <w:position w:val="2"/>
          <w:sz w:val="14"/>
          <w:vertAlign w:val="baseline"/>
        </w:rPr>
        <w:t>T</w:t>
      </w:r>
      <w:r>
        <w:rPr>
          <w:sz w:val="10"/>
          <w:vertAlign w:val="baseline"/>
        </w:rPr>
        <w:t>2 </w:t>
      </w:r>
      <w:r>
        <w:rPr>
          <w:position w:val="2"/>
          <w:sz w:val="14"/>
          <w:vertAlign w:val="baseline"/>
        </w:rPr>
        <w:t>= </w:t>
      </w:r>
      <w:r>
        <w:rPr>
          <w:i/>
          <w:position w:val="2"/>
          <w:sz w:val="14"/>
          <w:vertAlign w:val="baseline"/>
        </w:rPr>
        <w:t>T</w:t>
      </w:r>
      <w:r>
        <w:rPr>
          <w:sz w:val="10"/>
          <w:vertAlign w:val="baseline"/>
        </w:rPr>
        <w:t>21 </w:t>
      </w:r>
      <w:r>
        <w:rPr>
          <w:position w:val="2"/>
          <w:sz w:val="14"/>
          <w:vertAlign w:val="baseline"/>
        </w:rPr>
        <w:t>+ </w:t>
      </w:r>
      <w:r>
        <w:rPr>
          <w:i/>
          <w:position w:val="2"/>
          <w:sz w:val="14"/>
          <w:vertAlign w:val="baseline"/>
        </w:rPr>
        <w:t>T</w:t>
      </w:r>
      <w:r>
        <w:rPr>
          <w:sz w:val="10"/>
          <w:vertAlign w:val="baseline"/>
        </w:rPr>
        <w:t>23 </w:t>
      </w:r>
      <w:r>
        <w:rPr>
          <w:position w:val="2"/>
          <w:sz w:val="14"/>
          <w:vertAlign w:val="baseline"/>
        </w:rPr>
        <w:t>= –</w:t>
      </w:r>
      <w:r>
        <w:rPr>
          <w:i/>
          <w:position w:val="2"/>
          <w:sz w:val="14"/>
          <w:vertAlign w:val="baseline"/>
        </w:rPr>
        <w:t>T</w:t>
      </w:r>
      <w:r>
        <w:rPr>
          <w:sz w:val="10"/>
          <w:vertAlign w:val="baseline"/>
        </w:rPr>
        <w:t>12 </w:t>
      </w:r>
      <w:r>
        <w:rPr>
          <w:position w:val="2"/>
          <w:sz w:val="14"/>
          <w:vertAlign w:val="baseline"/>
        </w:rPr>
        <w:t>+ </w:t>
      </w:r>
      <w:r>
        <w:rPr>
          <w:i/>
          <w:position w:val="2"/>
          <w:sz w:val="14"/>
          <w:vertAlign w:val="baseline"/>
        </w:rPr>
        <w:t>T</w:t>
      </w:r>
      <w:r>
        <w:rPr>
          <w:sz w:val="10"/>
          <w:vertAlign w:val="baseline"/>
        </w:rPr>
        <w:t>23 </w:t>
      </w:r>
      <w:r>
        <w:rPr>
          <w:position w:val="2"/>
          <w:sz w:val="14"/>
          <w:vertAlign w:val="baseline"/>
        </w:rPr>
        <w:t>, </w:t>
      </w:r>
      <w:r>
        <w:rPr>
          <w:i/>
          <w:position w:val="2"/>
          <w:sz w:val="14"/>
          <w:vertAlign w:val="baseline"/>
        </w:rPr>
        <w:t>T</w:t>
      </w:r>
      <w:r>
        <w:rPr>
          <w:sz w:val="10"/>
          <w:vertAlign w:val="baseline"/>
        </w:rPr>
        <w:t>3  </w:t>
      </w:r>
      <w:r>
        <w:rPr>
          <w:position w:val="2"/>
          <w:sz w:val="14"/>
          <w:vertAlign w:val="baseline"/>
        </w:rPr>
        <w:t>= </w:t>
      </w:r>
      <w:r>
        <w:rPr>
          <w:i/>
          <w:position w:val="2"/>
          <w:sz w:val="14"/>
          <w:vertAlign w:val="baseline"/>
        </w:rPr>
        <w:t>T</w:t>
      </w:r>
      <w:r>
        <w:rPr>
          <w:sz w:val="10"/>
          <w:vertAlign w:val="baseline"/>
        </w:rPr>
        <w:t>31  </w:t>
      </w:r>
      <w:r>
        <w:rPr>
          <w:position w:val="2"/>
          <w:sz w:val="14"/>
          <w:vertAlign w:val="baseline"/>
        </w:rPr>
        <w:t>+ </w:t>
      </w:r>
      <w:r>
        <w:rPr>
          <w:i/>
          <w:position w:val="2"/>
          <w:sz w:val="14"/>
          <w:vertAlign w:val="baseline"/>
        </w:rPr>
        <w:t>T</w:t>
      </w:r>
      <w:r>
        <w:rPr>
          <w:sz w:val="10"/>
          <w:vertAlign w:val="baseline"/>
        </w:rPr>
        <w:t>32  </w:t>
      </w:r>
      <w:r>
        <w:rPr>
          <w:position w:val="2"/>
          <w:sz w:val="14"/>
          <w:vertAlign w:val="baseline"/>
        </w:rPr>
        <w:t>= –</w:t>
      </w:r>
      <w:r>
        <w:rPr>
          <w:i/>
          <w:position w:val="2"/>
          <w:sz w:val="14"/>
          <w:vertAlign w:val="baseline"/>
        </w:rPr>
        <w:t>T</w:t>
      </w:r>
      <w:r>
        <w:rPr>
          <w:sz w:val="10"/>
          <w:vertAlign w:val="baseline"/>
        </w:rPr>
        <w:t>13  </w:t>
      </w:r>
      <w:r>
        <w:rPr>
          <w:position w:val="2"/>
          <w:sz w:val="14"/>
          <w:vertAlign w:val="baseline"/>
        </w:rPr>
        <w:t>– </w:t>
      </w:r>
      <w:r>
        <w:rPr>
          <w:i/>
          <w:position w:val="2"/>
          <w:sz w:val="14"/>
          <w:vertAlign w:val="baseline"/>
        </w:rPr>
        <w:t>T</w:t>
      </w:r>
      <w:r>
        <w:rPr>
          <w:sz w:val="10"/>
          <w:vertAlign w:val="baseline"/>
        </w:rPr>
        <w:t>23 </w:t>
      </w:r>
      <w:r>
        <w:rPr>
          <w:position w:val="2"/>
          <w:sz w:val="14"/>
          <w:vertAlign w:val="baseline"/>
        </w:rPr>
        <w:t>, and </w:t>
      </w:r>
      <w:r>
        <w:rPr>
          <w:i/>
          <w:position w:val="2"/>
          <w:sz w:val="14"/>
          <w:vertAlign w:val="baseline"/>
        </w:rPr>
        <w:t>T</w:t>
      </w:r>
      <w:r>
        <w:rPr>
          <w:sz w:val="10"/>
          <w:vertAlign w:val="baseline"/>
        </w:rPr>
        <w:t>1  </w:t>
      </w:r>
      <w:r>
        <w:rPr>
          <w:position w:val="2"/>
          <w:sz w:val="14"/>
          <w:vertAlign w:val="baseline"/>
        </w:rPr>
        <w:t>+ </w:t>
      </w:r>
      <w:r>
        <w:rPr>
          <w:i/>
          <w:position w:val="2"/>
          <w:sz w:val="14"/>
          <w:vertAlign w:val="baseline"/>
        </w:rPr>
        <w:t>T</w:t>
      </w:r>
      <w:r>
        <w:rPr>
          <w:sz w:val="10"/>
          <w:vertAlign w:val="baseline"/>
        </w:rPr>
        <w:t>2  </w:t>
      </w:r>
      <w:r>
        <w:rPr>
          <w:position w:val="2"/>
          <w:sz w:val="14"/>
          <w:vertAlign w:val="baseline"/>
        </w:rPr>
        <w:t>+ </w:t>
      </w:r>
      <w:r>
        <w:rPr>
          <w:i/>
          <w:position w:val="2"/>
          <w:sz w:val="14"/>
          <w:vertAlign w:val="baseline"/>
        </w:rPr>
        <w:t>T</w:t>
      </w:r>
      <w:r>
        <w:rPr>
          <w:sz w:val="10"/>
          <w:vertAlign w:val="baseline"/>
        </w:rPr>
        <w:t>3  </w:t>
      </w:r>
      <w:r>
        <w:rPr>
          <w:position w:val="2"/>
          <w:sz w:val="14"/>
          <w:vertAlign w:val="baseline"/>
        </w:rPr>
        <w:t>= 0 allows for a free (in  this scenario unknown inter-NCB </w:t>
      </w:r>
      <w:r>
        <w:rPr>
          <w:spacing w:val="-3"/>
          <w:position w:val="2"/>
          <w:sz w:val="14"/>
          <w:vertAlign w:val="baseline"/>
        </w:rPr>
        <w:t>TARGET </w:t>
      </w:r>
      <w:r>
        <w:rPr>
          <w:position w:val="2"/>
          <w:sz w:val="14"/>
          <w:vertAlign w:val="baseline"/>
        </w:rPr>
        <w:t>balance) parameter, say </w:t>
      </w:r>
      <w:r>
        <w:rPr>
          <w:i/>
          <w:position w:val="2"/>
          <w:sz w:val="14"/>
          <w:vertAlign w:val="baseline"/>
        </w:rPr>
        <w:t>T</w:t>
      </w:r>
      <w:r>
        <w:rPr>
          <w:sz w:val="10"/>
          <w:vertAlign w:val="baseline"/>
        </w:rPr>
        <w:t>12 </w:t>
      </w:r>
      <w:r>
        <w:rPr>
          <w:i/>
          <w:w w:val="135"/>
          <w:position w:val="2"/>
          <w:sz w:val="14"/>
          <w:vertAlign w:val="baseline"/>
        </w:rPr>
        <w:t>≥ </w:t>
      </w:r>
      <w:r>
        <w:rPr>
          <w:position w:val="2"/>
          <w:sz w:val="14"/>
          <w:vertAlign w:val="baseline"/>
        </w:rPr>
        <w:t>0, where </w:t>
      </w:r>
      <w:r>
        <w:rPr>
          <w:i/>
          <w:position w:val="2"/>
          <w:sz w:val="14"/>
          <w:vertAlign w:val="baseline"/>
        </w:rPr>
        <w:t>T</w:t>
      </w:r>
      <w:r>
        <w:rPr>
          <w:sz w:val="10"/>
          <w:vertAlign w:val="baseline"/>
        </w:rPr>
        <w:t>13 </w:t>
      </w:r>
      <w:r>
        <w:rPr>
          <w:position w:val="2"/>
          <w:sz w:val="14"/>
          <w:vertAlign w:val="baseline"/>
        </w:rPr>
        <w:t>= –</w:t>
      </w:r>
      <w:r>
        <w:rPr>
          <w:i/>
          <w:position w:val="2"/>
          <w:sz w:val="14"/>
          <w:vertAlign w:val="baseline"/>
        </w:rPr>
        <w:t>T</w:t>
      </w:r>
      <w:r>
        <w:rPr>
          <w:sz w:val="10"/>
          <w:vertAlign w:val="baseline"/>
        </w:rPr>
        <w:t>12 </w:t>
      </w:r>
      <w:r>
        <w:rPr>
          <w:position w:val="2"/>
          <w:sz w:val="14"/>
          <w:vertAlign w:val="baseline"/>
        </w:rPr>
        <w:t>– </w:t>
      </w:r>
      <w:r>
        <w:rPr>
          <w:i/>
          <w:position w:val="2"/>
          <w:sz w:val="14"/>
          <w:vertAlign w:val="baseline"/>
        </w:rPr>
        <w:t>T</w:t>
      </w:r>
      <w:r>
        <w:rPr>
          <w:sz w:val="10"/>
          <w:vertAlign w:val="baseline"/>
        </w:rPr>
        <w:t>2 </w:t>
      </w:r>
      <w:r>
        <w:rPr>
          <w:position w:val="2"/>
          <w:sz w:val="14"/>
          <w:vertAlign w:val="baseline"/>
        </w:rPr>
        <w:t>– </w:t>
      </w:r>
      <w:r>
        <w:rPr>
          <w:i/>
          <w:position w:val="2"/>
          <w:sz w:val="14"/>
          <w:vertAlign w:val="baseline"/>
        </w:rPr>
        <w:t>T</w:t>
      </w:r>
      <w:r>
        <w:rPr>
          <w:sz w:val="10"/>
          <w:vertAlign w:val="baseline"/>
        </w:rPr>
        <w:t>3 </w:t>
      </w:r>
      <w:r>
        <w:rPr>
          <w:position w:val="2"/>
          <w:sz w:val="14"/>
          <w:vertAlign w:val="baseline"/>
        </w:rPr>
        <w:t>and </w:t>
      </w:r>
      <w:r>
        <w:rPr>
          <w:i/>
          <w:position w:val="2"/>
          <w:sz w:val="14"/>
          <w:vertAlign w:val="baseline"/>
        </w:rPr>
        <w:t>T</w:t>
      </w:r>
      <w:r>
        <w:rPr>
          <w:sz w:val="10"/>
          <w:vertAlign w:val="baseline"/>
        </w:rPr>
        <w:t>23 </w:t>
      </w:r>
      <w:r>
        <w:rPr>
          <w:position w:val="2"/>
          <w:sz w:val="14"/>
          <w:vertAlign w:val="baseline"/>
        </w:rPr>
        <w:t>= </w:t>
      </w:r>
      <w:r>
        <w:rPr>
          <w:i/>
          <w:position w:val="2"/>
          <w:sz w:val="14"/>
          <w:vertAlign w:val="baseline"/>
        </w:rPr>
        <w:t>T</w:t>
      </w:r>
      <w:r>
        <w:rPr>
          <w:sz w:val="10"/>
          <w:vertAlign w:val="baseline"/>
        </w:rPr>
        <w:t>12 </w:t>
      </w:r>
      <w:r>
        <w:rPr>
          <w:position w:val="2"/>
          <w:sz w:val="14"/>
          <w:vertAlign w:val="baseline"/>
        </w:rPr>
        <w:t>+ </w:t>
      </w:r>
      <w:r>
        <w:rPr>
          <w:i/>
          <w:position w:val="2"/>
          <w:sz w:val="14"/>
          <w:vertAlign w:val="baseline"/>
        </w:rPr>
        <w:t>T</w:t>
      </w:r>
      <w:r>
        <w:rPr>
          <w:sz w:val="10"/>
          <w:vertAlign w:val="baseline"/>
        </w:rPr>
        <w:t>2</w:t>
      </w:r>
      <w:r>
        <w:rPr>
          <w:spacing w:val="-8"/>
          <w:sz w:val="10"/>
          <w:vertAlign w:val="baseline"/>
        </w:rPr>
        <w:t> </w:t>
      </w:r>
      <w:r>
        <w:rPr>
          <w:position w:val="2"/>
          <w:sz w:val="14"/>
          <w:vertAlign w:val="baseline"/>
        </w:rPr>
        <w:t>.</w:t>
      </w:r>
    </w:p>
    <w:p>
      <w:pPr>
        <w:spacing w:after="0" w:line="235" w:lineRule="auto"/>
        <w:jc w:val="left"/>
        <w:rPr>
          <w:sz w:val="14"/>
        </w:rPr>
        <w:sectPr>
          <w:pgSz w:w="11910" w:h="15650"/>
          <w:pgMar w:header="730" w:footer="0" w:top="940" w:bottom="280" w:left="740" w:right="760"/>
        </w:sectPr>
      </w:pPr>
    </w:p>
    <w:p>
      <w:pPr>
        <w:pStyle w:val="BodyText"/>
        <w:spacing w:line="271" w:lineRule="auto" w:before="146"/>
        <w:ind w:left="196" w:right="119" w:firstLine="199"/>
        <w:jc w:val="both"/>
      </w:pPr>
      <w:r>
        <w:rPr>
          <w:spacing w:val="-8"/>
        </w:rPr>
        <w:t>To </w:t>
      </w:r>
      <w:r>
        <w:rPr/>
        <w:t>achieve this, the banks allegedly lent money to a sovereign wealth fund, which then used the funds to purchase newly issued shares in the banks. In essence, the banks are said to have lent the sovereign wealth fund the money to reinvest in themselves, thereby inﬂating their equity </w:t>
      </w:r>
      <w:r>
        <w:rPr>
          <w:spacing w:val="-3"/>
        </w:rPr>
        <w:t>(</w:t>
      </w:r>
      <w:hyperlink w:history="true" w:anchor="_bookmark32">
        <w:r>
          <w:rPr>
            <w:spacing w:val="-3"/>
          </w:rPr>
          <w:t>Werner</w:t>
        </w:r>
      </w:hyperlink>
      <w:r>
        <w:rPr>
          <w:spacing w:val="-3"/>
        </w:rPr>
        <w:t>, </w:t>
      </w:r>
      <w:hyperlink w:history="true" w:anchor="_bookmark32">
        <w:r>
          <w:rPr/>
          <w:t>2016</w:t>
        </w:r>
      </w:hyperlink>
      <w:r>
        <w:rPr/>
        <w:t>, t=770). While this approach proved effective in raising capital—as it is</w:t>
      </w:r>
      <w:r>
        <w:rPr>
          <w:spacing w:val="-9"/>
        </w:rPr>
        <w:t> </w:t>
      </w:r>
      <w:r>
        <w:rPr/>
        <w:t>unlawful</w:t>
      </w:r>
      <w:r>
        <w:rPr>
          <w:spacing w:val="-9"/>
        </w:rPr>
        <w:t> </w:t>
      </w:r>
      <w:r>
        <w:rPr/>
        <w:t>for</w:t>
      </w:r>
      <w:r>
        <w:rPr>
          <w:spacing w:val="-9"/>
        </w:rPr>
        <w:t> </w:t>
      </w:r>
      <w:r>
        <w:rPr/>
        <w:t>a</w:t>
      </w:r>
      <w:r>
        <w:rPr>
          <w:spacing w:val="-8"/>
        </w:rPr>
        <w:t> </w:t>
      </w:r>
      <w:r>
        <w:rPr/>
        <w:t>bank</w:t>
      </w:r>
      <w:r>
        <w:rPr>
          <w:spacing w:val="-9"/>
        </w:rPr>
        <w:t> </w:t>
      </w:r>
      <w:r>
        <w:rPr/>
        <w:t>to</w:t>
      </w:r>
      <w:r>
        <w:rPr>
          <w:spacing w:val="-9"/>
        </w:rPr>
        <w:t> </w:t>
      </w:r>
      <w:r>
        <w:rPr/>
        <w:t>lend</w:t>
      </w:r>
      <w:r>
        <w:rPr>
          <w:spacing w:val="-9"/>
        </w:rPr>
        <w:t> </w:t>
      </w:r>
      <w:r>
        <w:rPr/>
        <w:t>money</w:t>
      </w:r>
      <w:r>
        <w:rPr>
          <w:spacing w:val="-9"/>
        </w:rPr>
        <w:t> </w:t>
      </w:r>
      <w:r>
        <w:rPr/>
        <w:t>to</w:t>
      </w:r>
      <w:r>
        <w:rPr>
          <w:spacing w:val="-8"/>
        </w:rPr>
        <w:t> </w:t>
      </w:r>
      <w:r>
        <w:rPr/>
        <w:t>itself</w:t>
      </w:r>
      <w:r>
        <w:rPr>
          <w:spacing w:val="-9"/>
        </w:rPr>
        <w:t> </w:t>
      </w:r>
      <w:r>
        <w:rPr/>
        <w:t>(</w:t>
      </w:r>
      <w:hyperlink w:history="true" w:anchor="_bookmark33">
        <w:r>
          <w:rPr/>
          <w:t>Westbrook</w:t>
        </w:r>
      </w:hyperlink>
      <w:r>
        <w:rPr/>
        <w:t>,</w:t>
      </w:r>
      <w:r>
        <w:rPr>
          <w:spacing w:val="-9"/>
        </w:rPr>
        <w:t> </w:t>
      </w:r>
      <w:hyperlink w:history="true" w:anchor="_bookmark33">
        <w:r>
          <w:rPr/>
          <w:t>2017</w:t>
        </w:r>
      </w:hyperlink>
      <w:r>
        <w:rPr/>
        <w:t>)—it</w:t>
      </w:r>
      <w:r>
        <w:rPr>
          <w:spacing w:val="-9"/>
        </w:rPr>
        <w:t> </w:t>
      </w:r>
      <w:r>
        <w:rPr/>
        <w:t>was</w:t>
      </w:r>
      <w:r>
        <w:rPr>
          <w:spacing w:val="-8"/>
        </w:rPr>
        <w:t> </w:t>
      </w:r>
      <w:r>
        <w:rPr/>
        <w:t>ﬂagged,</w:t>
      </w:r>
      <w:r>
        <w:rPr>
          <w:spacing w:val="-9"/>
        </w:rPr>
        <w:t> </w:t>
      </w:r>
      <w:r>
        <w:rPr/>
        <w:t>albeit</w:t>
      </w:r>
      <w:r>
        <w:rPr>
          <w:spacing w:val="-9"/>
        </w:rPr>
        <w:t> </w:t>
      </w:r>
      <w:r>
        <w:rPr/>
        <w:t>unsuccessfully,</w:t>
      </w:r>
      <w:r>
        <w:rPr>
          <w:spacing w:val="-9"/>
        </w:rPr>
        <w:t> </w:t>
      </w:r>
      <w:r>
        <w:rPr/>
        <w:t>by</w:t>
      </w:r>
      <w:r>
        <w:rPr>
          <w:spacing w:val="-8"/>
        </w:rPr>
        <w:t> </w:t>
      </w:r>
      <w:r>
        <w:rPr/>
        <w:t>one</w:t>
      </w:r>
      <w:r>
        <w:rPr>
          <w:spacing w:val="-9"/>
        </w:rPr>
        <w:t> </w:t>
      </w:r>
      <w:r>
        <w:rPr/>
        <w:t>regulatory</w:t>
      </w:r>
      <w:r>
        <w:rPr>
          <w:spacing w:val="-9"/>
        </w:rPr>
        <w:t> </w:t>
      </w:r>
      <w:r>
        <w:rPr>
          <w:spacing w:val="-3"/>
        </w:rPr>
        <w:t>body.</w:t>
      </w:r>
    </w:p>
    <w:p>
      <w:pPr>
        <w:pStyle w:val="BodyText"/>
      </w:pPr>
    </w:p>
    <w:p>
      <w:pPr>
        <w:pStyle w:val="BodyText"/>
        <w:spacing w:before="9"/>
        <w:rPr>
          <w:sz w:val="15"/>
        </w:rPr>
      </w:pPr>
    </w:p>
    <w:p>
      <w:pPr>
        <w:pStyle w:val="Heading1"/>
        <w:numPr>
          <w:ilvl w:val="0"/>
          <w:numId w:val="1"/>
        </w:numPr>
        <w:tabs>
          <w:tab w:pos="1013" w:val="left" w:leader="none"/>
          <w:tab w:pos="1015" w:val="left" w:leader="none"/>
        </w:tabs>
        <w:spacing w:line="273" w:lineRule="exact" w:before="106" w:after="0"/>
        <w:ind w:left="1014" w:right="0" w:hanging="819"/>
        <w:jc w:val="left"/>
      </w:pPr>
      <w:r>
        <w:rPr/>
        <w:pict>
          <v:line style="position:absolute;mso-position-horizontal-relative:page;mso-position-vertical-relative:paragraph;z-index:-15998976" from="69.269997pt,16.503097pt" to="69.269997pt,6.042097pt" stroked="true" strokeweight=".9963pt" strokecolor="#000000">
            <v:stroke dashstyle="solid"/>
            <w10:wrap type="none"/>
          </v:line>
        </w:pict>
      </w:r>
      <w:bookmarkStart w:name="Strategem 3: Dilute Self-Imposed Rules S" w:id="9"/>
      <w:bookmarkEnd w:id="9"/>
      <w:r>
        <w:rPr>
          <w:b w:val="0"/>
        </w:rPr>
      </w:r>
      <w:bookmarkStart w:name="Strategem 3: Dilute Self-Imposed Rules S" w:id="10"/>
      <w:bookmarkEnd w:id="10"/>
      <w:r>
        <w:rPr>
          <w:spacing w:val="-3"/>
        </w:rPr>
        <w:t>STR</w:t>
      </w:r>
      <w:r>
        <w:rPr>
          <w:spacing w:val="-3"/>
        </w:rPr>
        <w:t>ATEGEM</w:t>
      </w:r>
      <w:r>
        <w:rPr>
          <w:spacing w:val="16"/>
        </w:rPr>
        <w:t> </w:t>
      </w:r>
      <w:r>
        <w:rPr/>
        <w:t>3:</w:t>
      </w:r>
      <w:r>
        <w:rPr>
          <w:spacing w:val="17"/>
        </w:rPr>
        <w:t> </w:t>
      </w:r>
      <w:r>
        <w:rPr/>
        <w:t>DILUTE</w:t>
      </w:r>
      <w:r>
        <w:rPr>
          <w:spacing w:val="17"/>
        </w:rPr>
        <w:t> </w:t>
      </w:r>
      <w:r>
        <w:rPr/>
        <w:t>SELF-IMPOSED</w:t>
      </w:r>
      <w:r>
        <w:rPr>
          <w:spacing w:val="17"/>
        </w:rPr>
        <w:t> </w:t>
      </w:r>
      <w:r>
        <w:rPr/>
        <w:t>RULES</w:t>
      </w:r>
      <w:r>
        <w:rPr>
          <w:spacing w:val="16"/>
        </w:rPr>
        <w:t> </w:t>
      </w:r>
      <w:r>
        <w:rPr/>
        <w:t>SUCH</w:t>
      </w:r>
      <w:r>
        <w:rPr>
          <w:spacing w:val="17"/>
        </w:rPr>
        <w:t> </w:t>
      </w:r>
      <w:r>
        <w:rPr/>
        <w:t>AS</w:t>
      </w:r>
      <w:r>
        <w:rPr>
          <w:spacing w:val="17"/>
        </w:rPr>
        <w:t> </w:t>
      </w:r>
      <w:r>
        <w:rPr/>
        <w:t>DEBT</w:t>
      </w:r>
      <w:r>
        <w:rPr>
          <w:spacing w:val="17"/>
        </w:rPr>
        <w:t> </w:t>
      </w:r>
      <w:r>
        <w:rPr/>
        <w:t>CEILINGS</w:t>
      </w:r>
      <w:r>
        <w:rPr>
          <w:spacing w:val="16"/>
        </w:rPr>
        <w:t> </w:t>
      </w:r>
      <w:r>
        <w:rPr/>
        <w:t>AND</w:t>
      </w:r>
    </w:p>
    <w:p>
      <w:pPr>
        <w:spacing w:before="5"/>
        <w:ind w:left="196" w:right="0" w:firstLine="0"/>
        <w:jc w:val="left"/>
        <w:rPr>
          <w:b/>
          <w:sz w:val="24"/>
        </w:rPr>
      </w:pPr>
      <w:r>
        <w:rPr>
          <w:b/>
          <w:sz w:val="24"/>
        </w:rPr>
        <w:t>COLLATERAL REQUIREMENTS</w:t>
      </w:r>
    </w:p>
    <w:p>
      <w:pPr>
        <w:pStyle w:val="BodyText"/>
        <w:spacing w:line="271" w:lineRule="auto" w:before="260"/>
        <w:ind w:left="196" w:right="119" w:hanging="7"/>
        <w:jc w:val="right"/>
      </w:pPr>
      <w:r>
        <w:rPr/>
        <w:t>The</w:t>
      </w:r>
      <w:r>
        <w:rPr>
          <w:spacing w:val="-5"/>
        </w:rPr>
        <w:t> </w:t>
      </w:r>
      <w:r>
        <w:rPr/>
        <w:t>European</w:t>
      </w:r>
      <w:r>
        <w:rPr>
          <w:spacing w:val="-5"/>
        </w:rPr>
        <w:t> </w:t>
      </w:r>
      <w:r>
        <w:rPr/>
        <w:t>Central</w:t>
      </w:r>
      <w:r>
        <w:rPr>
          <w:spacing w:val="-4"/>
        </w:rPr>
        <w:t> </w:t>
      </w:r>
      <w:r>
        <w:rPr/>
        <w:t>Bank</w:t>
      </w:r>
      <w:r>
        <w:rPr>
          <w:spacing w:val="-5"/>
        </w:rPr>
        <w:t> </w:t>
      </w:r>
      <w:r>
        <w:rPr/>
        <w:t>(ECB)</w:t>
      </w:r>
      <w:r>
        <w:rPr>
          <w:spacing w:val="-5"/>
        </w:rPr>
        <w:t> </w:t>
      </w:r>
      <w:r>
        <w:rPr/>
        <w:t>has</w:t>
      </w:r>
      <w:r>
        <w:rPr>
          <w:spacing w:val="-4"/>
        </w:rPr>
        <w:t> </w:t>
      </w:r>
      <w:r>
        <w:rPr/>
        <w:t>faced</w:t>
      </w:r>
      <w:r>
        <w:rPr>
          <w:spacing w:val="-5"/>
        </w:rPr>
        <w:t> </w:t>
      </w:r>
      <w:r>
        <w:rPr/>
        <w:t>increasing</w:t>
      </w:r>
      <w:r>
        <w:rPr>
          <w:spacing w:val="-5"/>
        </w:rPr>
        <w:t> </w:t>
      </w:r>
      <w:r>
        <w:rPr/>
        <w:t>scrutiny</w:t>
      </w:r>
      <w:r>
        <w:rPr>
          <w:spacing w:val="-4"/>
        </w:rPr>
        <w:t> </w:t>
      </w:r>
      <w:r>
        <w:rPr/>
        <w:t>for</w:t>
      </w:r>
      <w:r>
        <w:rPr>
          <w:spacing w:val="-5"/>
        </w:rPr>
        <w:t> </w:t>
      </w:r>
      <w:r>
        <w:rPr/>
        <w:t>diluting</w:t>
      </w:r>
      <w:r>
        <w:rPr>
          <w:spacing w:val="-5"/>
        </w:rPr>
        <w:t> </w:t>
      </w:r>
      <w:r>
        <w:rPr/>
        <w:t>its</w:t>
      </w:r>
      <w:r>
        <w:rPr>
          <w:spacing w:val="-4"/>
        </w:rPr>
        <w:t> </w:t>
      </w:r>
      <w:r>
        <w:rPr/>
        <w:t>self-imposed</w:t>
      </w:r>
      <w:r>
        <w:rPr>
          <w:spacing w:val="-5"/>
        </w:rPr>
        <w:t> </w:t>
      </w:r>
      <w:r>
        <w:rPr/>
        <w:t>rules,</w:t>
      </w:r>
      <w:r>
        <w:rPr>
          <w:spacing w:val="-5"/>
        </w:rPr>
        <w:t> </w:t>
      </w:r>
      <w:r>
        <w:rPr/>
        <w:t>particularly</w:t>
      </w:r>
      <w:r>
        <w:rPr>
          <w:spacing w:val="-4"/>
        </w:rPr>
        <w:t> </w:t>
      </w:r>
      <w:r>
        <w:rPr/>
        <w:t>regarding</w:t>
      </w:r>
      <w:r>
        <w:rPr>
          <w:spacing w:val="-5"/>
        </w:rPr>
        <w:t> </w:t>
      </w:r>
      <w:r>
        <w:rPr/>
        <w:t>debt</w:t>
      </w:r>
      <w:r>
        <w:rPr>
          <w:w w:val="99"/>
        </w:rPr>
        <w:t> </w:t>
      </w:r>
      <w:r>
        <w:rPr/>
        <w:t>ceilings</w:t>
      </w:r>
      <w:r>
        <w:rPr>
          <w:spacing w:val="7"/>
        </w:rPr>
        <w:t> </w:t>
      </w:r>
      <w:r>
        <w:rPr/>
        <w:t>and</w:t>
      </w:r>
      <w:r>
        <w:rPr>
          <w:spacing w:val="9"/>
        </w:rPr>
        <w:t> </w:t>
      </w:r>
      <w:r>
        <w:rPr/>
        <w:t>collateral</w:t>
      </w:r>
      <w:r>
        <w:rPr>
          <w:spacing w:val="8"/>
        </w:rPr>
        <w:t> </w:t>
      </w:r>
      <w:r>
        <w:rPr/>
        <w:t>requirements.</w:t>
      </w:r>
      <w:r>
        <w:rPr>
          <w:spacing w:val="9"/>
        </w:rPr>
        <w:t> </w:t>
      </w:r>
      <w:r>
        <w:rPr/>
        <w:t>These</w:t>
      </w:r>
      <w:r>
        <w:rPr>
          <w:spacing w:val="8"/>
        </w:rPr>
        <w:t> </w:t>
      </w:r>
      <w:r>
        <w:rPr/>
        <w:t>rules</w:t>
      </w:r>
      <w:r>
        <w:rPr>
          <w:spacing w:val="8"/>
        </w:rPr>
        <w:t> </w:t>
      </w:r>
      <w:r>
        <w:rPr/>
        <w:t>were</w:t>
      </w:r>
      <w:r>
        <w:rPr>
          <w:spacing w:val="8"/>
        </w:rPr>
        <w:t> </w:t>
      </w:r>
      <w:r>
        <w:rPr/>
        <w:t>initially</w:t>
      </w:r>
      <w:r>
        <w:rPr>
          <w:spacing w:val="9"/>
        </w:rPr>
        <w:t> </w:t>
      </w:r>
      <w:r>
        <w:rPr/>
        <w:t>designed</w:t>
      </w:r>
      <w:r>
        <w:rPr>
          <w:spacing w:val="8"/>
        </w:rPr>
        <w:t> </w:t>
      </w:r>
      <w:r>
        <w:rPr/>
        <w:t>to</w:t>
      </w:r>
      <w:r>
        <w:rPr>
          <w:spacing w:val="9"/>
        </w:rPr>
        <w:t> </w:t>
      </w:r>
      <w:r>
        <w:rPr/>
        <w:t>ensure</w:t>
      </w:r>
      <w:r>
        <w:rPr>
          <w:spacing w:val="7"/>
        </w:rPr>
        <w:t> </w:t>
      </w:r>
      <w:r>
        <w:rPr/>
        <w:t>ﬁscal</w:t>
      </w:r>
      <w:r>
        <w:rPr>
          <w:spacing w:val="8"/>
        </w:rPr>
        <w:t> </w:t>
      </w:r>
      <w:r>
        <w:rPr/>
        <w:t>responsibility</w:t>
      </w:r>
      <w:r>
        <w:rPr>
          <w:spacing w:val="9"/>
        </w:rPr>
        <w:t> </w:t>
      </w:r>
      <w:r>
        <w:rPr/>
        <w:t>among</w:t>
      </w:r>
      <w:r>
        <w:rPr>
          <w:spacing w:val="8"/>
        </w:rPr>
        <w:t> </w:t>
      </w:r>
      <w:r>
        <w:rPr/>
        <w:t>member</w:t>
      </w:r>
      <w:r>
        <w:rPr>
          <w:spacing w:val="9"/>
        </w:rPr>
        <w:t> </w:t>
      </w:r>
      <w:r>
        <w:rPr/>
        <w:t>states</w:t>
      </w:r>
      <w:r>
        <w:rPr>
          <w:w w:val="99"/>
        </w:rPr>
        <w:t> </w:t>
      </w:r>
      <w:r>
        <w:rPr/>
        <w:t>and</w:t>
      </w:r>
      <w:r>
        <w:rPr>
          <w:spacing w:val="-9"/>
        </w:rPr>
        <w:t> </w:t>
      </w:r>
      <w:r>
        <w:rPr/>
        <w:t>maintain</w:t>
      </w:r>
      <w:r>
        <w:rPr>
          <w:spacing w:val="-8"/>
        </w:rPr>
        <w:t> </w:t>
      </w:r>
      <w:r>
        <w:rPr/>
        <w:t>ﬁnancial</w:t>
      </w:r>
      <w:r>
        <w:rPr>
          <w:spacing w:val="-9"/>
        </w:rPr>
        <w:t> </w:t>
      </w:r>
      <w:r>
        <w:rPr/>
        <w:t>stability</w:t>
      </w:r>
      <w:r>
        <w:rPr>
          <w:spacing w:val="-8"/>
        </w:rPr>
        <w:t> </w:t>
      </w:r>
      <w:r>
        <w:rPr/>
        <w:t>in</w:t>
      </w:r>
      <w:r>
        <w:rPr>
          <w:spacing w:val="-9"/>
        </w:rPr>
        <w:t> </w:t>
      </w:r>
      <w:r>
        <w:rPr/>
        <w:t>the</w:t>
      </w:r>
      <w:r>
        <w:rPr>
          <w:spacing w:val="-8"/>
        </w:rPr>
        <w:t> </w:t>
      </w:r>
      <w:r>
        <w:rPr/>
        <w:t>Eurozone.</w:t>
      </w:r>
      <w:r>
        <w:rPr>
          <w:spacing w:val="-9"/>
        </w:rPr>
        <w:t> </w:t>
      </w:r>
      <w:r>
        <w:rPr>
          <w:spacing w:val="-3"/>
        </w:rPr>
        <w:t>However,</w:t>
      </w:r>
      <w:r>
        <w:rPr>
          <w:spacing w:val="-8"/>
        </w:rPr>
        <w:t> </w:t>
      </w:r>
      <w:r>
        <w:rPr/>
        <w:t>as</w:t>
      </w:r>
      <w:r>
        <w:rPr>
          <w:spacing w:val="-9"/>
        </w:rPr>
        <w:t> </w:t>
      </w:r>
      <w:r>
        <w:rPr/>
        <w:t>economic</w:t>
      </w:r>
      <w:r>
        <w:rPr>
          <w:spacing w:val="-8"/>
        </w:rPr>
        <w:t> </w:t>
      </w:r>
      <w:r>
        <w:rPr/>
        <w:t>pressures</w:t>
      </w:r>
      <w:r>
        <w:rPr>
          <w:spacing w:val="-9"/>
        </w:rPr>
        <w:t> </w:t>
      </w:r>
      <w:r>
        <w:rPr/>
        <w:t>have</w:t>
      </w:r>
      <w:r>
        <w:rPr>
          <w:spacing w:val="-8"/>
        </w:rPr>
        <w:t> </w:t>
      </w:r>
      <w:r>
        <w:rPr/>
        <w:t>mountedespecially</w:t>
      </w:r>
      <w:r>
        <w:rPr>
          <w:spacing w:val="-9"/>
        </w:rPr>
        <w:t> </w:t>
      </w:r>
      <w:r>
        <w:rPr/>
        <w:t>during</w:t>
      </w:r>
      <w:r>
        <w:rPr>
          <w:spacing w:val="-8"/>
        </w:rPr>
        <w:t> </w:t>
      </w:r>
      <w:r>
        <w:rPr/>
        <w:t>crises</w:t>
      </w:r>
      <w:r>
        <w:rPr>
          <w:spacing w:val="-9"/>
        </w:rPr>
        <w:t> </w:t>
      </w:r>
      <w:r>
        <w:rPr/>
        <w:t>like</w:t>
      </w:r>
      <w:r>
        <w:rPr>
          <w:spacing w:val="-8"/>
        </w:rPr>
        <w:t> </w:t>
      </w:r>
      <w:r>
        <w:rPr/>
        <w:t>the</w:t>
      </w:r>
      <w:r>
        <w:rPr>
          <w:w w:val="99"/>
        </w:rPr>
        <w:t> </w:t>
      </w:r>
      <w:r>
        <w:rPr/>
        <w:t>Eurozone</w:t>
      </w:r>
      <w:r>
        <w:rPr>
          <w:spacing w:val="-7"/>
        </w:rPr>
        <w:t> </w:t>
      </w:r>
      <w:r>
        <w:rPr/>
        <w:t>debt</w:t>
      </w:r>
      <w:r>
        <w:rPr>
          <w:spacing w:val="-7"/>
        </w:rPr>
        <w:t> </w:t>
      </w:r>
      <w:r>
        <w:rPr/>
        <w:t>crisis</w:t>
      </w:r>
      <w:r>
        <w:rPr>
          <w:spacing w:val="-6"/>
        </w:rPr>
        <w:t> </w:t>
      </w:r>
      <w:r>
        <w:rPr/>
        <w:t>and</w:t>
      </w:r>
      <w:r>
        <w:rPr>
          <w:spacing w:val="-7"/>
        </w:rPr>
        <w:t> </w:t>
      </w:r>
      <w:r>
        <w:rPr/>
        <w:t>the</w:t>
      </w:r>
      <w:r>
        <w:rPr>
          <w:spacing w:val="-6"/>
        </w:rPr>
        <w:t> </w:t>
      </w:r>
      <w:r>
        <w:rPr/>
        <w:t>COVID-19</w:t>
      </w:r>
      <w:r>
        <w:rPr>
          <w:spacing w:val="-8"/>
        </w:rPr>
        <w:t> </w:t>
      </w:r>
      <w:r>
        <w:rPr/>
        <w:t>pandemicthe</w:t>
      </w:r>
      <w:r>
        <w:rPr>
          <w:spacing w:val="-6"/>
        </w:rPr>
        <w:t> </w:t>
      </w:r>
      <w:r>
        <w:rPr/>
        <w:t>ECB</w:t>
      </w:r>
      <w:r>
        <w:rPr>
          <w:spacing w:val="-7"/>
        </w:rPr>
        <w:t> </w:t>
      </w:r>
      <w:r>
        <w:rPr/>
        <w:t>has</w:t>
      </w:r>
      <w:r>
        <w:rPr>
          <w:spacing w:val="-6"/>
        </w:rPr>
        <w:t> </w:t>
      </w:r>
      <w:r>
        <w:rPr/>
        <w:t>relaxed</w:t>
      </w:r>
      <w:r>
        <w:rPr>
          <w:spacing w:val="-8"/>
        </w:rPr>
        <w:t> </w:t>
      </w:r>
      <w:r>
        <w:rPr/>
        <w:t>these</w:t>
      </w:r>
      <w:r>
        <w:rPr>
          <w:spacing w:val="-6"/>
        </w:rPr>
        <w:t> </w:t>
      </w:r>
      <w:r>
        <w:rPr/>
        <w:t>rules</w:t>
      </w:r>
      <w:r>
        <w:rPr>
          <w:spacing w:val="-7"/>
        </w:rPr>
        <w:t> </w:t>
      </w:r>
      <w:r>
        <w:rPr/>
        <w:t>to</w:t>
      </w:r>
      <w:r>
        <w:rPr>
          <w:spacing w:val="-6"/>
        </w:rPr>
        <w:t> </w:t>
      </w:r>
      <w:r>
        <w:rPr/>
        <w:t>provide</w:t>
      </w:r>
      <w:r>
        <w:rPr>
          <w:spacing w:val="-8"/>
        </w:rPr>
        <w:t> </w:t>
      </w:r>
      <w:r>
        <w:rPr/>
        <w:t>more</w:t>
      </w:r>
      <w:r>
        <w:rPr>
          <w:spacing w:val="-6"/>
        </w:rPr>
        <w:t> </w:t>
      </w:r>
      <w:r>
        <w:rPr/>
        <w:t>ﬂexibility</w:t>
      </w:r>
      <w:r>
        <w:rPr>
          <w:spacing w:val="-8"/>
        </w:rPr>
        <w:t> </w:t>
      </w:r>
      <w:r>
        <w:rPr/>
        <w:t>to</w:t>
      </w:r>
      <w:r>
        <w:rPr>
          <w:spacing w:val="-6"/>
        </w:rPr>
        <w:t> </w:t>
      </w:r>
      <w:r>
        <w:rPr/>
        <w:t>member</w:t>
      </w:r>
      <w:r>
        <w:rPr>
          <w:spacing w:val="-7"/>
        </w:rPr>
        <w:t> </w:t>
      </w:r>
      <w:r>
        <w:rPr/>
        <w:t>states.</w:t>
      </w:r>
      <w:r>
        <w:rPr>
          <w:w w:val="99"/>
        </w:rPr>
        <w:t> </w:t>
      </w:r>
      <w:r>
        <w:rPr/>
        <w:t>One key area of dilution is the debt-to-GDP ratio. Originally, Eurozone countries were expected to maintain</w:t>
      </w:r>
      <w:r>
        <w:rPr>
          <w:spacing w:val="-19"/>
        </w:rPr>
        <w:t> </w:t>
      </w:r>
      <w:r>
        <w:rPr/>
        <w:t>a</w:t>
      </w:r>
      <w:r>
        <w:rPr>
          <w:spacing w:val="-1"/>
        </w:rPr>
        <w:t> </w:t>
      </w:r>
      <w:r>
        <w:rPr/>
        <w:t>debt-to-GDP</w:t>
      </w:r>
      <w:r>
        <w:rPr>
          <w:w w:val="99"/>
        </w:rPr>
        <w:t> </w:t>
      </w:r>
      <w:r>
        <w:rPr/>
        <w:t>ratio</w:t>
      </w:r>
      <w:r>
        <w:rPr>
          <w:spacing w:val="-11"/>
        </w:rPr>
        <w:t> </w:t>
      </w:r>
      <w:r>
        <w:rPr/>
        <w:t>below</w:t>
      </w:r>
      <w:r>
        <w:rPr>
          <w:spacing w:val="-11"/>
        </w:rPr>
        <w:t> </w:t>
      </w:r>
      <w:r>
        <w:rPr/>
        <w:t>60%,</w:t>
      </w:r>
      <w:r>
        <w:rPr>
          <w:spacing w:val="-11"/>
        </w:rPr>
        <w:t> </w:t>
      </w:r>
      <w:r>
        <w:rPr/>
        <w:t>as</w:t>
      </w:r>
      <w:r>
        <w:rPr>
          <w:spacing w:val="-11"/>
        </w:rPr>
        <w:t> </w:t>
      </w:r>
      <w:r>
        <w:rPr/>
        <w:t>stipulated</w:t>
      </w:r>
      <w:r>
        <w:rPr>
          <w:spacing w:val="-11"/>
        </w:rPr>
        <w:t> </w:t>
      </w:r>
      <w:r>
        <w:rPr/>
        <w:t>by</w:t>
      </w:r>
      <w:r>
        <w:rPr>
          <w:spacing w:val="-10"/>
        </w:rPr>
        <w:t> </w:t>
      </w:r>
      <w:r>
        <w:rPr/>
        <w:t>the</w:t>
      </w:r>
      <w:r>
        <w:rPr>
          <w:spacing w:val="-11"/>
        </w:rPr>
        <w:t> </w:t>
      </w:r>
      <w:r>
        <w:rPr/>
        <w:t>Maastricht</w:t>
      </w:r>
      <w:r>
        <w:rPr>
          <w:spacing w:val="-11"/>
        </w:rPr>
        <w:t> </w:t>
      </w:r>
      <w:r>
        <w:rPr>
          <w:spacing w:val="-3"/>
        </w:rPr>
        <w:t>Treaty.</w:t>
      </w:r>
      <w:r>
        <w:rPr>
          <w:spacing w:val="-11"/>
        </w:rPr>
        <w:t> </w:t>
      </w:r>
      <w:r>
        <w:rPr>
          <w:spacing w:val="-3"/>
        </w:rPr>
        <w:t>However,</w:t>
      </w:r>
      <w:r>
        <w:rPr>
          <w:spacing w:val="-11"/>
        </w:rPr>
        <w:t> </w:t>
      </w:r>
      <w:r>
        <w:rPr/>
        <w:t>many</w:t>
      </w:r>
      <w:r>
        <w:rPr>
          <w:spacing w:val="-10"/>
        </w:rPr>
        <w:t> </w:t>
      </w:r>
      <w:r>
        <w:rPr/>
        <w:t>countries</w:t>
      </w:r>
      <w:r>
        <w:rPr>
          <w:spacing w:val="-11"/>
        </w:rPr>
        <w:t> </w:t>
      </w:r>
      <w:r>
        <w:rPr/>
        <w:t>have</w:t>
      </w:r>
      <w:r>
        <w:rPr>
          <w:spacing w:val="-11"/>
        </w:rPr>
        <w:t> </w:t>
      </w:r>
      <w:r>
        <w:rPr/>
        <w:t>consistently</w:t>
      </w:r>
      <w:r>
        <w:rPr>
          <w:spacing w:val="-11"/>
        </w:rPr>
        <w:t> </w:t>
      </w:r>
      <w:r>
        <w:rPr/>
        <w:t>exceeded</w:t>
      </w:r>
      <w:r>
        <w:rPr>
          <w:spacing w:val="-11"/>
        </w:rPr>
        <w:t> </w:t>
      </w:r>
      <w:r>
        <w:rPr/>
        <w:t>this</w:t>
      </w:r>
      <w:r>
        <w:rPr>
          <w:spacing w:val="-11"/>
        </w:rPr>
        <w:t> </w:t>
      </w:r>
      <w:r>
        <w:rPr/>
        <w:t>limit.</w:t>
      </w:r>
      <w:r>
        <w:rPr>
          <w:spacing w:val="-10"/>
        </w:rPr>
        <w:t> </w:t>
      </w:r>
      <w:r>
        <w:rPr/>
        <w:t>Instead</w:t>
      </w:r>
      <w:r>
        <w:rPr>
          <w:w w:val="99"/>
        </w:rPr>
        <w:t> </w:t>
      </w:r>
      <w:r>
        <w:rPr/>
        <w:t>of</w:t>
      </w:r>
      <w:r>
        <w:rPr>
          <w:spacing w:val="3"/>
        </w:rPr>
        <w:t> </w:t>
      </w:r>
      <w:r>
        <w:rPr/>
        <w:t>enforcing</w:t>
      </w:r>
      <w:r>
        <w:rPr>
          <w:spacing w:val="4"/>
        </w:rPr>
        <w:t> </w:t>
      </w:r>
      <w:r>
        <w:rPr/>
        <w:t>strict</w:t>
      </w:r>
      <w:r>
        <w:rPr>
          <w:spacing w:val="4"/>
        </w:rPr>
        <w:t> </w:t>
      </w:r>
      <w:r>
        <w:rPr/>
        <w:t>penalties,</w:t>
      </w:r>
      <w:r>
        <w:rPr>
          <w:spacing w:val="4"/>
        </w:rPr>
        <w:t> </w:t>
      </w:r>
      <w:r>
        <w:rPr/>
        <w:t>the</w:t>
      </w:r>
      <w:r>
        <w:rPr>
          <w:spacing w:val="4"/>
        </w:rPr>
        <w:t> </w:t>
      </w:r>
      <w:r>
        <w:rPr/>
        <w:t>ECB</w:t>
      </w:r>
      <w:r>
        <w:rPr>
          <w:spacing w:val="4"/>
        </w:rPr>
        <w:t> </w:t>
      </w:r>
      <w:r>
        <w:rPr/>
        <w:t>has</w:t>
      </w:r>
      <w:r>
        <w:rPr>
          <w:spacing w:val="4"/>
        </w:rPr>
        <w:t> </w:t>
      </w:r>
      <w:r>
        <w:rPr/>
        <w:t>allowed</w:t>
      </w:r>
      <w:r>
        <w:rPr>
          <w:spacing w:val="3"/>
        </w:rPr>
        <w:t> </w:t>
      </w:r>
      <w:r>
        <w:rPr/>
        <w:t>more</w:t>
      </w:r>
      <w:r>
        <w:rPr>
          <w:spacing w:val="4"/>
        </w:rPr>
        <w:t> </w:t>
      </w:r>
      <w:r>
        <w:rPr/>
        <w:t>leniency,</w:t>
      </w:r>
      <w:r>
        <w:rPr>
          <w:spacing w:val="4"/>
        </w:rPr>
        <w:t> </w:t>
      </w:r>
      <w:r>
        <w:rPr/>
        <w:t>fearing</w:t>
      </w:r>
      <w:r>
        <w:rPr>
          <w:spacing w:val="4"/>
        </w:rPr>
        <w:t> </w:t>
      </w:r>
      <w:r>
        <w:rPr/>
        <w:t>that</w:t>
      </w:r>
      <w:r>
        <w:rPr>
          <w:spacing w:val="4"/>
        </w:rPr>
        <w:t> </w:t>
      </w:r>
      <w:r>
        <w:rPr/>
        <w:t>rigid</w:t>
      </w:r>
      <w:r>
        <w:rPr>
          <w:spacing w:val="4"/>
        </w:rPr>
        <w:t> </w:t>
      </w:r>
      <w:r>
        <w:rPr/>
        <w:t>adherence</w:t>
      </w:r>
      <w:r>
        <w:rPr>
          <w:spacing w:val="4"/>
        </w:rPr>
        <w:t> </w:t>
      </w:r>
      <w:r>
        <w:rPr/>
        <w:t>to</w:t>
      </w:r>
      <w:r>
        <w:rPr>
          <w:spacing w:val="4"/>
        </w:rPr>
        <w:t> </w:t>
      </w:r>
      <w:r>
        <w:rPr/>
        <w:t>these</w:t>
      </w:r>
      <w:r>
        <w:rPr>
          <w:spacing w:val="3"/>
        </w:rPr>
        <w:t> </w:t>
      </w:r>
      <w:r>
        <w:rPr/>
        <w:t>rules</w:t>
      </w:r>
      <w:r>
        <w:rPr>
          <w:spacing w:val="4"/>
        </w:rPr>
        <w:t> </w:t>
      </w:r>
      <w:r>
        <w:rPr/>
        <w:t>could</w:t>
      </w:r>
      <w:r>
        <w:rPr>
          <w:spacing w:val="4"/>
        </w:rPr>
        <w:t> </w:t>
      </w:r>
      <w:r>
        <w:rPr/>
        <w:t>exacerbate</w:t>
      </w:r>
    </w:p>
    <w:p>
      <w:pPr>
        <w:pStyle w:val="BodyText"/>
        <w:spacing w:line="224" w:lineRule="exact"/>
        <w:ind w:left="196"/>
        <w:jc w:val="both"/>
      </w:pPr>
      <w:r>
        <w:rPr/>
        <w:t>economic downturns and stiﬂe growth.</w:t>
      </w:r>
    </w:p>
    <w:p>
      <w:pPr>
        <w:pStyle w:val="BodyText"/>
        <w:spacing w:line="271" w:lineRule="auto" w:before="29"/>
        <w:ind w:left="190" w:right="119" w:firstLine="205"/>
        <w:jc w:val="both"/>
      </w:pPr>
      <w:r>
        <w:rPr/>
        <w:t>Additionally,</w:t>
      </w:r>
      <w:r>
        <w:rPr>
          <w:spacing w:val="-4"/>
        </w:rPr>
        <w:t> </w:t>
      </w:r>
      <w:r>
        <w:rPr/>
        <w:t>the</w:t>
      </w:r>
      <w:r>
        <w:rPr>
          <w:spacing w:val="-3"/>
        </w:rPr>
        <w:t> </w:t>
      </w:r>
      <w:r>
        <w:rPr/>
        <w:t>ECB</w:t>
      </w:r>
      <w:r>
        <w:rPr>
          <w:spacing w:val="-4"/>
        </w:rPr>
        <w:t> </w:t>
      </w:r>
      <w:r>
        <w:rPr/>
        <w:t>has</w:t>
      </w:r>
      <w:r>
        <w:rPr>
          <w:spacing w:val="-4"/>
        </w:rPr>
        <w:t> </w:t>
      </w:r>
      <w:r>
        <w:rPr/>
        <w:t>relaxed</w:t>
      </w:r>
      <w:r>
        <w:rPr>
          <w:spacing w:val="-4"/>
        </w:rPr>
        <w:t> </w:t>
      </w:r>
      <w:r>
        <w:rPr/>
        <w:t>collateral</w:t>
      </w:r>
      <w:r>
        <w:rPr>
          <w:spacing w:val="-4"/>
        </w:rPr>
        <w:t> </w:t>
      </w:r>
      <w:r>
        <w:rPr/>
        <w:t>requirements,</w:t>
      </w:r>
      <w:r>
        <w:rPr>
          <w:spacing w:val="-3"/>
        </w:rPr>
        <w:t> </w:t>
      </w:r>
      <w:r>
        <w:rPr/>
        <w:t>allowing</w:t>
      </w:r>
      <w:r>
        <w:rPr>
          <w:spacing w:val="-4"/>
        </w:rPr>
        <w:t> </w:t>
      </w:r>
      <w:r>
        <w:rPr/>
        <w:t>banks</w:t>
      </w:r>
      <w:r>
        <w:rPr>
          <w:spacing w:val="-3"/>
        </w:rPr>
        <w:t> </w:t>
      </w:r>
      <w:r>
        <w:rPr/>
        <w:t>to</w:t>
      </w:r>
      <w:r>
        <w:rPr>
          <w:spacing w:val="-4"/>
        </w:rPr>
        <w:t> </w:t>
      </w:r>
      <w:r>
        <w:rPr/>
        <w:t>use</w:t>
      </w:r>
      <w:r>
        <w:rPr>
          <w:spacing w:val="-3"/>
        </w:rPr>
        <w:t> </w:t>
      </w:r>
      <w:r>
        <w:rPr/>
        <w:t>riskier</w:t>
      </w:r>
      <w:r>
        <w:rPr>
          <w:spacing w:val="-4"/>
        </w:rPr>
        <w:t> </w:t>
      </w:r>
      <w:r>
        <w:rPr/>
        <w:t>assets</w:t>
      </w:r>
      <w:r>
        <w:rPr>
          <w:spacing w:val="-3"/>
        </w:rPr>
        <w:t> </w:t>
      </w:r>
      <w:r>
        <w:rPr/>
        <w:t>as</w:t>
      </w:r>
      <w:r>
        <w:rPr>
          <w:spacing w:val="-4"/>
        </w:rPr>
        <w:t> </w:t>
      </w:r>
      <w:r>
        <w:rPr/>
        <w:t>collateral</w:t>
      </w:r>
      <w:r>
        <w:rPr>
          <w:spacing w:val="-3"/>
        </w:rPr>
        <w:t> </w:t>
      </w:r>
      <w:r>
        <w:rPr/>
        <w:t>for</w:t>
      </w:r>
      <w:r>
        <w:rPr>
          <w:spacing w:val="-4"/>
        </w:rPr>
        <w:t> </w:t>
      </w:r>
      <w:r>
        <w:rPr/>
        <w:t>loans.</w:t>
      </w:r>
      <w:r>
        <w:rPr>
          <w:spacing w:val="-3"/>
        </w:rPr>
        <w:t> </w:t>
      </w:r>
      <w:r>
        <w:rPr/>
        <w:t>While this move aims to ensure liquidity in the ﬁnancial system, it also raises questions about the quality of assets being accepted. This leniency has been accompanied by the </w:t>
      </w:r>
      <w:r>
        <w:rPr>
          <w:spacing w:val="-3"/>
        </w:rPr>
        <w:t>ECB’s </w:t>
      </w:r>
      <w:r>
        <w:rPr/>
        <w:t>practice of indirect monetization of budget deﬁcits, by buying government debt on secondary markets. Some fear that by allowing questionable collateral, the ECB is taking on excessive risk, which could lead to ﬁnancial instability if these assets fail to</w:t>
      </w:r>
      <w:r>
        <w:rPr>
          <w:spacing w:val="-12"/>
        </w:rPr>
        <w:t> </w:t>
      </w:r>
      <w:r>
        <w:rPr/>
        <w:t>perform.</w:t>
      </w:r>
    </w:p>
    <w:p>
      <w:pPr>
        <w:spacing w:line="271" w:lineRule="auto" w:before="0"/>
        <w:ind w:left="118" w:right="119" w:firstLine="276"/>
        <w:jc w:val="both"/>
        <w:rPr>
          <w:i/>
          <w:sz w:val="20"/>
        </w:rPr>
      </w:pPr>
      <w:r>
        <w:rPr>
          <w:sz w:val="20"/>
        </w:rPr>
        <w:t>Here is a quote from an article published by The Brookings Institution (</w:t>
      </w:r>
      <w:hyperlink w:history="true" w:anchor="_bookmark3">
        <w:r>
          <w:rPr>
            <w:sz w:val="20"/>
          </w:rPr>
          <w:t>Belz, Cheng, </w:t>
        </w:r>
        <w:r>
          <w:rPr>
            <w:spacing w:val="-3"/>
            <w:sz w:val="20"/>
          </w:rPr>
          <w:t>Wessel, </w:t>
        </w:r>
        <w:r>
          <w:rPr>
            <w:sz w:val="20"/>
          </w:rPr>
          <w:t>Gros, &amp; Capolongo</w:t>
        </w:r>
      </w:hyperlink>
      <w:r>
        <w:rPr>
          <w:sz w:val="20"/>
        </w:rPr>
        <w:t>, </w:t>
      </w:r>
      <w:hyperlink w:history="true" w:anchor="_bookmark3">
        <w:r>
          <w:rPr>
            <w:sz w:val="20"/>
          </w:rPr>
          <w:t>2020</w:t>
        </w:r>
      </w:hyperlink>
      <w:r>
        <w:rPr>
          <w:sz w:val="20"/>
        </w:rPr>
        <w:t>): </w:t>
      </w:r>
      <w:r>
        <w:rPr>
          <w:i/>
          <w:sz w:val="20"/>
        </w:rPr>
        <w:t>“The</w:t>
      </w:r>
      <w:r>
        <w:rPr>
          <w:i/>
          <w:spacing w:val="-9"/>
          <w:sz w:val="20"/>
        </w:rPr>
        <w:t> </w:t>
      </w:r>
      <w:r>
        <w:rPr>
          <w:i/>
          <w:sz w:val="20"/>
        </w:rPr>
        <w:t>ECB</w:t>
      </w:r>
      <w:r>
        <w:rPr>
          <w:i/>
          <w:spacing w:val="-8"/>
          <w:sz w:val="20"/>
        </w:rPr>
        <w:t> </w:t>
      </w:r>
      <w:r>
        <w:rPr>
          <w:i/>
          <w:sz w:val="20"/>
        </w:rPr>
        <w:t>now</w:t>
      </w:r>
      <w:r>
        <w:rPr>
          <w:i/>
          <w:spacing w:val="-8"/>
          <w:sz w:val="20"/>
        </w:rPr>
        <w:t> </w:t>
      </w:r>
      <w:r>
        <w:rPr>
          <w:i/>
          <w:sz w:val="20"/>
        </w:rPr>
        <w:t>accepts</w:t>
      </w:r>
      <w:r>
        <w:rPr>
          <w:i/>
          <w:spacing w:val="-8"/>
          <w:sz w:val="20"/>
        </w:rPr>
        <w:t> </w:t>
      </w:r>
      <w:r>
        <w:rPr>
          <w:i/>
          <w:sz w:val="20"/>
        </w:rPr>
        <w:t>as</w:t>
      </w:r>
      <w:r>
        <w:rPr>
          <w:i/>
          <w:spacing w:val="-8"/>
          <w:sz w:val="20"/>
        </w:rPr>
        <w:t> </w:t>
      </w:r>
      <w:r>
        <w:rPr>
          <w:i/>
          <w:sz w:val="20"/>
        </w:rPr>
        <w:t>collateral</w:t>
      </w:r>
      <w:r>
        <w:rPr>
          <w:i/>
          <w:spacing w:val="-8"/>
          <w:sz w:val="20"/>
        </w:rPr>
        <w:t> </w:t>
      </w:r>
      <w:r>
        <w:rPr>
          <w:i/>
          <w:sz w:val="20"/>
        </w:rPr>
        <w:t>an</w:t>
      </w:r>
      <w:r>
        <w:rPr>
          <w:i/>
          <w:spacing w:val="-8"/>
          <w:sz w:val="20"/>
        </w:rPr>
        <w:t> </w:t>
      </w:r>
      <w:r>
        <w:rPr>
          <w:i/>
          <w:sz w:val="20"/>
        </w:rPr>
        <w:t>expanded</w:t>
      </w:r>
      <w:r>
        <w:rPr>
          <w:i/>
          <w:spacing w:val="-8"/>
          <w:sz w:val="20"/>
        </w:rPr>
        <w:t> </w:t>
      </w:r>
      <w:r>
        <w:rPr>
          <w:i/>
          <w:sz w:val="20"/>
        </w:rPr>
        <w:t>set</w:t>
      </w:r>
      <w:r>
        <w:rPr>
          <w:i/>
          <w:spacing w:val="-8"/>
          <w:sz w:val="20"/>
        </w:rPr>
        <w:t> </w:t>
      </w:r>
      <w:r>
        <w:rPr>
          <w:i/>
          <w:sz w:val="20"/>
        </w:rPr>
        <w:t>of</w:t>
      </w:r>
      <w:r>
        <w:rPr>
          <w:i/>
          <w:spacing w:val="-8"/>
          <w:sz w:val="20"/>
        </w:rPr>
        <w:t> </w:t>
      </w:r>
      <w:r>
        <w:rPr>
          <w:i/>
          <w:sz w:val="20"/>
        </w:rPr>
        <w:t>non-marketable</w:t>
      </w:r>
      <w:r>
        <w:rPr>
          <w:i/>
          <w:spacing w:val="-8"/>
          <w:sz w:val="20"/>
        </w:rPr>
        <w:t> </w:t>
      </w:r>
      <w:r>
        <w:rPr>
          <w:i/>
          <w:sz w:val="20"/>
        </w:rPr>
        <w:t>assets—including</w:t>
      </w:r>
      <w:r>
        <w:rPr>
          <w:i/>
          <w:spacing w:val="-8"/>
          <w:sz w:val="20"/>
        </w:rPr>
        <w:t> </w:t>
      </w:r>
      <w:r>
        <w:rPr>
          <w:i/>
          <w:sz w:val="20"/>
        </w:rPr>
        <w:t>government</w:t>
      </w:r>
      <w:r>
        <w:rPr>
          <w:i/>
          <w:spacing w:val="-8"/>
          <w:sz w:val="20"/>
        </w:rPr>
        <w:t> </w:t>
      </w:r>
      <w:r>
        <w:rPr>
          <w:i/>
          <w:sz w:val="20"/>
        </w:rPr>
        <w:t>guaranteed</w:t>
      </w:r>
      <w:r>
        <w:rPr>
          <w:i/>
          <w:spacing w:val="-8"/>
          <w:sz w:val="20"/>
        </w:rPr>
        <w:t> </w:t>
      </w:r>
      <w:r>
        <w:rPr>
          <w:i/>
          <w:sz w:val="20"/>
        </w:rPr>
        <w:t>loans,</w:t>
      </w:r>
      <w:r>
        <w:rPr>
          <w:i/>
          <w:spacing w:val="-8"/>
          <w:sz w:val="20"/>
        </w:rPr>
        <w:t> </w:t>
      </w:r>
      <w:r>
        <w:rPr>
          <w:i/>
          <w:sz w:val="20"/>
        </w:rPr>
        <w:t>lower </w:t>
      </w:r>
      <w:r>
        <w:rPr>
          <w:i/>
          <w:sz w:val="20"/>
        </w:rPr>
        <w:t>quality loans, and small business loans—that </w:t>
      </w:r>
      <w:r>
        <w:rPr>
          <w:i/>
          <w:spacing w:val="-3"/>
          <w:sz w:val="20"/>
        </w:rPr>
        <w:t>are </w:t>
      </w:r>
      <w:r>
        <w:rPr>
          <w:i/>
          <w:sz w:val="20"/>
        </w:rPr>
        <w:t>outside of the general framework. It also granted waivers to Greek sovereign debt,</w:t>
      </w:r>
      <w:r>
        <w:rPr>
          <w:i/>
          <w:spacing w:val="-9"/>
          <w:sz w:val="20"/>
        </w:rPr>
        <w:t> </w:t>
      </w:r>
      <w:r>
        <w:rPr>
          <w:i/>
          <w:sz w:val="20"/>
        </w:rPr>
        <w:t>which,</w:t>
      </w:r>
      <w:r>
        <w:rPr>
          <w:i/>
          <w:spacing w:val="-9"/>
          <w:sz w:val="20"/>
        </w:rPr>
        <w:t> </w:t>
      </w:r>
      <w:r>
        <w:rPr>
          <w:i/>
          <w:sz w:val="20"/>
        </w:rPr>
        <w:t>because</w:t>
      </w:r>
      <w:r>
        <w:rPr>
          <w:i/>
          <w:spacing w:val="-9"/>
          <w:sz w:val="20"/>
        </w:rPr>
        <w:t> </w:t>
      </w:r>
      <w:r>
        <w:rPr>
          <w:i/>
          <w:sz w:val="20"/>
        </w:rPr>
        <w:t>of</w:t>
      </w:r>
      <w:r>
        <w:rPr>
          <w:i/>
          <w:spacing w:val="-8"/>
          <w:sz w:val="20"/>
        </w:rPr>
        <w:t> </w:t>
      </w:r>
      <w:r>
        <w:rPr>
          <w:i/>
          <w:sz w:val="20"/>
        </w:rPr>
        <w:t>its</w:t>
      </w:r>
      <w:r>
        <w:rPr>
          <w:i/>
          <w:spacing w:val="-9"/>
          <w:sz w:val="20"/>
        </w:rPr>
        <w:t> </w:t>
      </w:r>
      <w:r>
        <w:rPr>
          <w:i/>
          <w:sz w:val="20"/>
        </w:rPr>
        <w:t>non-investment</w:t>
      </w:r>
      <w:r>
        <w:rPr>
          <w:i/>
          <w:spacing w:val="-9"/>
          <w:sz w:val="20"/>
        </w:rPr>
        <w:t> </w:t>
      </w:r>
      <w:r>
        <w:rPr>
          <w:i/>
          <w:sz w:val="20"/>
        </w:rPr>
        <w:t>grade</w:t>
      </w:r>
      <w:r>
        <w:rPr>
          <w:i/>
          <w:spacing w:val="-8"/>
          <w:sz w:val="20"/>
        </w:rPr>
        <w:t> </w:t>
      </w:r>
      <w:r>
        <w:rPr>
          <w:i/>
          <w:sz w:val="20"/>
        </w:rPr>
        <w:t>status,</w:t>
      </w:r>
      <w:r>
        <w:rPr>
          <w:i/>
          <w:spacing w:val="-9"/>
          <w:sz w:val="20"/>
        </w:rPr>
        <w:t> </w:t>
      </w:r>
      <w:r>
        <w:rPr>
          <w:i/>
          <w:sz w:val="20"/>
        </w:rPr>
        <w:t>was</w:t>
      </w:r>
      <w:r>
        <w:rPr>
          <w:i/>
          <w:spacing w:val="-9"/>
          <w:sz w:val="20"/>
        </w:rPr>
        <w:t> </w:t>
      </w:r>
      <w:r>
        <w:rPr>
          <w:i/>
          <w:sz w:val="20"/>
        </w:rPr>
        <w:t>not</w:t>
      </w:r>
      <w:r>
        <w:rPr>
          <w:i/>
          <w:spacing w:val="-8"/>
          <w:sz w:val="20"/>
        </w:rPr>
        <w:t> </w:t>
      </w:r>
      <w:r>
        <w:rPr>
          <w:i/>
          <w:sz w:val="20"/>
        </w:rPr>
        <w:t>previously</w:t>
      </w:r>
      <w:r>
        <w:rPr>
          <w:i/>
          <w:spacing w:val="-9"/>
          <w:sz w:val="20"/>
        </w:rPr>
        <w:t> </w:t>
      </w:r>
      <w:r>
        <w:rPr>
          <w:i/>
          <w:sz w:val="20"/>
        </w:rPr>
        <w:t>considered</w:t>
      </w:r>
      <w:r>
        <w:rPr>
          <w:i/>
          <w:spacing w:val="-9"/>
          <w:sz w:val="20"/>
        </w:rPr>
        <w:t> </w:t>
      </w:r>
      <w:r>
        <w:rPr>
          <w:i/>
          <w:sz w:val="20"/>
        </w:rPr>
        <w:t>eligible</w:t>
      </w:r>
      <w:r>
        <w:rPr>
          <w:i/>
          <w:spacing w:val="-8"/>
          <w:sz w:val="20"/>
        </w:rPr>
        <w:t> </w:t>
      </w:r>
      <w:r>
        <w:rPr>
          <w:i/>
          <w:sz w:val="20"/>
        </w:rPr>
        <w:t>collateral.</w:t>
      </w:r>
      <w:r>
        <w:rPr>
          <w:i/>
          <w:spacing w:val="-9"/>
          <w:sz w:val="20"/>
        </w:rPr>
        <w:t> </w:t>
      </w:r>
      <w:r>
        <w:rPr>
          <w:i/>
          <w:spacing w:val="-3"/>
          <w:sz w:val="20"/>
        </w:rPr>
        <w:t>‘Fallen</w:t>
      </w:r>
      <w:r>
        <w:rPr>
          <w:i/>
          <w:spacing w:val="-9"/>
          <w:sz w:val="20"/>
        </w:rPr>
        <w:t> </w:t>
      </w:r>
      <w:r>
        <w:rPr>
          <w:i/>
          <w:sz w:val="20"/>
        </w:rPr>
        <w:t>angel’</w:t>
      </w:r>
      <w:r>
        <w:rPr>
          <w:i/>
          <w:spacing w:val="-8"/>
          <w:sz w:val="20"/>
        </w:rPr>
        <w:t> </w:t>
      </w:r>
      <w:r>
        <w:rPr>
          <w:i/>
          <w:sz w:val="20"/>
        </w:rPr>
        <w:t>bonds, those</w:t>
      </w:r>
      <w:r>
        <w:rPr>
          <w:i/>
          <w:spacing w:val="-12"/>
          <w:sz w:val="20"/>
        </w:rPr>
        <w:t> </w:t>
      </w:r>
      <w:r>
        <w:rPr>
          <w:i/>
          <w:sz w:val="20"/>
        </w:rPr>
        <w:t>that</w:t>
      </w:r>
      <w:r>
        <w:rPr>
          <w:i/>
          <w:spacing w:val="-11"/>
          <w:sz w:val="20"/>
        </w:rPr>
        <w:t> </w:t>
      </w:r>
      <w:r>
        <w:rPr>
          <w:i/>
          <w:sz w:val="20"/>
        </w:rPr>
        <w:t>have</w:t>
      </w:r>
      <w:r>
        <w:rPr>
          <w:i/>
          <w:spacing w:val="-11"/>
          <w:sz w:val="20"/>
        </w:rPr>
        <w:t> </w:t>
      </w:r>
      <w:r>
        <w:rPr>
          <w:i/>
          <w:sz w:val="20"/>
        </w:rPr>
        <w:t>recently</w:t>
      </w:r>
      <w:r>
        <w:rPr>
          <w:i/>
          <w:spacing w:val="-12"/>
          <w:sz w:val="20"/>
        </w:rPr>
        <w:t> </w:t>
      </w:r>
      <w:r>
        <w:rPr>
          <w:i/>
          <w:sz w:val="20"/>
        </w:rPr>
        <w:t>lost</w:t>
      </w:r>
      <w:r>
        <w:rPr>
          <w:i/>
          <w:spacing w:val="-11"/>
          <w:sz w:val="20"/>
        </w:rPr>
        <w:t> </w:t>
      </w:r>
      <w:r>
        <w:rPr>
          <w:i/>
          <w:sz w:val="20"/>
        </w:rPr>
        <w:t>their</w:t>
      </w:r>
      <w:r>
        <w:rPr>
          <w:i/>
          <w:spacing w:val="-11"/>
          <w:sz w:val="20"/>
        </w:rPr>
        <w:t> </w:t>
      </w:r>
      <w:r>
        <w:rPr>
          <w:i/>
          <w:sz w:val="20"/>
        </w:rPr>
        <w:t>investment-grade</w:t>
      </w:r>
      <w:r>
        <w:rPr>
          <w:i/>
          <w:spacing w:val="-12"/>
          <w:sz w:val="20"/>
        </w:rPr>
        <w:t> </w:t>
      </w:r>
      <w:r>
        <w:rPr>
          <w:i/>
          <w:sz w:val="20"/>
        </w:rPr>
        <w:t>rating,</w:t>
      </w:r>
      <w:r>
        <w:rPr>
          <w:i/>
          <w:spacing w:val="-11"/>
          <w:sz w:val="20"/>
        </w:rPr>
        <w:t> </w:t>
      </w:r>
      <w:r>
        <w:rPr>
          <w:i/>
          <w:spacing w:val="-3"/>
          <w:sz w:val="20"/>
        </w:rPr>
        <w:t>are</w:t>
      </w:r>
      <w:r>
        <w:rPr>
          <w:i/>
          <w:spacing w:val="-11"/>
          <w:sz w:val="20"/>
        </w:rPr>
        <w:t> </w:t>
      </w:r>
      <w:r>
        <w:rPr>
          <w:i/>
          <w:sz w:val="20"/>
        </w:rPr>
        <w:t>now</w:t>
      </w:r>
      <w:r>
        <w:rPr>
          <w:i/>
          <w:spacing w:val="-11"/>
          <w:sz w:val="20"/>
        </w:rPr>
        <w:t> </w:t>
      </w:r>
      <w:r>
        <w:rPr>
          <w:i/>
          <w:sz w:val="20"/>
        </w:rPr>
        <w:t>accepted</w:t>
      </w:r>
      <w:r>
        <w:rPr>
          <w:i/>
          <w:spacing w:val="-11"/>
          <w:sz w:val="20"/>
        </w:rPr>
        <w:t> </w:t>
      </w:r>
      <w:r>
        <w:rPr>
          <w:i/>
          <w:sz w:val="20"/>
        </w:rPr>
        <w:t>as</w:t>
      </w:r>
      <w:r>
        <w:rPr>
          <w:i/>
          <w:spacing w:val="-11"/>
          <w:sz w:val="20"/>
        </w:rPr>
        <w:t> </w:t>
      </w:r>
      <w:r>
        <w:rPr>
          <w:i/>
          <w:sz w:val="20"/>
        </w:rPr>
        <w:t>collateral</w:t>
      </w:r>
      <w:r>
        <w:rPr>
          <w:i/>
          <w:spacing w:val="-11"/>
          <w:sz w:val="20"/>
        </w:rPr>
        <w:t> </w:t>
      </w:r>
      <w:r>
        <w:rPr>
          <w:i/>
          <w:sz w:val="20"/>
        </w:rPr>
        <w:t>as</w:t>
      </w:r>
      <w:r>
        <w:rPr>
          <w:i/>
          <w:spacing w:val="-11"/>
          <w:sz w:val="20"/>
        </w:rPr>
        <w:t> </w:t>
      </w:r>
      <w:r>
        <w:rPr>
          <w:i/>
          <w:sz w:val="20"/>
        </w:rPr>
        <w:t>well.</w:t>
      </w:r>
      <w:r>
        <w:rPr>
          <w:i/>
          <w:spacing w:val="-11"/>
          <w:sz w:val="20"/>
        </w:rPr>
        <w:t> </w:t>
      </w:r>
      <w:r>
        <w:rPr>
          <w:i/>
          <w:sz w:val="20"/>
        </w:rPr>
        <w:t>In</w:t>
      </w:r>
      <w:r>
        <w:rPr>
          <w:i/>
          <w:spacing w:val="-12"/>
          <w:sz w:val="20"/>
        </w:rPr>
        <w:t> </w:t>
      </w:r>
      <w:r>
        <w:rPr>
          <w:i/>
          <w:sz w:val="20"/>
        </w:rPr>
        <w:t>addition,</w:t>
      </w:r>
      <w:r>
        <w:rPr>
          <w:i/>
          <w:spacing w:val="-11"/>
          <w:sz w:val="20"/>
        </w:rPr>
        <w:t> </w:t>
      </w:r>
      <w:r>
        <w:rPr>
          <w:i/>
          <w:sz w:val="20"/>
        </w:rPr>
        <w:t>the</w:t>
      </w:r>
      <w:r>
        <w:rPr>
          <w:i/>
          <w:spacing w:val="-11"/>
          <w:sz w:val="20"/>
        </w:rPr>
        <w:t> </w:t>
      </w:r>
      <w:r>
        <w:rPr>
          <w:i/>
          <w:sz w:val="20"/>
        </w:rPr>
        <w:t>ECB</w:t>
      </w:r>
      <w:r>
        <w:rPr>
          <w:i/>
          <w:spacing w:val="-11"/>
          <w:sz w:val="20"/>
        </w:rPr>
        <w:t> </w:t>
      </w:r>
      <w:r>
        <w:rPr>
          <w:i/>
          <w:sz w:val="20"/>
        </w:rPr>
        <w:t>reduced haircuts, the amount of collateral required in excess of the loan amount, for its lending programs. In effect, the ECB decided that it is willing to temporarily increase its risk tolerance so banks can access the ECB’s liquidity</w:t>
      </w:r>
      <w:r>
        <w:rPr>
          <w:i/>
          <w:spacing w:val="-35"/>
          <w:sz w:val="20"/>
        </w:rPr>
        <w:t> </w:t>
      </w:r>
      <w:r>
        <w:rPr>
          <w:i/>
          <w:spacing w:val="-3"/>
          <w:sz w:val="20"/>
        </w:rPr>
        <w:t>operations.”</w:t>
      </w:r>
    </w:p>
    <w:p>
      <w:pPr>
        <w:pStyle w:val="BodyText"/>
        <w:spacing w:line="271" w:lineRule="auto"/>
        <w:ind w:left="196" w:right="154" w:firstLine="199"/>
        <w:jc w:val="both"/>
      </w:pPr>
      <w:r>
        <w:rPr/>
        <w:t>At</w:t>
      </w:r>
      <w:r>
        <w:rPr>
          <w:spacing w:val="-6"/>
        </w:rPr>
        <w:t> </w:t>
      </w:r>
      <w:r>
        <w:rPr/>
        <w:t>the</w:t>
      </w:r>
      <w:r>
        <w:rPr>
          <w:spacing w:val="-5"/>
        </w:rPr>
        <w:t> </w:t>
      </w:r>
      <w:r>
        <w:rPr/>
        <w:t>moment,</w:t>
      </w:r>
      <w:r>
        <w:rPr>
          <w:spacing w:val="-5"/>
        </w:rPr>
        <w:t> </w:t>
      </w:r>
      <w:r>
        <w:rPr/>
        <w:t>the</w:t>
      </w:r>
      <w:r>
        <w:rPr>
          <w:spacing w:val="-5"/>
        </w:rPr>
        <w:t> </w:t>
      </w:r>
      <w:r>
        <w:rPr/>
        <w:t>central</w:t>
      </w:r>
      <w:r>
        <w:rPr>
          <w:spacing w:val="-5"/>
        </w:rPr>
        <w:t> </w:t>
      </w:r>
      <w:r>
        <w:rPr/>
        <w:t>banks</w:t>
      </w:r>
      <w:r>
        <w:rPr>
          <w:spacing w:val="-5"/>
        </w:rPr>
        <w:t> </w:t>
      </w:r>
      <w:r>
        <w:rPr/>
        <w:t>hold</w:t>
      </w:r>
      <w:r>
        <w:rPr>
          <w:spacing w:val="-5"/>
        </w:rPr>
        <w:t> </w:t>
      </w:r>
      <w:r>
        <w:rPr/>
        <w:t>about</w:t>
      </w:r>
      <w:r>
        <w:rPr>
          <w:spacing w:val="-5"/>
        </w:rPr>
        <w:t> </w:t>
      </w:r>
      <w:r>
        <w:rPr/>
        <w:t>one</w:t>
      </w:r>
      <w:r>
        <w:rPr>
          <w:spacing w:val="-5"/>
        </w:rPr>
        <w:t> </w:t>
      </w:r>
      <w:r>
        <w:rPr/>
        <w:t>third</w:t>
      </w:r>
      <w:r>
        <w:rPr>
          <w:spacing w:val="-5"/>
        </w:rPr>
        <w:t> </w:t>
      </w:r>
      <w:r>
        <w:rPr/>
        <w:t>of</w:t>
      </w:r>
      <w:r>
        <w:rPr>
          <w:spacing w:val="-5"/>
        </w:rPr>
        <w:t> </w:t>
      </w:r>
      <w:r>
        <w:rPr/>
        <w:t>the</w:t>
      </w:r>
      <w:r>
        <w:rPr>
          <w:spacing w:val="-5"/>
        </w:rPr>
        <w:t> </w:t>
      </w:r>
      <w:r>
        <w:rPr/>
        <w:t>long-term</w:t>
      </w:r>
      <w:r>
        <w:rPr>
          <w:spacing w:val="-5"/>
        </w:rPr>
        <w:t> </w:t>
      </w:r>
      <w:r>
        <w:rPr/>
        <w:t>sovereign</w:t>
      </w:r>
      <w:r>
        <w:rPr>
          <w:spacing w:val="-6"/>
        </w:rPr>
        <w:t> </w:t>
      </w:r>
      <w:r>
        <w:rPr/>
        <w:t>bonds</w:t>
      </w:r>
      <w:r>
        <w:rPr>
          <w:spacing w:val="-5"/>
        </w:rPr>
        <w:t> </w:t>
      </w:r>
      <w:r>
        <w:rPr/>
        <w:t>issued.</w:t>
      </w:r>
      <w:r>
        <w:rPr>
          <w:spacing w:val="-5"/>
        </w:rPr>
        <w:t> </w:t>
      </w:r>
      <w:r>
        <w:rPr/>
        <w:t>This</w:t>
      </w:r>
      <w:r>
        <w:rPr>
          <w:spacing w:val="-5"/>
        </w:rPr>
        <w:t> </w:t>
      </w:r>
      <w:r>
        <w:rPr/>
        <w:t>makes</w:t>
      </w:r>
      <w:r>
        <w:rPr>
          <w:spacing w:val="-5"/>
        </w:rPr>
        <w:t> </w:t>
      </w:r>
      <w:r>
        <w:rPr/>
        <w:t>them</w:t>
      </w:r>
      <w:r>
        <w:rPr>
          <w:spacing w:val="-5"/>
        </w:rPr>
        <w:t> </w:t>
      </w:r>
      <w:r>
        <w:rPr/>
        <w:t>vulnerable against</w:t>
      </w:r>
      <w:r>
        <w:rPr>
          <w:spacing w:val="-8"/>
        </w:rPr>
        <w:t> </w:t>
      </w:r>
      <w:r>
        <w:rPr/>
        <w:t>all</w:t>
      </w:r>
      <w:r>
        <w:rPr>
          <w:spacing w:val="-9"/>
        </w:rPr>
        <w:t> </w:t>
      </w:r>
      <w:r>
        <w:rPr/>
        <w:t>sorts</w:t>
      </w:r>
      <w:r>
        <w:rPr>
          <w:spacing w:val="-8"/>
        </w:rPr>
        <w:t> </w:t>
      </w:r>
      <w:r>
        <w:rPr/>
        <w:t>of</w:t>
      </w:r>
      <w:r>
        <w:rPr>
          <w:spacing w:val="-8"/>
        </w:rPr>
        <w:t> </w:t>
      </w:r>
      <w:r>
        <w:rPr/>
        <w:t>attacks</w:t>
      </w:r>
      <w:r>
        <w:rPr>
          <w:spacing w:val="-8"/>
        </w:rPr>
        <w:t> </w:t>
      </w:r>
      <w:r>
        <w:rPr/>
        <w:t>by</w:t>
      </w:r>
      <w:r>
        <w:rPr>
          <w:spacing w:val="-8"/>
        </w:rPr>
        <w:t> </w:t>
      </w:r>
      <w:r>
        <w:rPr/>
        <w:t>speculators,</w:t>
      </w:r>
      <w:r>
        <w:rPr>
          <w:spacing w:val="-8"/>
        </w:rPr>
        <w:t> </w:t>
      </w:r>
      <w:r>
        <w:rPr/>
        <w:t>and</w:t>
      </w:r>
      <w:r>
        <w:rPr>
          <w:spacing w:val="-8"/>
        </w:rPr>
        <w:t> </w:t>
      </w:r>
      <w:r>
        <w:rPr/>
        <w:t>against</w:t>
      </w:r>
      <w:r>
        <w:rPr>
          <w:spacing w:val="-8"/>
        </w:rPr>
        <w:t> </w:t>
      </w:r>
      <w:r>
        <w:rPr/>
        <w:t>the</w:t>
      </w:r>
      <w:r>
        <w:rPr>
          <w:spacing w:val="-8"/>
        </w:rPr>
        <w:t> </w:t>
      </w:r>
      <w:r>
        <w:rPr/>
        <w:t>desires</w:t>
      </w:r>
      <w:r>
        <w:rPr>
          <w:spacing w:val="-8"/>
        </w:rPr>
        <w:t> </w:t>
      </w:r>
      <w:r>
        <w:rPr/>
        <w:t>of</w:t>
      </w:r>
      <w:r>
        <w:rPr>
          <w:spacing w:val="-8"/>
        </w:rPr>
        <w:t> </w:t>
      </w:r>
      <w:r>
        <w:rPr/>
        <w:t>the</w:t>
      </w:r>
      <w:r>
        <w:rPr>
          <w:spacing w:val="-8"/>
        </w:rPr>
        <w:t> </w:t>
      </w:r>
      <w:r>
        <w:rPr/>
        <w:t>political</w:t>
      </w:r>
      <w:r>
        <w:rPr>
          <w:spacing w:val="-8"/>
        </w:rPr>
        <w:t> </w:t>
      </w:r>
      <w:r>
        <w:rPr/>
        <w:t>bodies</w:t>
      </w:r>
      <w:r>
        <w:rPr>
          <w:spacing w:val="-8"/>
        </w:rPr>
        <w:t> </w:t>
      </w:r>
      <w:r>
        <w:rPr/>
        <w:t>in</w:t>
      </w:r>
      <w:r>
        <w:rPr>
          <w:spacing w:val="-8"/>
        </w:rPr>
        <w:t> </w:t>
      </w:r>
      <w:r>
        <w:rPr/>
        <w:t>their</w:t>
      </w:r>
      <w:r>
        <w:rPr>
          <w:spacing w:val="-8"/>
        </w:rPr>
        <w:t> </w:t>
      </w:r>
      <w:r>
        <w:rPr/>
        <w:t>respective</w:t>
      </w:r>
      <w:r>
        <w:rPr>
          <w:spacing w:val="-8"/>
        </w:rPr>
        <w:t> </w:t>
      </w:r>
      <w:r>
        <w:rPr/>
        <w:t>countries.</w:t>
      </w:r>
      <w:r>
        <w:rPr>
          <w:spacing w:val="-8"/>
        </w:rPr>
        <w:t> </w:t>
      </w:r>
      <w:r>
        <w:rPr/>
        <w:t>If</w:t>
      </w:r>
      <w:r>
        <w:rPr>
          <w:spacing w:val="-8"/>
        </w:rPr>
        <w:t> </w:t>
      </w:r>
      <w:r>
        <w:rPr/>
        <w:t>the</w:t>
      </w:r>
      <w:r>
        <w:rPr>
          <w:spacing w:val="-8"/>
        </w:rPr>
        <w:t> </w:t>
      </w:r>
      <w:r>
        <w:rPr/>
        <w:t>trend of collectivizing risks and debt continues, this could, in principle, make it necessary to reﬁnance these central banks and </w:t>
      </w:r>
      <w:r>
        <w:rPr>
          <w:spacing w:val="-4"/>
        </w:rPr>
        <w:t>the </w:t>
      </w:r>
      <w:r>
        <w:rPr/>
        <w:t>Eurosystem in general </w:t>
      </w:r>
      <w:hyperlink w:history="true" w:anchor="_bookmark25">
        <w:r>
          <w:rPr/>
          <w:t>(Sauer</w:t>
        </w:r>
      </w:hyperlink>
      <w:r>
        <w:rPr/>
        <w:t>,</w:t>
      </w:r>
      <w:r>
        <w:rPr>
          <w:spacing w:val="-5"/>
        </w:rPr>
        <w:t> </w:t>
      </w:r>
      <w:hyperlink w:history="true" w:anchor="_bookmark25">
        <w:r>
          <w:rPr/>
          <w:t>2023</w:t>
        </w:r>
      </w:hyperlink>
      <w:r>
        <w:rPr/>
        <w:t>).</w:t>
      </w:r>
    </w:p>
    <w:p>
      <w:pPr>
        <w:pStyle w:val="BodyText"/>
      </w:pPr>
    </w:p>
    <w:p>
      <w:pPr>
        <w:pStyle w:val="BodyText"/>
        <w:spacing w:before="1"/>
        <w:rPr>
          <w:sz w:val="24"/>
        </w:rPr>
      </w:pPr>
    </w:p>
    <w:p>
      <w:pPr>
        <w:pStyle w:val="Heading1"/>
        <w:numPr>
          <w:ilvl w:val="0"/>
          <w:numId w:val="1"/>
        </w:numPr>
        <w:tabs>
          <w:tab w:pos="1029" w:val="left" w:leader="none"/>
          <w:tab w:pos="1030" w:val="left" w:leader="none"/>
        </w:tabs>
        <w:spacing w:line="273" w:lineRule="exact" w:before="0" w:after="0"/>
        <w:ind w:left="1029" w:right="0" w:hanging="834"/>
        <w:jc w:val="left"/>
      </w:pPr>
      <w:r>
        <w:rPr/>
        <w:pict>
          <v:line style="position:absolute;mso-position-horizontal-relative:page;mso-position-vertical-relative:paragraph;z-index:-15998464" from="70.060997pt,11.203112pt" to="70.060997pt,.742112pt" stroked="true" strokeweight=".9963pt" strokecolor="#000000">
            <v:stroke dashstyle="solid"/>
            <w10:wrap type="none"/>
          </v:line>
        </w:pict>
      </w:r>
      <w:bookmarkStart w:name="Strategem 4: Moneyprinting Through Emerg" w:id="11"/>
      <w:bookmarkEnd w:id="11"/>
      <w:r>
        <w:rPr>
          <w:b w:val="0"/>
        </w:rPr>
      </w:r>
      <w:bookmarkStart w:name="Strategem 4: Moneyprinting Through Emerg" w:id="12"/>
      <w:bookmarkEnd w:id="12"/>
      <w:r>
        <w:rPr>
          <w:spacing w:val="-3"/>
        </w:rPr>
        <w:t>STR</w:t>
      </w:r>
      <w:r>
        <w:rPr>
          <w:spacing w:val="-3"/>
        </w:rPr>
        <w:t>ATEGEM  </w:t>
      </w:r>
      <w:r>
        <w:rPr/>
        <w:t>4: MONEYPRINTING  THROUGH EMERGENCY  LIQUIDITY</w:t>
      </w:r>
      <w:r>
        <w:rPr>
          <w:spacing w:val="-2"/>
        </w:rPr>
        <w:t> </w:t>
      </w:r>
      <w:r>
        <w:rPr/>
        <w:t>ASSIS-</w:t>
      </w:r>
    </w:p>
    <w:p>
      <w:pPr>
        <w:spacing w:before="5"/>
        <w:ind w:left="188" w:right="0" w:firstLine="0"/>
        <w:jc w:val="left"/>
        <w:rPr>
          <w:b/>
          <w:sz w:val="24"/>
        </w:rPr>
      </w:pPr>
      <w:r>
        <w:rPr>
          <w:b/>
          <w:sz w:val="24"/>
        </w:rPr>
        <w:t>TANCE (ELA)</w:t>
      </w:r>
    </w:p>
    <w:p>
      <w:pPr>
        <w:pStyle w:val="BodyText"/>
        <w:spacing w:line="271" w:lineRule="auto" w:before="260"/>
        <w:ind w:left="196" w:right="121"/>
        <w:jc w:val="both"/>
      </w:pPr>
      <w:r>
        <w:rPr/>
        <w:t>Emergency Liquidity Assistance (ELA) loans are crisis loans embedded in the Eurosystem from its inception, but their de- tails were only made public in 2017 (</w:t>
      </w:r>
      <w:hyperlink w:history="true" w:anchor="_bookmark8">
        <w:r>
          <w:rPr/>
          <w:t>European Central Bank</w:t>
        </w:r>
      </w:hyperlink>
      <w:r>
        <w:rPr/>
        <w:t>, </w:t>
      </w:r>
      <w:hyperlink w:history="true" w:anchor="_bookmark8">
        <w:r>
          <w:rPr/>
          <w:t>2017</w:t>
        </w:r>
      </w:hyperlink>
      <w:r>
        <w:rPr/>
        <w:t>). A national central bank (NCB) can declare a ﬁnancial emergency, such as during a bank run or a sovereign debt crisis.</w:t>
      </w:r>
    </w:p>
    <w:p>
      <w:pPr>
        <w:pStyle w:val="BodyText"/>
        <w:spacing w:line="271" w:lineRule="auto"/>
        <w:ind w:left="196" w:right="154" w:firstLine="199"/>
        <w:jc w:val="both"/>
      </w:pPr>
      <w:r>
        <w:rPr/>
        <w:t>Under such circumstances, NCBs are authorized to print unlimited amounts of money to lend to commercial banks within their</w:t>
      </w:r>
      <w:r>
        <w:rPr>
          <w:spacing w:val="-10"/>
        </w:rPr>
        <w:t> </w:t>
      </w:r>
      <w:r>
        <w:rPr/>
        <w:t>jurisdiction,</w:t>
      </w:r>
      <w:r>
        <w:rPr>
          <w:spacing w:val="-10"/>
        </w:rPr>
        <w:t> </w:t>
      </w:r>
      <w:r>
        <w:rPr/>
        <w:t>based</w:t>
      </w:r>
      <w:r>
        <w:rPr>
          <w:spacing w:val="-10"/>
        </w:rPr>
        <w:t> </w:t>
      </w:r>
      <w:r>
        <w:rPr/>
        <w:t>on</w:t>
      </w:r>
      <w:r>
        <w:rPr>
          <w:spacing w:val="-9"/>
        </w:rPr>
        <w:t> </w:t>
      </w:r>
      <w:r>
        <w:rPr/>
        <w:t>their</w:t>
      </w:r>
      <w:r>
        <w:rPr>
          <w:spacing w:val="-10"/>
        </w:rPr>
        <w:t> </w:t>
      </w:r>
      <w:r>
        <w:rPr/>
        <w:t>own</w:t>
      </w:r>
      <w:r>
        <w:rPr>
          <w:spacing w:val="-10"/>
        </w:rPr>
        <w:t> </w:t>
      </w:r>
      <w:r>
        <w:rPr/>
        <w:t>collateral</w:t>
      </w:r>
      <w:r>
        <w:rPr>
          <w:spacing w:val="-9"/>
        </w:rPr>
        <w:t> </w:t>
      </w:r>
      <w:r>
        <w:rPr/>
        <w:t>rules,</w:t>
      </w:r>
      <w:r>
        <w:rPr>
          <w:spacing w:val="-10"/>
        </w:rPr>
        <w:t> </w:t>
      </w:r>
      <w:r>
        <w:rPr/>
        <w:t>to</w:t>
      </w:r>
      <w:r>
        <w:rPr>
          <w:spacing w:val="-10"/>
        </w:rPr>
        <w:t> </w:t>
      </w:r>
      <w:r>
        <w:rPr/>
        <w:t>“rescue”</w:t>
      </w:r>
      <w:r>
        <w:rPr>
          <w:spacing w:val="-9"/>
        </w:rPr>
        <w:t> </w:t>
      </w:r>
      <w:r>
        <w:rPr/>
        <w:t>these</w:t>
      </w:r>
      <w:r>
        <w:rPr>
          <w:spacing w:val="-10"/>
        </w:rPr>
        <w:t> </w:t>
      </w:r>
      <w:r>
        <w:rPr/>
        <w:t>banks,</w:t>
      </w:r>
      <w:r>
        <w:rPr>
          <w:spacing w:val="-10"/>
        </w:rPr>
        <w:t> </w:t>
      </w:r>
      <w:r>
        <w:rPr/>
        <w:t>allegedly</w:t>
      </w:r>
      <w:r>
        <w:rPr>
          <w:spacing w:val="-9"/>
        </w:rPr>
        <w:t> </w:t>
      </w:r>
      <w:r>
        <w:rPr/>
        <w:t>at</w:t>
      </w:r>
      <w:r>
        <w:rPr>
          <w:spacing w:val="-10"/>
        </w:rPr>
        <w:t> </w:t>
      </w:r>
      <w:r>
        <w:rPr/>
        <w:t>the</w:t>
      </w:r>
      <w:r>
        <w:rPr>
          <w:spacing w:val="-10"/>
        </w:rPr>
        <w:t> </w:t>
      </w:r>
      <w:r>
        <w:rPr>
          <w:spacing w:val="-3"/>
        </w:rPr>
        <w:t>NCB’s</w:t>
      </w:r>
      <w:r>
        <w:rPr>
          <w:spacing w:val="-9"/>
        </w:rPr>
        <w:t> </w:t>
      </w:r>
      <w:r>
        <w:rPr/>
        <w:t>own</w:t>
      </w:r>
      <w:r>
        <w:rPr>
          <w:spacing w:val="-10"/>
        </w:rPr>
        <w:t> </w:t>
      </w:r>
      <w:r>
        <w:rPr/>
        <w:t>risk.</w:t>
      </w:r>
      <w:r>
        <w:rPr>
          <w:spacing w:val="-10"/>
        </w:rPr>
        <w:t> </w:t>
      </w:r>
      <w:r>
        <w:rPr/>
        <w:t>This</w:t>
      </w:r>
      <w:r>
        <w:rPr>
          <w:spacing w:val="-10"/>
        </w:rPr>
        <w:t> </w:t>
      </w:r>
      <w:r>
        <w:rPr/>
        <w:t>mechanism can also be used to delay bankruptcy and may carry other negative side effects </w:t>
      </w:r>
      <w:hyperlink w:history="true" w:anchor="_bookmark27">
        <w:r>
          <w:rPr/>
          <w:t>(Sinn</w:t>
        </w:r>
      </w:hyperlink>
      <w:r>
        <w:rPr/>
        <w:t>, </w:t>
      </w:r>
      <w:hyperlink w:history="true" w:anchor="_bookmark27">
        <w:r>
          <w:rPr/>
          <w:t>2017</w:t>
        </w:r>
      </w:hyperlink>
      <w:r>
        <w:rPr/>
        <w:t>, Chapter</w:t>
      </w:r>
      <w:r>
        <w:rPr>
          <w:spacing w:val="-32"/>
        </w:rPr>
        <w:t> </w:t>
      </w:r>
      <w:r>
        <w:rPr/>
        <w:t>5).</w:t>
      </w:r>
    </w:p>
    <w:p>
      <w:pPr>
        <w:pStyle w:val="BodyText"/>
        <w:spacing w:line="271" w:lineRule="auto"/>
        <w:ind w:left="191" w:right="154" w:firstLine="204"/>
        <w:jc w:val="both"/>
      </w:pPr>
      <w:r>
        <w:rPr/>
        <w:t>ELA is a signiﬁcant resource: For instance, at the height of Greece’s 2015 crisis, ELA borrowing by Greek banks reached 71% of the country’s nominal GDP </w:t>
      </w:r>
      <w:hyperlink w:history="true" w:anchor="_bookmark14">
        <w:r>
          <w:rPr/>
          <w:t>(Gibson, Hall, Petroulas, Spiliotopoulos, &amp; Tavlas</w:t>
        </w:r>
      </w:hyperlink>
      <w:r>
        <w:rPr/>
        <w:t>, </w:t>
      </w:r>
      <w:hyperlink w:history="true" w:anchor="_bookmark14">
        <w:r>
          <w:rPr/>
          <w:t>2020</w:t>
        </w:r>
      </w:hyperlink>
      <w:r>
        <w:rPr/>
        <w:t>).</w:t>
      </w:r>
    </w:p>
    <w:p>
      <w:pPr>
        <w:pStyle w:val="BodyText"/>
        <w:spacing w:line="271" w:lineRule="auto"/>
        <w:ind w:left="196" w:right="121" w:firstLine="199"/>
        <w:jc w:val="both"/>
      </w:pPr>
      <w:r>
        <w:rPr/>
        <w:t>The ECB Governing Council can block such loans with a two-thirds majority vote. However, if at least one-third supports the loans, they cannot be stopped. In 2013, over a third of the ECB Governing Council members were from GIPSIC (Greece, Ireland, Portugal, Spain, Italy, and Cyprus) countries in need of cheap credit, making it impossible for others to form a block- ing coalition. Until Latvia’s entry in 2014, these countries could theoretically secure unlimited central bank credit without opposition.</w:t>
      </w:r>
    </w:p>
    <w:p>
      <w:pPr>
        <w:spacing w:after="0" w:line="271" w:lineRule="auto"/>
        <w:jc w:val="both"/>
        <w:sectPr>
          <w:pgSz w:w="11910" w:h="15650"/>
          <w:pgMar w:header="730" w:footer="0" w:top="940" w:bottom="280" w:left="740" w:right="760"/>
        </w:sectPr>
      </w:pPr>
    </w:p>
    <w:p>
      <w:pPr>
        <w:pStyle w:val="Heading1"/>
        <w:numPr>
          <w:ilvl w:val="0"/>
          <w:numId w:val="1"/>
        </w:numPr>
        <w:tabs>
          <w:tab w:pos="1044" w:val="left" w:leader="none"/>
          <w:tab w:pos="1045" w:val="left" w:leader="none"/>
        </w:tabs>
        <w:spacing w:line="273" w:lineRule="exact" w:before="183" w:after="0"/>
        <w:ind w:left="1044" w:right="0" w:hanging="869"/>
        <w:jc w:val="left"/>
      </w:pPr>
      <w:r>
        <w:rPr/>
        <w:pict>
          <v:line style="position:absolute;mso-position-horizontal-relative:page;mso-position-vertical-relative:paragraph;z-index:-15997952" from="70.800003pt,20.353153pt" to="70.800003pt,9.892153pt" stroked="true" strokeweight=".9963pt" strokecolor="#000000">
            <v:stroke dashstyle="solid"/>
            <w10:wrap type="none"/>
          </v:line>
        </w:pict>
      </w:r>
      <w:bookmarkStart w:name="Strategem 5: Aquisitions Through Agreeme" w:id="13"/>
      <w:bookmarkEnd w:id="13"/>
      <w:r>
        <w:rPr>
          <w:b w:val="0"/>
        </w:rPr>
      </w:r>
      <w:bookmarkStart w:name="Strategem 5: Aquisitions Through Agreeme" w:id="14"/>
      <w:bookmarkEnd w:id="14"/>
      <w:r>
        <w:rPr>
          <w:spacing w:val="-3"/>
        </w:rPr>
        <w:t>STR</w:t>
      </w:r>
      <w:r>
        <w:rPr>
          <w:spacing w:val="-3"/>
        </w:rPr>
        <w:t>ATEGEM </w:t>
      </w:r>
      <w:r>
        <w:rPr/>
        <w:t>5: AQUISITIONS THROUGH AGREEMENT ON NET</w:t>
      </w:r>
      <w:r>
        <w:rPr>
          <w:spacing w:val="20"/>
        </w:rPr>
        <w:t> </w:t>
      </w:r>
      <w:r>
        <w:rPr/>
        <w:t>FINANCIAL</w:t>
      </w:r>
    </w:p>
    <w:p>
      <w:pPr>
        <w:spacing w:before="5"/>
        <w:ind w:left="167" w:right="0" w:firstLine="0"/>
        <w:jc w:val="left"/>
        <w:rPr>
          <w:b/>
          <w:sz w:val="24"/>
        </w:rPr>
      </w:pPr>
      <w:r>
        <w:rPr>
          <w:b/>
          <w:sz w:val="24"/>
        </w:rPr>
        <w:t>ASSETS (ANFA)</w:t>
      </w:r>
    </w:p>
    <w:p>
      <w:pPr>
        <w:pStyle w:val="BodyText"/>
        <w:spacing w:line="271" w:lineRule="auto" w:before="260"/>
        <w:ind w:left="176" w:right="149" w:hanging="10"/>
        <w:jc w:val="both"/>
      </w:pPr>
      <w:r>
        <w:rPr/>
        <w:t>Without public knowledge, national central banks within the Eurosystem were permitted to generate central bank money for the purpose of acquiring assets on their own account. This encompassed a range of investments tied to currency reserves, employee pension funds, as well as the pension reserves of the national central banks, along with the counterpart items to statutory</w:t>
      </w:r>
      <w:r>
        <w:rPr>
          <w:spacing w:val="-9"/>
        </w:rPr>
        <w:t> </w:t>
      </w:r>
      <w:r>
        <w:rPr/>
        <w:t>capital</w:t>
      </w:r>
      <w:r>
        <w:rPr>
          <w:spacing w:val="-9"/>
        </w:rPr>
        <w:t> </w:t>
      </w:r>
      <w:r>
        <w:rPr/>
        <w:t>and</w:t>
      </w:r>
      <w:r>
        <w:rPr>
          <w:spacing w:val="-8"/>
        </w:rPr>
        <w:t> </w:t>
      </w:r>
      <w:r>
        <w:rPr/>
        <w:t>reserves.</w:t>
      </w:r>
      <w:r>
        <w:rPr>
          <w:spacing w:val="-9"/>
        </w:rPr>
        <w:t> </w:t>
      </w:r>
      <w:r>
        <w:rPr/>
        <w:t>Furthermore,</w:t>
      </w:r>
      <w:r>
        <w:rPr>
          <w:spacing w:val="-8"/>
        </w:rPr>
        <w:t> </w:t>
      </w:r>
      <w:r>
        <w:rPr/>
        <w:t>these</w:t>
      </w:r>
      <w:r>
        <w:rPr>
          <w:spacing w:val="-9"/>
        </w:rPr>
        <w:t> </w:t>
      </w:r>
      <w:r>
        <w:rPr/>
        <w:t>assets</w:t>
      </w:r>
      <w:r>
        <w:rPr>
          <w:spacing w:val="-8"/>
        </w:rPr>
        <w:t> </w:t>
      </w:r>
      <w:r>
        <w:rPr/>
        <w:t>were</w:t>
      </w:r>
      <w:r>
        <w:rPr>
          <w:spacing w:val="-9"/>
        </w:rPr>
        <w:t> </w:t>
      </w:r>
      <w:r>
        <w:rPr/>
        <w:t>utilized</w:t>
      </w:r>
      <w:r>
        <w:rPr>
          <w:spacing w:val="-8"/>
        </w:rPr>
        <w:t> </w:t>
      </w:r>
      <w:r>
        <w:rPr/>
        <w:t>for</w:t>
      </w:r>
      <w:r>
        <w:rPr>
          <w:spacing w:val="-9"/>
        </w:rPr>
        <w:t> </w:t>
      </w:r>
      <w:r>
        <w:rPr/>
        <w:t>general</w:t>
      </w:r>
      <w:r>
        <w:rPr>
          <w:spacing w:val="-8"/>
        </w:rPr>
        <w:t> </w:t>
      </w:r>
      <w:r>
        <w:rPr/>
        <w:t>investment</w:t>
      </w:r>
      <w:r>
        <w:rPr>
          <w:spacing w:val="-9"/>
        </w:rPr>
        <w:t> </w:t>
      </w:r>
      <w:r>
        <w:rPr/>
        <w:t>objectives</w:t>
      </w:r>
      <w:r>
        <w:rPr>
          <w:spacing w:val="-8"/>
        </w:rPr>
        <w:t> </w:t>
      </w:r>
      <w:r>
        <w:rPr/>
        <w:t>and</w:t>
      </w:r>
      <w:r>
        <w:rPr>
          <w:spacing w:val="-9"/>
        </w:rPr>
        <w:t> </w:t>
      </w:r>
      <w:r>
        <w:rPr/>
        <w:t>comprised</w:t>
      </w:r>
      <w:r>
        <w:rPr>
          <w:spacing w:val="-9"/>
        </w:rPr>
        <w:t> </w:t>
      </w:r>
      <w:r>
        <w:rPr/>
        <w:t>deposits from governments and international institutions (</w:t>
      </w:r>
      <w:hyperlink w:history="true" w:anchor="_bookmark16">
        <w:r>
          <w:rPr/>
          <w:t>Hansen &amp; Meyer</w:t>
        </w:r>
      </w:hyperlink>
      <w:r>
        <w:rPr/>
        <w:t>,</w:t>
      </w:r>
      <w:r>
        <w:rPr>
          <w:spacing w:val="-11"/>
        </w:rPr>
        <w:t> </w:t>
      </w:r>
      <w:hyperlink w:history="true" w:anchor="_bookmark16">
        <w:r>
          <w:rPr/>
          <w:t>2017</w:t>
        </w:r>
      </w:hyperlink>
      <w:r>
        <w:rPr/>
        <w:t>).</w:t>
      </w:r>
    </w:p>
    <w:p>
      <w:pPr>
        <w:pStyle w:val="BodyText"/>
        <w:spacing w:line="271" w:lineRule="auto"/>
        <w:ind w:left="176" w:right="167" w:firstLine="199"/>
        <w:jc w:val="both"/>
      </w:pPr>
      <w:r>
        <w:rPr/>
        <w:t>The ECB has justiﬁed ANFA by invoking the principle of subsidiarity, allowing national central banks to independently conduct transactions related to national task. This practice, which amounted to 650 billion in ANFA credits in 2011, caused signiﬁcant tensions within the ECB council. As a result, a conﬁdential agreement was made to limit such activities.</w:t>
      </w:r>
    </w:p>
    <w:p>
      <w:pPr>
        <w:pStyle w:val="BodyText"/>
        <w:spacing w:line="271" w:lineRule="auto"/>
        <w:ind w:left="176" w:right="167" w:firstLine="199"/>
        <w:jc w:val="both"/>
      </w:pPr>
      <w:r>
        <w:rPr/>
        <w:t>Daniel Hoffmann’s doctoral thesis </w:t>
      </w:r>
      <w:hyperlink w:history="true" w:anchor="_bookmark17">
        <w:r>
          <w:rPr/>
          <w:t>(Hoffmann</w:t>
        </w:r>
      </w:hyperlink>
      <w:r>
        <w:rPr/>
        <w:t>, </w:t>
      </w:r>
      <w:hyperlink w:history="true" w:anchor="_bookmark17">
        <w:r>
          <w:rPr/>
          <w:t>2015</w:t>
        </w:r>
      </w:hyperlink>
      <w:r>
        <w:rPr/>
        <w:t>, </w:t>
      </w:r>
      <w:hyperlink w:history="true" w:anchor="_bookmark18">
        <w:r>
          <w:rPr/>
          <w:t>2016</w:t>
        </w:r>
      </w:hyperlink>
      <w:r>
        <w:rPr/>
        <w:t>), completed at TU Berlin, exposed these practices by diligently analyzing accounting records, ultimately leading to the public release of the details (</w:t>
      </w:r>
      <w:hyperlink w:history="true" w:anchor="_bookmark11">
        <w:r>
          <w:rPr/>
          <w:t>European Central Bank</w:t>
        </w:r>
      </w:hyperlink>
      <w:r>
        <w:rPr/>
        <w:t>, </w:t>
      </w:r>
      <w:hyperlink w:history="true" w:anchor="_bookmark11">
        <w:r>
          <w:rPr/>
          <w:t>2024b</w:t>
        </w:r>
      </w:hyperlink>
      <w:r>
        <w:rPr/>
        <w:t>, </w:t>
      </w:r>
      <w:hyperlink w:history="true" w:anchor="_bookmark9">
        <w:r>
          <w:rPr/>
          <w:t>2022</w:t>
        </w:r>
      </w:hyperlink>
      <w:r>
        <w:rPr/>
        <w:t>).</w:t>
      </w:r>
    </w:p>
    <w:p>
      <w:pPr>
        <w:pStyle w:val="BodyText"/>
      </w:pPr>
    </w:p>
    <w:p>
      <w:pPr>
        <w:pStyle w:val="BodyText"/>
        <w:spacing w:before="6"/>
        <w:rPr>
          <w:sz w:val="24"/>
        </w:rPr>
      </w:pPr>
    </w:p>
    <w:p>
      <w:pPr>
        <w:pStyle w:val="Heading1"/>
        <w:numPr>
          <w:ilvl w:val="0"/>
          <w:numId w:val="1"/>
        </w:numPr>
        <w:tabs>
          <w:tab w:pos="1061" w:val="left" w:leader="none"/>
          <w:tab w:pos="1062" w:val="left" w:leader="none"/>
        </w:tabs>
        <w:spacing w:line="273" w:lineRule="exact" w:before="0" w:after="0"/>
        <w:ind w:left="1061" w:right="0" w:hanging="886"/>
        <w:jc w:val="left"/>
      </w:pPr>
      <w:r>
        <w:rPr/>
        <w:pict>
          <v:line style="position:absolute;mso-position-horizontal-relative:page;mso-position-vertical-relative:paragraph;z-index:-15997440" from="71.644997pt,11.203115pt" to="71.644997pt,.742115pt" stroked="true" strokeweight=".9963pt" strokecolor="#000000">
            <v:stroke dashstyle="solid"/>
            <w10:wrap type="none"/>
          </v:line>
        </w:pict>
      </w:r>
      <w:bookmarkStart w:name="Strategem 6: Perpetual (Re)Issuing and C" w:id="15"/>
      <w:bookmarkEnd w:id="15"/>
      <w:r>
        <w:rPr>
          <w:b w:val="0"/>
        </w:rPr>
      </w:r>
      <w:bookmarkStart w:name="Strategem 6: Perpetual (Re)Issuing and C" w:id="16"/>
      <w:bookmarkEnd w:id="16"/>
      <w:r>
        <w:rPr>
          <w:spacing w:val="-3"/>
        </w:rPr>
        <w:t>STR</w:t>
      </w:r>
      <w:r>
        <w:rPr>
          <w:spacing w:val="-3"/>
        </w:rPr>
        <w:t>ATEGEM</w:t>
      </w:r>
      <w:r>
        <w:rPr>
          <w:spacing w:val="23"/>
        </w:rPr>
        <w:t> </w:t>
      </w:r>
      <w:r>
        <w:rPr/>
        <w:t>6:</w:t>
      </w:r>
      <w:r>
        <w:rPr>
          <w:spacing w:val="20"/>
        </w:rPr>
        <w:t> </w:t>
      </w:r>
      <w:r>
        <w:rPr/>
        <w:t>PERPETUAL</w:t>
      </w:r>
      <w:r>
        <w:rPr>
          <w:spacing w:val="21"/>
        </w:rPr>
        <w:t> </w:t>
      </w:r>
      <w:r>
        <w:rPr/>
        <w:t>(RE)ISSUING</w:t>
      </w:r>
      <w:r>
        <w:rPr>
          <w:spacing w:val="20"/>
        </w:rPr>
        <w:t> </w:t>
      </w:r>
      <w:r>
        <w:rPr/>
        <w:t>AND</w:t>
      </w:r>
      <w:r>
        <w:rPr>
          <w:spacing w:val="21"/>
        </w:rPr>
        <w:t> </w:t>
      </w:r>
      <w:r>
        <w:rPr/>
        <w:t>CHAINING</w:t>
      </w:r>
      <w:r>
        <w:rPr>
          <w:spacing w:val="20"/>
        </w:rPr>
        <w:t> </w:t>
      </w:r>
      <w:r>
        <w:rPr/>
        <w:t>OF</w:t>
      </w:r>
      <w:r>
        <w:rPr>
          <w:spacing w:val="21"/>
        </w:rPr>
        <w:t> </w:t>
      </w:r>
      <w:r>
        <w:rPr/>
        <w:t>SOVEREIGN</w:t>
      </w:r>
    </w:p>
    <w:p>
      <w:pPr>
        <w:spacing w:before="6"/>
        <w:ind w:left="176" w:right="0" w:firstLine="0"/>
        <w:jc w:val="left"/>
        <w:rPr>
          <w:b/>
          <w:sz w:val="24"/>
        </w:rPr>
      </w:pPr>
      <w:r>
        <w:rPr>
          <w:b/>
          <w:sz w:val="24"/>
        </w:rPr>
        <w:t>BONDS AS EUROSYSTEM COLLATERAL</w:t>
      </w:r>
    </w:p>
    <w:p>
      <w:pPr>
        <w:pStyle w:val="BodyText"/>
        <w:spacing w:line="271" w:lineRule="auto" w:before="259"/>
        <w:ind w:left="169" w:right="174" w:firstLine="7"/>
        <w:jc w:val="both"/>
      </w:pPr>
      <w:r>
        <w:rPr/>
        <w:t>Sovereign states attempt to chain sovereign bonds </w:t>
      </w:r>
      <w:hyperlink w:history="true" w:anchor="_bookmark15">
        <w:r>
          <w:rPr/>
          <w:t>(Hannoun et al.</w:t>
        </w:r>
      </w:hyperlink>
      <w:r>
        <w:rPr/>
        <w:t>, </w:t>
      </w:r>
      <w:hyperlink w:history="true" w:anchor="_bookmark15">
        <w:r>
          <w:rPr/>
          <w:t>2019</w:t>
        </w:r>
      </w:hyperlink>
      <w:r>
        <w:rPr/>
        <w:t>, 3), thereby rolling over increasing amounts of debt without</w:t>
      </w:r>
      <w:r>
        <w:rPr>
          <w:spacing w:val="-16"/>
        </w:rPr>
        <w:t> </w:t>
      </w:r>
      <w:r>
        <w:rPr/>
        <w:t>the</w:t>
      </w:r>
      <w:r>
        <w:rPr>
          <w:spacing w:val="-16"/>
        </w:rPr>
        <w:t> </w:t>
      </w:r>
      <w:r>
        <w:rPr/>
        <w:t>need</w:t>
      </w:r>
      <w:r>
        <w:rPr>
          <w:spacing w:val="-15"/>
        </w:rPr>
        <w:t> </w:t>
      </w:r>
      <w:r>
        <w:rPr/>
        <w:t>for</w:t>
      </w:r>
      <w:r>
        <w:rPr>
          <w:spacing w:val="-16"/>
        </w:rPr>
        <w:t> </w:t>
      </w:r>
      <w:r>
        <w:rPr/>
        <w:t>repayment.</w:t>
      </w:r>
      <w:r>
        <w:rPr>
          <w:spacing w:val="-15"/>
        </w:rPr>
        <w:t> </w:t>
      </w:r>
      <w:r>
        <w:rPr/>
        <w:t>In</w:t>
      </w:r>
      <w:r>
        <w:rPr>
          <w:spacing w:val="-15"/>
        </w:rPr>
        <w:t> </w:t>
      </w:r>
      <w:r>
        <w:rPr/>
        <w:t>this</w:t>
      </w:r>
      <w:r>
        <w:rPr>
          <w:spacing w:val="-16"/>
        </w:rPr>
        <w:t> </w:t>
      </w:r>
      <w:r>
        <w:rPr/>
        <w:t>process,</w:t>
      </w:r>
      <w:r>
        <w:rPr>
          <w:spacing w:val="-15"/>
        </w:rPr>
        <w:t> </w:t>
      </w:r>
      <w:r>
        <w:rPr/>
        <w:t>the</w:t>
      </w:r>
      <w:r>
        <w:rPr>
          <w:spacing w:val="-16"/>
        </w:rPr>
        <w:t> </w:t>
      </w:r>
      <w:r>
        <w:rPr/>
        <w:t>original</w:t>
      </w:r>
      <w:r>
        <w:rPr>
          <w:spacing w:val="-15"/>
        </w:rPr>
        <w:t> </w:t>
      </w:r>
      <w:r>
        <w:rPr/>
        <w:t>principal</w:t>
      </w:r>
      <w:r>
        <w:rPr>
          <w:spacing w:val="-15"/>
        </w:rPr>
        <w:t> </w:t>
      </w:r>
      <w:r>
        <w:rPr/>
        <w:t>is</w:t>
      </w:r>
      <w:r>
        <w:rPr>
          <w:spacing w:val="-15"/>
        </w:rPr>
        <w:t> </w:t>
      </w:r>
      <w:r>
        <w:rPr/>
        <w:t>devalued</w:t>
      </w:r>
      <w:r>
        <w:rPr>
          <w:spacing w:val="-16"/>
        </w:rPr>
        <w:t> </w:t>
      </w:r>
      <w:r>
        <w:rPr/>
        <w:t>by</w:t>
      </w:r>
      <w:r>
        <w:rPr>
          <w:spacing w:val="-16"/>
        </w:rPr>
        <w:t> </w:t>
      </w:r>
      <w:r>
        <w:rPr/>
        <w:t>compounded</w:t>
      </w:r>
      <w:r>
        <w:rPr>
          <w:spacing w:val="-15"/>
        </w:rPr>
        <w:t> </w:t>
      </w:r>
      <w:r>
        <w:rPr/>
        <w:t>inﬂation—an</w:t>
      </w:r>
      <w:r>
        <w:rPr>
          <w:spacing w:val="-15"/>
        </w:rPr>
        <w:t> </w:t>
      </w:r>
      <w:r>
        <w:rPr/>
        <w:t>effect</w:t>
      </w:r>
      <w:r>
        <w:rPr>
          <w:spacing w:val="-16"/>
        </w:rPr>
        <w:t> </w:t>
      </w:r>
      <w:r>
        <w:rPr/>
        <w:t>welcomed by the sovereign debtors—while, due to compound interest, the required money grows</w:t>
      </w:r>
      <w:r>
        <w:rPr>
          <w:spacing w:val="-25"/>
        </w:rPr>
        <w:t> </w:t>
      </w:r>
      <w:r>
        <w:rPr/>
        <w:t>exponentially.</w:t>
      </w:r>
    </w:p>
    <w:p>
      <w:pPr>
        <w:pStyle w:val="BodyText"/>
        <w:spacing w:line="271" w:lineRule="auto"/>
        <w:ind w:left="176" w:right="167" w:firstLine="199"/>
        <w:jc w:val="both"/>
      </w:pPr>
      <w:r>
        <w:rPr/>
        <w:t>Instead of going into too much detail here I just recall as anecdote the answer of a prominent OECD researcher to my question </w:t>
      </w:r>
      <w:r>
        <w:rPr>
          <w:i/>
        </w:rPr>
        <w:t>“will any government ever pay back this sovereign debt, or are they at least committed to do so?” </w:t>
      </w:r>
      <w:r>
        <w:rPr/>
        <w:t>at a scientiﬁc meeting organized by the Austrian National Bank (OeNB): his answer was a staightforward </w:t>
      </w:r>
      <w:r>
        <w:rPr>
          <w:i/>
        </w:rPr>
        <w:t>“no”</w:t>
      </w:r>
      <w:r>
        <w:rPr/>
        <w:t>, after he checked that I am not a journalist. In that way the sovereign debt can be perpetually rolled over, and, without disruption, the required amount of money created grows exponentially.</w:t>
      </w:r>
    </w:p>
    <w:p>
      <w:pPr>
        <w:spacing w:line="271" w:lineRule="auto" w:before="0"/>
        <w:ind w:left="176" w:right="139" w:firstLine="199"/>
        <w:jc w:val="both"/>
        <w:rPr>
          <w:sz w:val="20"/>
        </w:rPr>
      </w:pPr>
      <w:r>
        <w:rPr>
          <w:sz w:val="20"/>
        </w:rPr>
        <w:t>Instead</w:t>
      </w:r>
      <w:r>
        <w:rPr>
          <w:spacing w:val="-6"/>
          <w:sz w:val="20"/>
        </w:rPr>
        <w:t> </w:t>
      </w:r>
      <w:r>
        <w:rPr>
          <w:sz w:val="20"/>
        </w:rPr>
        <w:t>of</w:t>
      </w:r>
      <w:r>
        <w:rPr>
          <w:spacing w:val="-5"/>
          <w:sz w:val="20"/>
        </w:rPr>
        <w:t> </w:t>
      </w:r>
      <w:r>
        <w:rPr>
          <w:sz w:val="20"/>
        </w:rPr>
        <w:t>delving</w:t>
      </w:r>
      <w:r>
        <w:rPr>
          <w:spacing w:val="-6"/>
          <w:sz w:val="20"/>
        </w:rPr>
        <w:t> </w:t>
      </w:r>
      <w:r>
        <w:rPr>
          <w:sz w:val="20"/>
        </w:rPr>
        <w:t>into</w:t>
      </w:r>
      <w:r>
        <w:rPr>
          <w:spacing w:val="-5"/>
          <w:sz w:val="20"/>
        </w:rPr>
        <w:t> </w:t>
      </w:r>
      <w:r>
        <w:rPr>
          <w:sz w:val="20"/>
        </w:rPr>
        <w:t>detail,</w:t>
      </w:r>
      <w:r>
        <w:rPr>
          <w:spacing w:val="-6"/>
          <w:sz w:val="20"/>
        </w:rPr>
        <w:t> </w:t>
      </w:r>
      <w:r>
        <w:rPr>
          <w:sz w:val="20"/>
        </w:rPr>
        <w:t>I</w:t>
      </w:r>
      <w:r>
        <w:rPr>
          <w:spacing w:val="-5"/>
          <w:sz w:val="20"/>
        </w:rPr>
        <w:t> </w:t>
      </w:r>
      <w:r>
        <w:rPr>
          <w:sz w:val="20"/>
        </w:rPr>
        <w:t>mention</w:t>
      </w:r>
      <w:r>
        <w:rPr>
          <w:spacing w:val="-6"/>
          <w:sz w:val="20"/>
        </w:rPr>
        <w:t> </w:t>
      </w:r>
      <w:r>
        <w:rPr>
          <w:sz w:val="20"/>
        </w:rPr>
        <w:t>an</w:t>
      </w:r>
      <w:r>
        <w:rPr>
          <w:spacing w:val="-5"/>
          <w:sz w:val="20"/>
        </w:rPr>
        <w:t> </w:t>
      </w:r>
      <w:r>
        <w:rPr>
          <w:sz w:val="20"/>
        </w:rPr>
        <w:t>anecdote:</w:t>
      </w:r>
      <w:r>
        <w:rPr>
          <w:spacing w:val="-5"/>
          <w:sz w:val="20"/>
        </w:rPr>
        <w:t> </w:t>
      </w:r>
      <w:r>
        <w:rPr>
          <w:sz w:val="20"/>
        </w:rPr>
        <w:t>in</w:t>
      </w:r>
      <w:r>
        <w:rPr>
          <w:spacing w:val="-6"/>
          <w:sz w:val="20"/>
        </w:rPr>
        <w:t> </w:t>
      </w:r>
      <w:r>
        <w:rPr>
          <w:sz w:val="20"/>
        </w:rPr>
        <w:t>response</w:t>
      </w:r>
      <w:r>
        <w:rPr>
          <w:spacing w:val="-5"/>
          <w:sz w:val="20"/>
        </w:rPr>
        <w:t> </w:t>
      </w:r>
      <w:r>
        <w:rPr>
          <w:sz w:val="20"/>
        </w:rPr>
        <w:t>to</w:t>
      </w:r>
      <w:r>
        <w:rPr>
          <w:spacing w:val="-6"/>
          <w:sz w:val="20"/>
        </w:rPr>
        <w:t> </w:t>
      </w:r>
      <w:r>
        <w:rPr>
          <w:sz w:val="20"/>
        </w:rPr>
        <w:t>my</w:t>
      </w:r>
      <w:r>
        <w:rPr>
          <w:spacing w:val="-5"/>
          <w:sz w:val="20"/>
        </w:rPr>
        <w:t> </w:t>
      </w:r>
      <w:r>
        <w:rPr>
          <w:sz w:val="20"/>
        </w:rPr>
        <w:t>question</w:t>
      </w:r>
      <w:r>
        <w:rPr>
          <w:spacing w:val="-6"/>
          <w:sz w:val="20"/>
        </w:rPr>
        <w:t> </w:t>
      </w:r>
      <w:r>
        <w:rPr>
          <w:sz w:val="20"/>
        </w:rPr>
        <w:t>posed</w:t>
      </w:r>
      <w:r>
        <w:rPr>
          <w:spacing w:val="-5"/>
          <w:sz w:val="20"/>
        </w:rPr>
        <w:t> </w:t>
      </w:r>
      <w:r>
        <w:rPr>
          <w:sz w:val="20"/>
        </w:rPr>
        <w:t>to</w:t>
      </w:r>
      <w:r>
        <w:rPr>
          <w:spacing w:val="-5"/>
          <w:sz w:val="20"/>
        </w:rPr>
        <w:t> </w:t>
      </w:r>
      <w:r>
        <w:rPr>
          <w:sz w:val="20"/>
        </w:rPr>
        <w:t>a</w:t>
      </w:r>
      <w:r>
        <w:rPr>
          <w:spacing w:val="-6"/>
          <w:sz w:val="20"/>
        </w:rPr>
        <w:t> </w:t>
      </w:r>
      <w:r>
        <w:rPr>
          <w:sz w:val="20"/>
        </w:rPr>
        <w:t>prominent</w:t>
      </w:r>
      <w:r>
        <w:rPr>
          <w:spacing w:val="-5"/>
          <w:sz w:val="20"/>
        </w:rPr>
        <w:t> </w:t>
      </w:r>
      <w:r>
        <w:rPr>
          <w:sz w:val="20"/>
        </w:rPr>
        <w:t>OECD</w:t>
      </w:r>
      <w:r>
        <w:rPr>
          <w:spacing w:val="-6"/>
          <w:sz w:val="20"/>
        </w:rPr>
        <w:t> </w:t>
      </w:r>
      <w:r>
        <w:rPr>
          <w:sz w:val="20"/>
        </w:rPr>
        <w:t>researcher</w:t>
      </w:r>
      <w:r>
        <w:rPr>
          <w:spacing w:val="-5"/>
          <w:sz w:val="20"/>
        </w:rPr>
        <w:t> </w:t>
      </w:r>
      <w:r>
        <w:rPr>
          <w:sz w:val="20"/>
        </w:rPr>
        <w:t>at</w:t>
      </w:r>
      <w:r>
        <w:rPr>
          <w:spacing w:val="-6"/>
          <w:sz w:val="20"/>
        </w:rPr>
        <w:t> </w:t>
      </w:r>
      <w:r>
        <w:rPr>
          <w:sz w:val="20"/>
        </w:rPr>
        <w:t>a scientiﬁc meeting organized by the Austrian National Bank (OeNB): </w:t>
      </w:r>
      <w:r>
        <w:rPr>
          <w:i/>
          <w:spacing w:val="-3"/>
          <w:sz w:val="20"/>
        </w:rPr>
        <w:t>“Will </w:t>
      </w:r>
      <w:r>
        <w:rPr>
          <w:i/>
          <w:sz w:val="20"/>
        </w:rPr>
        <w:t>any government ever pay back this sovereign debt, </w:t>
      </w:r>
      <w:r>
        <w:rPr>
          <w:i/>
          <w:sz w:val="20"/>
        </w:rPr>
        <w:t>or</w:t>
      </w:r>
      <w:r>
        <w:rPr>
          <w:i/>
          <w:spacing w:val="-3"/>
          <w:sz w:val="20"/>
        </w:rPr>
        <w:t> are </w:t>
      </w:r>
      <w:r>
        <w:rPr>
          <w:i/>
          <w:sz w:val="20"/>
        </w:rPr>
        <w:t>they</w:t>
      </w:r>
      <w:r>
        <w:rPr>
          <w:i/>
          <w:spacing w:val="-3"/>
          <w:sz w:val="20"/>
        </w:rPr>
        <w:t> </w:t>
      </w:r>
      <w:r>
        <w:rPr>
          <w:i/>
          <w:sz w:val="20"/>
        </w:rPr>
        <w:t>at</w:t>
      </w:r>
      <w:r>
        <w:rPr>
          <w:i/>
          <w:spacing w:val="-3"/>
          <w:sz w:val="20"/>
        </w:rPr>
        <w:t> </w:t>
      </w:r>
      <w:r>
        <w:rPr>
          <w:i/>
          <w:sz w:val="20"/>
        </w:rPr>
        <w:t>least</w:t>
      </w:r>
      <w:r>
        <w:rPr>
          <w:i/>
          <w:spacing w:val="-3"/>
          <w:sz w:val="20"/>
        </w:rPr>
        <w:t> </w:t>
      </w:r>
      <w:r>
        <w:rPr>
          <w:i/>
          <w:sz w:val="20"/>
        </w:rPr>
        <w:t>committed</w:t>
      </w:r>
      <w:r>
        <w:rPr>
          <w:i/>
          <w:spacing w:val="-3"/>
          <w:sz w:val="20"/>
        </w:rPr>
        <w:t> </w:t>
      </w:r>
      <w:r>
        <w:rPr>
          <w:i/>
          <w:sz w:val="20"/>
        </w:rPr>
        <w:t>to</w:t>
      </w:r>
      <w:r>
        <w:rPr>
          <w:i/>
          <w:spacing w:val="-3"/>
          <w:sz w:val="20"/>
        </w:rPr>
        <w:t> </w:t>
      </w:r>
      <w:r>
        <w:rPr>
          <w:i/>
          <w:sz w:val="20"/>
        </w:rPr>
        <w:t>doing</w:t>
      </w:r>
      <w:r>
        <w:rPr>
          <w:i/>
          <w:spacing w:val="-4"/>
          <w:sz w:val="20"/>
        </w:rPr>
        <w:t> </w:t>
      </w:r>
      <w:r>
        <w:rPr>
          <w:i/>
          <w:sz w:val="20"/>
        </w:rPr>
        <w:t>so?”</w:t>
      </w:r>
      <w:r>
        <w:rPr>
          <w:i/>
          <w:spacing w:val="-3"/>
          <w:sz w:val="20"/>
        </w:rPr>
        <w:t> </w:t>
      </w:r>
      <w:r>
        <w:rPr>
          <w:sz w:val="20"/>
        </w:rPr>
        <w:t>His</w:t>
      </w:r>
      <w:r>
        <w:rPr>
          <w:spacing w:val="-3"/>
          <w:sz w:val="20"/>
        </w:rPr>
        <w:t> </w:t>
      </w:r>
      <w:r>
        <w:rPr>
          <w:sz w:val="20"/>
        </w:rPr>
        <w:t>answer,</w:t>
      </w:r>
      <w:r>
        <w:rPr>
          <w:spacing w:val="-3"/>
          <w:sz w:val="20"/>
        </w:rPr>
        <w:t> </w:t>
      </w:r>
      <w:r>
        <w:rPr>
          <w:sz w:val="20"/>
        </w:rPr>
        <w:t>after</w:t>
      </w:r>
      <w:r>
        <w:rPr>
          <w:spacing w:val="-3"/>
          <w:sz w:val="20"/>
        </w:rPr>
        <w:t> </w:t>
      </w:r>
      <w:r>
        <w:rPr>
          <w:sz w:val="20"/>
        </w:rPr>
        <w:t>afﬁrming</w:t>
      </w:r>
      <w:r>
        <w:rPr>
          <w:spacing w:val="-3"/>
          <w:sz w:val="20"/>
        </w:rPr>
        <w:t> </w:t>
      </w:r>
      <w:r>
        <w:rPr>
          <w:sz w:val="20"/>
        </w:rPr>
        <w:t>I</w:t>
      </w:r>
      <w:r>
        <w:rPr>
          <w:spacing w:val="-3"/>
          <w:sz w:val="20"/>
        </w:rPr>
        <w:t> </w:t>
      </w:r>
      <w:r>
        <w:rPr>
          <w:sz w:val="20"/>
        </w:rPr>
        <w:t>was</w:t>
      </w:r>
      <w:r>
        <w:rPr>
          <w:spacing w:val="-3"/>
          <w:sz w:val="20"/>
        </w:rPr>
        <w:t> </w:t>
      </w:r>
      <w:r>
        <w:rPr>
          <w:sz w:val="20"/>
        </w:rPr>
        <w:t>not</w:t>
      </w:r>
      <w:r>
        <w:rPr>
          <w:spacing w:val="-3"/>
          <w:sz w:val="20"/>
        </w:rPr>
        <w:t> </w:t>
      </w:r>
      <w:r>
        <w:rPr>
          <w:sz w:val="20"/>
        </w:rPr>
        <w:t>a</w:t>
      </w:r>
      <w:r>
        <w:rPr>
          <w:spacing w:val="-3"/>
          <w:sz w:val="20"/>
        </w:rPr>
        <w:t> </w:t>
      </w:r>
      <w:r>
        <w:rPr>
          <w:sz w:val="20"/>
        </w:rPr>
        <w:t>journalist,</w:t>
      </w:r>
      <w:r>
        <w:rPr>
          <w:spacing w:val="-3"/>
          <w:sz w:val="20"/>
        </w:rPr>
        <w:t> </w:t>
      </w:r>
      <w:r>
        <w:rPr>
          <w:sz w:val="20"/>
        </w:rPr>
        <w:t>was</w:t>
      </w:r>
      <w:r>
        <w:rPr>
          <w:spacing w:val="-3"/>
          <w:sz w:val="20"/>
        </w:rPr>
        <w:t> </w:t>
      </w:r>
      <w:r>
        <w:rPr>
          <w:sz w:val="20"/>
        </w:rPr>
        <w:t>a</w:t>
      </w:r>
      <w:r>
        <w:rPr>
          <w:spacing w:val="-3"/>
          <w:sz w:val="20"/>
        </w:rPr>
        <w:t> </w:t>
      </w:r>
      <w:r>
        <w:rPr>
          <w:sz w:val="20"/>
        </w:rPr>
        <w:t>straightforward</w:t>
      </w:r>
      <w:r>
        <w:rPr>
          <w:spacing w:val="-3"/>
          <w:sz w:val="20"/>
        </w:rPr>
        <w:t> </w:t>
      </w:r>
      <w:r>
        <w:rPr>
          <w:i/>
          <w:sz w:val="20"/>
        </w:rPr>
        <w:t>“no”</w:t>
      </w:r>
      <w:r>
        <w:rPr>
          <w:sz w:val="20"/>
        </w:rPr>
        <w:t>.</w:t>
      </w:r>
    </w:p>
    <w:p>
      <w:pPr>
        <w:pStyle w:val="BodyText"/>
        <w:spacing w:line="271" w:lineRule="auto"/>
        <w:ind w:left="176" w:right="141" w:firstLine="199"/>
        <w:jc w:val="both"/>
      </w:pPr>
      <w:r>
        <w:rPr/>
        <w:t>This</w:t>
      </w:r>
      <w:r>
        <w:rPr>
          <w:spacing w:val="-3"/>
        </w:rPr>
        <w:t> </w:t>
      </w:r>
      <w:r>
        <w:rPr/>
        <w:t>response</w:t>
      </w:r>
      <w:r>
        <w:rPr>
          <w:spacing w:val="-3"/>
        </w:rPr>
        <w:t> </w:t>
      </w:r>
      <w:r>
        <w:rPr/>
        <w:t>suggests</w:t>
      </w:r>
      <w:r>
        <w:rPr>
          <w:spacing w:val="-3"/>
        </w:rPr>
        <w:t> </w:t>
      </w:r>
      <w:r>
        <w:rPr/>
        <w:t>that</w:t>
      </w:r>
      <w:r>
        <w:rPr>
          <w:spacing w:val="-3"/>
        </w:rPr>
        <w:t> </w:t>
      </w:r>
      <w:r>
        <w:rPr/>
        <w:t>sovereign</w:t>
      </w:r>
      <w:r>
        <w:rPr>
          <w:spacing w:val="-3"/>
        </w:rPr>
        <w:t> </w:t>
      </w:r>
      <w:r>
        <w:rPr/>
        <w:t>debt</w:t>
      </w:r>
      <w:r>
        <w:rPr>
          <w:spacing w:val="-3"/>
        </w:rPr>
        <w:t> </w:t>
      </w:r>
      <w:r>
        <w:rPr/>
        <w:t>can</w:t>
      </w:r>
      <w:r>
        <w:rPr>
          <w:spacing w:val="-3"/>
        </w:rPr>
        <w:t> </w:t>
      </w:r>
      <w:r>
        <w:rPr/>
        <w:t>be</w:t>
      </w:r>
      <w:r>
        <w:rPr>
          <w:spacing w:val="-3"/>
        </w:rPr>
        <w:t> </w:t>
      </w:r>
      <w:r>
        <w:rPr/>
        <w:t>perceived</w:t>
      </w:r>
      <w:r>
        <w:rPr>
          <w:spacing w:val="-3"/>
        </w:rPr>
        <w:t> </w:t>
      </w:r>
      <w:r>
        <w:rPr/>
        <w:t>as</w:t>
      </w:r>
      <w:r>
        <w:rPr>
          <w:spacing w:val="-3"/>
        </w:rPr>
        <w:t> </w:t>
      </w:r>
      <w:r>
        <w:rPr/>
        <w:t>sustainable</w:t>
      </w:r>
      <w:r>
        <w:rPr>
          <w:spacing w:val="-3"/>
        </w:rPr>
        <w:t> </w:t>
      </w:r>
      <w:r>
        <w:rPr/>
        <w:t>through</w:t>
      </w:r>
      <w:r>
        <w:rPr>
          <w:spacing w:val="-3"/>
        </w:rPr>
        <w:t> </w:t>
      </w:r>
      <w:r>
        <w:rPr/>
        <w:t>perpetual</w:t>
      </w:r>
      <w:r>
        <w:rPr>
          <w:spacing w:val="-2"/>
        </w:rPr>
        <w:t> </w:t>
      </w:r>
      <w:r>
        <w:rPr/>
        <w:t>rollover,</w:t>
      </w:r>
      <w:r>
        <w:rPr>
          <w:spacing w:val="-3"/>
        </w:rPr>
        <w:t> </w:t>
      </w:r>
      <w:r>
        <w:rPr/>
        <w:t>enabling</w:t>
      </w:r>
      <w:r>
        <w:rPr>
          <w:spacing w:val="-3"/>
        </w:rPr>
        <w:t> </w:t>
      </w:r>
      <w:r>
        <w:rPr/>
        <w:t>its</w:t>
      </w:r>
      <w:r>
        <w:rPr>
          <w:spacing w:val="-3"/>
        </w:rPr>
        <w:t> </w:t>
      </w:r>
      <w:r>
        <w:rPr/>
        <w:t>exponen- tial growth. The question of whether this ultimately leads to monetary and economic disruptions is an intriguing one </w:t>
      </w:r>
      <w:hyperlink w:history="true" w:anchor="_bookmark25">
        <w:r>
          <w:rPr/>
          <w:t>(Sauer</w:t>
        </w:r>
      </w:hyperlink>
      <w:r>
        <w:rPr/>
        <w:t>, </w:t>
      </w:r>
      <w:hyperlink w:history="true" w:anchor="_bookmark25">
        <w:r>
          <w:rPr/>
          <w:t>2023</w:t>
        </w:r>
      </w:hyperlink>
      <w:r>
        <w:rPr/>
        <w:t>).</w:t>
      </w:r>
    </w:p>
    <w:p>
      <w:pPr>
        <w:pStyle w:val="BodyText"/>
      </w:pPr>
    </w:p>
    <w:p>
      <w:pPr>
        <w:pStyle w:val="BodyText"/>
        <w:spacing w:before="3"/>
        <w:rPr>
          <w:sz w:val="24"/>
        </w:rPr>
      </w:pPr>
    </w:p>
    <w:p>
      <w:pPr>
        <w:pStyle w:val="Heading1"/>
        <w:numPr>
          <w:ilvl w:val="0"/>
          <w:numId w:val="1"/>
        </w:numPr>
        <w:tabs>
          <w:tab w:pos="973" w:val="left" w:leader="none"/>
          <w:tab w:pos="974" w:val="left" w:leader="none"/>
        </w:tabs>
        <w:spacing w:line="240" w:lineRule="auto" w:before="0" w:after="0"/>
        <w:ind w:left="973" w:right="0" w:hanging="798"/>
        <w:jc w:val="left"/>
      </w:pPr>
      <w:r>
        <w:rPr/>
        <w:pict>
          <v:line style="position:absolute;mso-position-horizontal-relative:page;mso-position-vertical-relative:paragraph;z-index:-15996928" from="67.248001pt,11.203138pt" to="67.248001pt,.742138pt" stroked="true" strokeweight=".9963pt" strokecolor="#000000">
            <v:stroke dashstyle="solid"/>
            <w10:wrap type="none"/>
          </v:line>
        </w:pict>
      </w:r>
      <w:bookmarkStart w:name="Reflections of the origin and avoidance " w:id="17"/>
      <w:bookmarkEnd w:id="17"/>
      <w:r>
        <w:rPr>
          <w:b w:val="0"/>
        </w:rPr>
      </w:r>
      <w:bookmarkStart w:name="Reflections of the origin and avoidance " w:id="18"/>
      <w:bookmarkEnd w:id="18"/>
      <w:r>
        <w:rPr/>
        <w:t>REFLECTIONS</w:t>
      </w:r>
      <w:r>
        <w:rPr/>
        <w:t> OF THE ORIGIN AND </w:t>
      </w:r>
      <w:r>
        <w:rPr>
          <w:spacing w:val="-7"/>
        </w:rPr>
        <w:t>AVOIDANCE </w:t>
      </w:r>
      <w:r>
        <w:rPr/>
        <w:t>OF THE</w:t>
      </w:r>
      <w:r>
        <w:rPr>
          <w:spacing w:val="-6"/>
        </w:rPr>
        <w:t> </w:t>
      </w:r>
      <w:r>
        <w:rPr>
          <w:spacing w:val="-3"/>
        </w:rPr>
        <w:t>STRATEGEMS</w:t>
      </w:r>
    </w:p>
    <w:p>
      <w:pPr>
        <w:pStyle w:val="BodyText"/>
        <w:spacing w:before="1"/>
        <w:rPr>
          <w:b/>
          <w:sz w:val="14"/>
        </w:rPr>
      </w:pPr>
    </w:p>
    <w:p>
      <w:pPr>
        <w:pStyle w:val="BodyText"/>
        <w:spacing w:line="271" w:lineRule="auto" w:before="97"/>
        <w:ind w:left="176" w:right="171"/>
        <w:jc w:val="both"/>
      </w:pPr>
      <w:r>
        <w:rPr/>
        <w:t>Many of the aforementioned strategies involve securing ‘free’ loans from the Eurosystem, followed by de facto default or postponement of such a default. With inﬁnite time and volume horizons, repaying the collateral and compounded interest becomes both illusory and irrelevant.</w:t>
      </w:r>
    </w:p>
    <w:p>
      <w:pPr>
        <w:pStyle w:val="BodyText"/>
        <w:spacing w:line="271" w:lineRule="auto"/>
        <w:ind w:left="169" w:right="141" w:firstLine="205"/>
        <w:jc w:val="both"/>
      </w:pPr>
      <w:r>
        <w:rPr/>
        <w:t>Moreover, if the interest rate is effectively zero, the constraints on purchasing, such as acquiring equity, are primarily de- termined by the capacity to obtain credit and the (im)possibility of concealing such transactions from public scrutiny. In the (unrealistic) limit, it would theoretically be possible to acquire, and sustain the acquisition of, ‘everything for nothing’ with very little collateral.</w:t>
      </w:r>
    </w:p>
    <w:p>
      <w:pPr>
        <w:pStyle w:val="BodyText"/>
        <w:spacing w:line="271" w:lineRule="auto"/>
        <w:ind w:left="169" w:right="167" w:firstLine="206"/>
        <w:jc w:val="both"/>
      </w:pPr>
      <w:r>
        <w:rPr/>
        <w:t>The viability of these strategies relies on the use of non-physical ﬁat currencies, in contrast to those backed by a limited medium of exchange, such as gold, silver, or algorithmically secured ‘hard’ currencies. I do not aim to dispute the advantages of ﬁat money in general, as I believe that only ﬁat currency can provide the necessary adaptability and elasticity to cope   with productivity increases driven by emerging technologies, growing populations, and expanding economies. </w:t>
      </w:r>
      <w:r>
        <w:rPr>
          <w:spacing w:val="-3"/>
        </w:rPr>
        <w:t>However, </w:t>
      </w:r>
      <w:r>
        <w:rPr/>
        <w:t>the intangible nature of ﬁat currencies makes them vulnerable to manipulation, resulting in unintended wealth redistribution and concentration, as exempliﬁed by the Free Rider Problem </w:t>
      </w:r>
      <w:hyperlink w:history="true" w:anchor="_bookmark5">
        <w:r>
          <w:rPr/>
          <w:t>(Congdon</w:t>
        </w:r>
      </w:hyperlink>
      <w:r>
        <w:rPr/>
        <w:t>, </w:t>
      </w:r>
      <w:hyperlink w:history="true" w:anchor="_bookmark5">
        <w:r>
          <w:rPr/>
          <w:t>2022</w:t>
        </w:r>
      </w:hyperlink>
      <w:r>
        <w:rPr/>
        <w:t>). Consequently, it has been proposed that “a new constitutional</w:t>
      </w:r>
      <w:r>
        <w:rPr>
          <w:spacing w:val="-3"/>
        </w:rPr>
        <w:t> </w:t>
      </w:r>
      <w:r>
        <w:rPr/>
        <w:t>consensus</w:t>
      </w:r>
      <w:r>
        <w:rPr>
          <w:spacing w:val="-3"/>
        </w:rPr>
        <w:t> </w:t>
      </w:r>
      <w:r>
        <w:rPr/>
        <w:t>for</w:t>
      </w:r>
      <w:r>
        <w:rPr>
          <w:spacing w:val="-2"/>
        </w:rPr>
        <w:t> </w:t>
      </w:r>
      <w:r>
        <w:rPr/>
        <w:t>the</w:t>
      </w:r>
      <w:r>
        <w:rPr>
          <w:spacing w:val="-3"/>
        </w:rPr>
        <w:t> </w:t>
      </w:r>
      <w:r>
        <w:rPr/>
        <w:t>EU,</w:t>
      </w:r>
      <w:r>
        <w:rPr>
          <w:spacing w:val="-2"/>
        </w:rPr>
        <w:t> </w:t>
      </w:r>
      <w:r>
        <w:rPr/>
        <w:t>endowed</w:t>
      </w:r>
      <w:r>
        <w:rPr>
          <w:spacing w:val="-3"/>
        </w:rPr>
        <w:t> </w:t>
      </w:r>
      <w:r>
        <w:rPr/>
        <w:t>with</w:t>
      </w:r>
      <w:r>
        <w:rPr>
          <w:spacing w:val="-2"/>
        </w:rPr>
        <w:t> </w:t>
      </w:r>
      <w:r>
        <w:rPr/>
        <w:t>sound</w:t>
      </w:r>
      <w:r>
        <w:rPr>
          <w:spacing w:val="-3"/>
        </w:rPr>
        <w:t> </w:t>
      </w:r>
      <w:r>
        <w:rPr/>
        <w:t>economic</w:t>
      </w:r>
      <w:r>
        <w:rPr>
          <w:spacing w:val="-2"/>
        </w:rPr>
        <w:t> </w:t>
      </w:r>
      <w:r>
        <w:rPr/>
        <w:t>foundations,</w:t>
      </w:r>
      <w:r>
        <w:rPr>
          <w:spacing w:val="-3"/>
        </w:rPr>
        <w:t> </w:t>
      </w:r>
      <w:r>
        <w:rPr/>
        <w:t>is</w:t>
      </w:r>
      <w:r>
        <w:rPr>
          <w:spacing w:val="-2"/>
        </w:rPr>
        <w:t> </w:t>
      </w:r>
      <w:r>
        <w:rPr/>
        <w:t>[[</w:t>
      </w:r>
      <w:r>
        <w:rPr>
          <w:rFonts w:ascii="Arial" w:hAnsi="Arial"/>
          <w:i/>
        </w:rPr>
        <w:t>.</w:t>
      </w:r>
      <w:r>
        <w:rPr>
          <w:rFonts w:ascii="Arial" w:hAnsi="Arial"/>
          <w:i/>
          <w:spacing w:val="-24"/>
        </w:rPr>
        <w:t> </w:t>
      </w:r>
      <w:r>
        <w:rPr>
          <w:rFonts w:ascii="Arial" w:hAnsi="Arial"/>
          <w:i/>
        </w:rPr>
        <w:t>.</w:t>
      </w:r>
      <w:r>
        <w:rPr>
          <w:rFonts w:ascii="Arial" w:hAnsi="Arial"/>
          <w:i/>
          <w:spacing w:val="-25"/>
        </w:rPr>
        <w:t> </w:t>
      </w:r>
      <w:r>
        <w:rPr>
          <w:rFonts w:ascii="Arial" w:hAnsi="Arial"/>
          <w:i/>
        </w:rPr>
        <w:t>.</w:t>
      </w:r>
      <w:r>
        <w:rPr/>
        <w:t>]]</w:t>
      </w:r>
      <w:r>
        <w:rPr>
          <w:spacing w:val="-2"/>
        </w:rPr>
        <w:t> </w:t>
      </w:r>
      <w:r>
        <w:rPr/>
        <w:t>indispensable”</w:t>
      </w:r>
      <w:r>
        <w:rPr>
          <w:spacing w:val="-3"/>
        </w:rPr>
        <w:t> </w:t>
      </w:r>
      <w:r>
        <w:rPr/>
        <w:t>(</w:t>
      </w:r>
      <w:hyperlink w:history="true" w:anchor="_bookmark20">
        <w:r>
          <w:rPr/>
          <w:t>Ojeda</w:t>
        </w:r>
      </w:hyperlink>
      <w:r>
        <w:rPr/>
        <w:t>,</w:t>
      </w:r>
      <w:r>
        <w:rPr>
          <w:spacing w:val="-2"/>
        </w:rPr>
        <w:t> </w:t>
      </w:r>
      <w:hyperlink w:history="true" w:anchor="_bookmark20">
        <w:r>
          <w:rPr/>
          <w:t>2022</w:t>
        </w:r>
      </w:hyperlink>
      <w:r>
        <w:rPr/>
        <w:t>).</w:t>
      </w:r>
    </w:p>
    <w:p>
      <w:pPr>
        <w:spacing w:after="0" w:line="271" w:lineRule="auto"/>
        <w:jc w:val="both"/>
        <w:sectPr>
          <w:pgSz w:w="11910" w:h="15650"/>
          <w:pgMar w:header="730" w:footer="0" w:top="940" w:bottom="280" w:left="740" w:right="760"/>
        </w:sectPr>
      </w:pPr>
    </w:p>
    <w:p>
      <w:pPr>
        <w:pStyle w:val="BodyText"/>
        <w:spacing w:line="271" w:lineRule="auto" w:before="146"/>
        <w:ind w:left="196" w:right="138" w:firstLine="199"/>
        <w:jc w:val="both"/>
      </w:pPr>
      <w:r>
        <w:rPr/>
        <w:t>Even</w:t>
      </w:r>
      <w:r>
        <w:rPr>
          <w:spacing w:val="-13"/>
        </w:rPr>
        <w:t> </w:t>
      </w:r>
      <w:r>
        <w:rPr/>
        <w:t>if</w:t>
      </w:r>
      <w:r>
        <w:rPr>
          <w:spacing w:val="-13"/>
        </w:rPr>
        <w:t> </w:t>
      </w:r>
      <w:r>
        <w:rPr/>
        <w:t>money</w:t>
      </w:r>
      <w:r>
        <w:rPr>
          <w:spacing w:val="-13"/>
        </w:rPr>
        <w:t> </w:t>
      </w:r>
      <w:r>
        <w:rPr/>
        <w:t>creation</w:t>
      </w:r>
      <w:r>
        <w:rPr>
          <w:spacing w:val="-12"/>
        </w:rPr>
        <w:t> </w:t>
      </w:r>
      <w:r>
        <w:rPr/>
        <w:t>occurs</w:t>
      </w:r>
      <w:r>
        <w:rPr>
          <w:spacing w:val="-13"/>
        </w:rPr>
        <w:t> </w:t>
      </w:r>
      <w:r>
        <w:rPr/>
        <w:t>in</w:t>
      </w:r>
      <w:r>
        <w:rPr>
          <w:spacing w:val="-13"/>
        </w:rPr>
        <w:t> </w:t>
      </w:r>
      <w:r>
        <w:rPr/>
        <w:t>large</w:t>
      </w:r>
      <w:r>
        <w:rPr>
          <w:spacing w:val="-13"/>
        </w:rPr>
        <w:t> </w:t>
      </w:r>
      <w:r>
        <w:rPr/>
        <w:t>quantities,</w:t>
      </w:r>
      <w:r>
        <w:rPr>
          <w:spacing w:val="-12"/>
        </w:rPr>
        <w:t> </w:t>
      </w:r>
      <w:r>
        <w:rPr/>
        <w:t>it</w:t>
      </w:r>
      <w:r>
        <w:rPr>
          <w:spacing w:val="-13"/>
        </w:rPr>
        <w:t> </w:t>
      </w:r>
      <w:r>
        <w:rPr/>
        <w:t>does</w:t>
      </w:r>
      <w:r>
        <w:rPr>
          <w:spacing w:val="-13"/>
        </w:rPr>
        <w:t> </w:t>
      </w:r>
      <w:r>
        <w:rPr/>
        <w:t>not</w:t>
      </w:r>
      <w:r>
        <w:rPr>
          <w:spacing w:val="-13"/>
        </w:rPr>
        <w:t> </w:t>
      </w:r>
      <w:r>
        <w:rPr/>
        <w:t>necessarily</w:t>
      </w:r>
      <w:r>
        <w:rPr>
          <w:spacing w:val="-12"/>
        </w:rPr>
        <w:t> </w:t>
      </w:r>
      <w:r>
        <w:rPr/>
        <w:t>lead</w:t>
      </w:r>
      <w:r>
        <w:rPr>
          <w:spacing w:val="-13"/>
        </w:rPr>
        <w:t> </w:t>
      </w:r>
      <w:r>
        <w:rPr/>
        <w:t>to</w:t>
      </w:r>
      <w:r>
        <w:rPr>
          <w:spacing w:val="-13"/>
        </w:rPr>
        <w:t> </w:t>
      </w:r>
      <w:r>
        <w:rPr/>
        <w:t>‘excessive’</w:t>
      </w:r>
      <w:r>
        <w:rPr>
          <w:spacing w:val="-13"/>
        </w:rPr>
        <w:t> </w:t>
      </w:r>
      <w:r>
        <w:rPr/>
        <w:t>inﬂation</w:t>
      </w:r>
      <w:r>
        <w:rPr>
          <w:spacing w:val="-12"/>
        </w:rPr>
        <w:t> </w:t>
      </w:r>
      <w:r>
        <w:rPr/>
        <w:t>(more</w:t>
      </w:r>
      <w:r>
        <w:rPr>
          <w:spacing w:val="-13"/>
        </w:rPr>
        <w:t> </w:t>
      </w:r>
      <w:r>
        <w:rPr/>
        <w:t>than</w:t>
      </w:r>
      <w:r>
        <w:rPr>
          <w:spacing w:val="-13"/>
        </w:rPr>
        <w:t> </w:t>
      </w:r>
      <w:r>
        <w:rPr/>
        <w:t>around</w:t>
      </w:r>
      <w:r>
        <w:rPr>
          <w:spacing w:val="-13"/>
        </w:rPr>
        <w:t> </w:t>
      </w:r>
      <w:r>
        <w:rPr/>
        <w:t>100% per annum), regardless of the volume of the money supply. While demand-pull inﬂation—too much money chasing too few goods—might suggest otherwise (</w:t>
      </w:r>
      <w:hyperlink w:history="true" w:anchor="_bookmark1">
        <w:r>
          <w:rPr/>
          <w:t>Barth &amp; Bennett</w:t>
        </w:r>
      </w:hyperlink>
      <w:r>
        <w:rPr/>
        <w:t>, </w:t>
      </w:r>
      <w:hyperlink w:history="true" w:anchor="_bookmark1">
        <w:r>
          <w:rPr/>
          <w:t>1975</w:t>
        </w:r>
      </w:hyperlink>
      <w:r>
        <w:rPr/>
        <w:t>), the possibility of ‘hoarding’—money stashed away and suddenly released—must also be</w:t>
      </w:r>
      <w:r>
        <w:rPr>
          <w:spacing w:val="-4"/>
        </w:rPr>
        <w:t> </w:t>
      </w:r>
      <w:r>
        <w:rPr/>
        <w:t>considered.</w:t>
      </w:r>
    </w:p>
    <w:p>
      <w:pPr>
        <w:pStyle w:val="BodyText"/>
        <w:spacing w:line="271" w:lineRule="auto"/>
        <w:ind w:left="196" w:right="154" w:firstLine="199"/>
        <w:jc w:val="both"/>
      </w:pPr>
      <w:r>
        <w:rPr/>
        <w:t>Indeed, it has been proposed that as long as this additional money does not appear in foreign exchanges, competing against other currencies, it will not lead to substantial inﬂation </w:t>
      </w:r>
      <w:hyperlink w:history="true" w:anchor="_bookmark25">
        <w:r>
          <w:rPr/>
          <w:t>(Sauer</w:t>
        </w:r>
      </w:hyperlink>
      <w:r>
        <w:rPr/>
        <w:t>, </w:t>
      </w:r>
      <w:hyperlink w:history="true" w:anchor="_bookmark25">
        <w:r>
          <w:rPr/>
          <w:t>2023</w:t>
        </w:r>
      </w:hyperlink>
      <w:r>
        <w:rPr/>
        <w:t>). This is exempliﬁed by Japan, which has experienced both large trade surpluses and internal debt (</w:t>
      </w:r>
      <w:hyperlink w:history="true" w:anchor="_bookmark30">
        <w:r>
          <w:rPr/>
          <w:t>Werner</w:t>
        </w:r>
      </w:hyperlink>
      <w:r>
        <w:rPr/>
        <w:t>, </w:t>
      </w:r>
      <w:hyperlink w:history="true" w:anchor="_bookmark30">
        <w:r>
          <w:rPr/>
          <w:t>2003</w:t>
        </w:r>
      </w:hyperlink>
      <w:r>
        <w:rPr/>
        <w:t>, </w:t>
      </w:r>
      <w:hyperlink w:history="true" w:anchor="_bookmark31">
        <w:r>
          <w:rPr/>
          <w:t>2005</w:t>
        </w:r>
      </w:hyperlink>
      <w:r>
        <w:rPr/>
        <w:t>).</w:t>
      </w:r>
    </w:p>
    <w:p>
      <w:pPr>
        <w:pStyle w:val="BodyText"/>
        <w:spacing w:line="271" w:lineRule="auto"/>
        <w:ind w:left="196" w:right="121" w:firstLine="199"/>
        <w:jc w:val="both"/>
      </w:pPr>
      <w:r>
        <w:rPr/>
        <w:t>It is also conceivable that as long as the currency is ‘demanded’ or ‘wanted’ in relation to other currencies—such as due   to a trade surplus or demand for commodities, particularly those related to energy—there will be no excessive inﬂation. Con- sequently, if one holds a reserve currency (which is always ‘wanted’ because of perpetual demand for those resources), it is possible to print ‘as much money as one wants’ without causing excessive</w:t>
      </w:r>
      <w:r>
        <w:rPr>
          <w:spacing w:val="-18"/>
        </w:rPr>
        <w:t> </w:t>
      </w:r>
      <w:r>
        <w:rPr/>
        <w:t>inﬂation.</w:t>
      </w:r>
    </w:p>
    <w:p>
      <w:pPr>
        <w:pStyle w:val="BodyText"/>
        <w:spacing w:line="271" w:lineRule="auto"/>
        <w:ind w:left="196" w:right="154" w:firstLine="199"/>
        <w:jc w:val="both"/>
      </w:pPr>
      <w:r>
        <w:rPr/>
        <w:t>The causes and true nature of these scenarios or strategems remain ambiguous to external observers: are they the product of inadequate design and unforeseen repercussions, or are they deliberately coordinated by factions within or outside </w:t>
      </w:r>
      <w:r>
        <w:rPr>
          <w:spacing w:val="-4"/>
        </w:rPr>
        <w:t>the </w:t>
      </w:r>
      <w:r>
        <w:rPr/>
        <w:t>Eurosystem</w:t>
      </w:r>
      <w:r>
        <w:rPr>
          <w:spacing w:val="-7"/>
        </w:rPr>
        <w:t> </w:t>
      </w:r>
      <w:r>
        <w:rPr/>
        <w:t>to,</w:t>
      </w:r>
      <w:r>
        <w:rPr>
          <w:spacing w:val="-6"/>
        </w:rPr>
        <w:t> </w:t>
      </w:r>
      <w:r>
        <w:rPr/>
        <w:t>for</w:t>
      </w:r>
      <w:r>
        <w:rPr>
          <w:spacing w:val="-6"/>
        </w:rPr>
        <w:t> </w:t>
      </w:r>
      <w:r>
        <w:rPr/>
        <w:t>instance,</w:t>
      </w:r>
      <w:r>
        <w:rPr>
          <w:spacing w:val="-7"/>
        </w:rPr>
        <w:t> </w:t>
      </w:r>
      <w:r>
        <w:rPr/>
        <w:t>reassign</w:t>
      </w:r>
      <w:r>
        <w:rPr>
          <w:spacing w:val="-6"/>
        </w:rPr>
        <w:t> </w:t>
      </w:r>
      <w:r>
        <w:rPr/>
        <w:t>wealth</w:t>
      </w:r>
      <w:r>
        <w:rPr>
          <w:spacing w:val="-6"/>
        </w:rPr>
        <w:t> </w:t>
      </w:r>
      <w:r>
        <w:rPr/>
        <w:t>among</w:t>
      </w:r>
      <w:r>
        <w:rPr>
          <w:spacing w:val="-7"/>
        </w:rPr>
        <w:t> </w:t>
      </w:r>
      <w:r>
        <w:rPr/>
        <w:t>member</w:t>
      </w:r>
      <w:r>
        <w:rPr>
          <w:spacing w:val="-6"/>
        </w:rPr>
        <w:t> </w:t>
      </w:r>
      <w:r>
        <w:rPr/>
        <w:t>states</w:t>
      </w:r>
      <w:r>
        <w:rPr>
          <w:spacing w:val="-6"/>
        </w:rPr>
        <w:t> </w:t>
      </w:r>
      <w:hyperlink w:history="true" w:anchor="_bookmark5">
        <w:r>
          <w:rPr/>
          <w:t>(Congdon</w:t>
        </w:r>
      </w:hyperlink>
      <w:r>
        <w:rPr/>
        <w:t>,</w:t>
      </w:r>
      <w:r>
        <w:rPr>
          <w:spacing w:val="-7"/>
        </w:rPr>
        <w:t> </w:t>
      </w:r>
      <w:hyperlink w:history="true" w:anchor="_bookmark5">
        <w:r>
          <w:rPr/>
          <w:t>2022</w:t>
        </w:r>
      </w:hyperlink>
      <w:r>
        <w:rPr/>
        <w:t>)?</w:t>
      </w:r>
      <w:r>
        <w:rPr>
          <w:spacing w:val="-6"/>
        </w:rPr>
        <w:t> </w:t>
      </w:r>
      <w:r>
        <w:rPr/>
        <w:t>Regardless</w:t>
      </w:r>
      <w:r>
        <w:rPr>
          <w:spacing w:val="-6"/>
        </w:rPr>
        <w:t> </w:t>
      </w:r>
      <w:r>
        <w:rPr/>
        <w:t>of</w:t>
      </w:r>
      <w:r>
        <w:rPr>
          <w:spacing w:val="-7"/>
        </w:rPr>
        <w:t> </w:t>
      </w:r>
      <w:r>
        <w:rPr/>
        <w:t>whether</w:t>
      </w:r>
      <w:r>
        <w:rPr>
          <w:spacing w:val="-6"/>
        </w:rPr>
        <w:t> </w:t>
      </w:r>
      <w:r>
        <w:rPr/>
        <w:t>the</w:t>
      </w:r>
      <w:r>
        <w:rPr>
          <w:spacing w:val="-6"/>
        </w:rPr>
        <w:t> </w:t>
      </w:r>
      <w:r>
        <w:rPr/>
        <w:t>impetus</w:t>
      </w:r>
      <w:r>
        <w:rPr>
          <w:spacing w:val="-7"/>
        </w:rPr>
        <w:t> </w:t>
      </w:r>
      <w:r>
        <w:rPr/>
        <w:t>stems from</w:t>
      </w:r>
      <w:r>
        <w:rPr>
          <w:spacing w:val="-4"/>
        </w:rPr>
        <w:t> </w:t>
      </w:r>
      <w:r>
        <w:rPr/>
        <w:t>systemic</w:t>
      </w:r>
      <w:r>
        <w:rPr>
          <w:spacing w:val="-3"/>
        </w:rPr>
        <w:t> </w:t>
      </w:r>
      <w:r>
        <w:rPr/>
        <w:t>deﬁciencies</w:t>
      </w:r>
      <w:r>
        <w:rPr>
          <w:spacing w:val="-3"/>
        </w:rPr>
        <w:t> </w:t>
      </w:r>
      <w:r>
        <w:rPr/>
        <w:t>or</w:t>
      </w:r>
      <w:r>
        <w:rPr>
          <w:spacing w:val="-3"/>
        </w:rPr>
        <w:t> </w:t>
      </w:r>
      <w:r>
        <w:rPr/>
        <w:t>calculated</w:t>
      </w:r>
      <w:r>
        <w:rPr>
          <w:spacing w:val="-3"/>
        </w:rPr>
        <w:t> </w:t>
      </w:r>
      <w:r>
        <w:rPr/>
        <w:t>maneuvers,</w:t>
      </w:r>
      <w:r>
        <w:rPr>
          <w:spacing w:val="-3"/>
        </w:rPr>
        <w:t> </w:t>
      </w:r>
      <w:r>
        <w:rPr/>
        <w:t>the</w:t>
      </w:r>
      <w:r>
        <w:rPr>
          <w:spacing w:val="-3"/>
        </w:rPr>
        <w:t> </w:t>
      </w:r>
      <w:r>
        <w:rPr/>
        <w:t>Eurosystem</w:t>
      </w:r>
      <w:r>
        <w:rPr>
          <w:spacing w:val="-4"/>
        </w:rPr>
        <w:t> </w:t>
      </w:r>
      <w:r>
        <w:rPr/>
        <w:t>demands</w:t>
      </w:r>
      <w:r>
        <w:rPr>
          <w:spacing w:val="-3"/>
        </w:rPr>
        <w:t> </w:t>
      </w:r>
      <w:r>
        <w:rPr/>
        <w:t>(</w:t>
      </w:r>
      <w:hyperlink w:history="true" w:anchor="_bookmark20">
        <w:r>
          <w:rPr/>
          <w:t>Ojeda</w:t>
        </w:r>
      </w:hyperlink>
      <w:r>
        <w:rPr/>
        <w:t>,</w:t>
      </w:r>
      <w:r>
        <w:rPr>
          <w:spacing w:val="-3"/>
        </w:rPr>
        <w:t> </w:t>
      </w:r>
      <w:hyperlink w:history="true" w:anchor="_bookmark20">
        <w:r>
          <w:rPr/>
          <w:t>2022</w:t>
        </w:r>
      </w:hyperlink>
      <w:r>
        <w:rPr/>
        <w:t>)</w:t>
      </w:r>
      <w:r>
        <w:rPr>
          <w:spacing w:val="-3"/>
        </w:rPr>
        <w:t> </w:t>
      </w:r>
      <w:r>
        <w:rPr/>
        <w:t>a</w:t>
      </w:r>
      <w:r>
        <w:rPr>
          <w:spacing w:val="-3"/>
        </w:rPr>
        <w:t> </w:t>
      </w:r>
      <w:r>
        <w:rPr/>
        <w:t>comprehensive</w:t>
      </w:r>
      <w:r>
        <w:rPr>
          <w:spacing w:val="-3"/>
        </w:rPr>
        <w:t> </w:t>
      </w:r>
      <w:r>
        <w:rPr/>
        <w:t>overhaul.</w:t>
      </w:r>
    </w:p>
    <w:p>
      <w:pPr>
        <w:pStyle w:val="BodyText"/>
      </w:pPr>
    </w:p>
    <w:p>
      <w:pPr>
        <w:pStyle w:val="BodyText"/>
        <w:spacing w:before="2"/>
        <w:rPr>
          <w:sz w:val="24"/>
        </w:rPr>
      </w:pPr>
    </w:p>
    <w:p>
      <w:pPr>
        <w:pStyle w:val="Heading1"/>
        <w:numPr>
          <w:ilvl w:val="0"/>
          <w:numId w:val="1"/>
        </w:numPr>
        <w:tabs>
          <w:tab w:pos="993" w:val="left" w:leader="none"/>
          <w:tab w:pos="994" w:val="left" w:leader="none"/>
        </w:tabs>
        <w:spacing w:line="240" w:lineRule="auto" w:before="0" w:after="0"/>
        <w:ind w:left="993" w:right="0" w:hanging="798"/>
        <w:jc w:val="left"/>
      </w:pPr>
      <w:r>
        <w:rPr/>
        <w:pict>
          <v:line style="position:absolute;mso-position-horizontal-relative:page;mso-position-vertical-relative:paragraph;z-index:-15996416" from="68.244003pt,11.203124pt" to="68.244003pt,.742124pt" stroked="true" strokeweight=".9963pt" strokecolor="#000000">
            <v:stroke dashstyle="solid"/>
            <w10:wrap type="none"/>
          </v:line>
        </w:pict>
      </w:r>
      <w:bookmarkStart w:name="Conclusions" w:id="19"/>
      <w:bookmarkEnd w:id="19"/>
      <w:r>
        <w:rPr>
          <w:b w:val="0"/>
        </w:rPr>
      </w:r>
      <w:bookmarkStart w:name="References" w:id="20"/>
      <w:bookmarkEnd w:id="20"/>
      <w:r>
        <w:rPr>
          <w:b w:val="0"/>
        </w:rPr>
      </w:r>
      <w:bookmarkStart w:name="References" w:id="21"/>
      <w:bookmarkEnd w:id="21"/>
      <w:r>
        <w:rPr/>
        <w:t>CONCLUSIONS</w:t>
      </w:r>
    </w:p>
    <w:p>
      <w:pPr>
        <w:pStyle w:val="BodyText"/>
        <w:spacing w:before="1"/>
        <w:rPr>
          <w:b/>
          <w:sz w:val="14"/>
        </w:rPr>
      </w:pPr>
    </w:p>
    <w:p>
      <w:pPr>
        <w:pStyle w:val="BodyText"/>
        <w:spacing w:line="271" w:lineRule="auto" w:before="98"/>
        <w:ind w:left="196" w:right="121" w:hanging="7"/>
        <w:jc w:val="both"/>
      </w:pPr>
      <w:r>
        <w:rPr/>
        <w:t>This paper has identiﬁed and analyzed six key strategies employed to exploit the Eurosystem’s ﬁnancial mechanisms, high- lighting</w:t>
      </w:r>
      <w:r>
        <w:rPr>
          <w:spacing w:val="-8"/>
        </w:rPr>
        <w:t> </w:t>
      </w:r>
      <w:r>
        <w:rPr/>
        <w:t>signiﬁcant</w:t>
      </w:r>
      <w:r>
        <w:rPr>
          <w:spacing w:val="-8"/>
        </w:rPr>
        <w:t> </w:t>
      </w:r>
      <w:r>
        <w:rPr/>
        <w:t>vulnerabilities</w:t>
      </w:r>
      <w:r>
        <w:rPr>
          <w:spacing w:val="-8"/>
        </w:rPr>
        <w:t> </w:t>
      </w:r>
      <w:r>
        <w:rPr/>
        <w:t>within</w:t>
      </w:r>
      <w:r>
        <w:rPr>
          <w:spacing w:val="-8"/>
        </w:rPr>
        <w:t> </w:t>
      </w:r>
      <w:r>
        <w:rPr/>
        <w:t>the</w:t>
      </w:r>
      <w:r>
        <w:rPr>
          <w:spacing w:val="-8"/>
        </w:rPr>
        <w:t> </w:t>
      </w:r>
      <w:r>
        <w:rPr/>
        <w:t>current</w:t>
      </w:r>
      <w:r>
        <w:rPr>
          <w:spacing w:val="-8"/>
        </w:rPr>
        <w:t> </w:t>
      </w:r>
      <w:r>
        <w:rPr/>
        <w:t>structure.</w:t>
      </w:r>
      <w:r>
        <w:rPr>
          <w:spacing w:val="-8"/>
        </w:rPr>
        <w:t> </w:t>
      </w:r>
      <w:r>
        <w:rPr/>
        <w:t>These</w:t>
      </w:r>
      <w:r>
        <w:rPr>
          <w:spacing w:val="-8"/>
        </w:rPr>
        <w:t> </w:t>
      </w:r>
      <w:r>
        <w:rPr/>
        <w:t>strategies</w:t>
      </w:r>
      <w:r>
        <w:rPr>
          <w:spacing w:val="-8"/>
        </w:rPr>
        <w:t> </w:t>
      </w:r>
      <w:r>
        <w:rPr/>
        <w:t>include</w:t>
      </w:r>
      <w:r>
        <w:rPr>
          <w:spacing w:val="-8"/>
        </w:rPr>
        <w:t> </w:t>
      </w:r>
      <w:r>
        <w:rPr/>
        <w:t>inﬂating</w:t>
      </w:r>
      <w:r>
        <w:rPr>
          <w:spacing w:val="-8"/>
        </w:rPr>
        <w:t> </w:t>
      </w:r>
      <w:r>
        <w:rPr>
          <w:spacing w:val="-4"/>
        </w:rPr>
        <w:t>TARGET</w:t>
      </w:r>
      <w:r>
        <w:rPr>
          <w:spacing w:val="-9"/>
        </w:rPr>
        <w:t> </w:t>
      </w:r>
      <w:r>
        <w:rPr/>
        <w:t>balances,</w:t>
      </w:r>
      <w:r>
        <w:rPr>
          <w:spacing w:val="-8"/>
        </w:rPr>
        <w:t> </w:t>
      </w:r>
      <w:r>
        <w:rPr/>
        <w:t>leveraging collateral</w:t>
      </w:r>
      <w:r>
        <w:rPr>
          <w:spacing w:val="-3"/>
        </w:rPr>
        <w:t> </w:t>
      </w:r>
      <w:r>
        <w:rPr/>
        <w:t>swaps</w:t>
      </w:r>
      <w:r>
        <w:rPr>
          <w:spacing w:val="-3"/>
        </w:rPr>
        <w:t> </w:t>
      </w:r>
      <w:r>
        <w:rPr/>
        <w:t>followed</w:t>
      </w:r>
      <w:r>
        <w:rPr>
          <w:spacing w:val="-3"/>
        </w:rPr>
        <w:t> </w:t>
      </w:r>
      <w:r>
        <w:rPr/>
        <w:t>by</w:t>
      </w:r>
      <w:r>
        <w:rPr>
          <w:spacing w:val="-3"/>
        </w:rPr>
        <w:t> </w:t>
      </w:r>
      <w:r>
        <w:rPr/>
        <w:t>defaults,</w:t>
      </w:r>
      <w:r>
        <w:rPr>
          <w:spacing w:val="-3"/>
        </w:rPr>
        <w:t> </w:t>
      </w:r>
      <w:r>
        <w:rPr/>
        <w:t>diluting</w:t>
      </w:r>
      <w:r>
        <w:rPr>
          <w:spacing w:val="-3"/>
        </w:rPr>
        <w:t> </w:t>
      </w:r>
      <w:r>
        <w:rPr/>
        <w:t>self-imposed</w:t>
      </w:r>
      <w:r>
        <w:rPr>
          <w:spacing w:val="-3"/>
        </w:rPr>
        <w:t> </w:t>
      </w:r>
      <w:r>
        <w:rPr/>
        <w:t>regulatory</w:t>
      </w:r>
      <w:r>
        <w:rPr>
          <w:spacing w:val="-3"/>
        </w:rPr>
        <w:t> </w:t>
      </w:r>
      <w:r>
        <w:rPr/>
        <w:t>rules,</w:t>
      </w:r>
      <w:r>
        <w:rPr>
          <w:spacing w:val="-3"/>
        </w:rPr>
        <w:t> </w:t>
      </w:r>
      <w:r>
        <w:rPr/>
        <w:t>issuing</w:t>
      </w:r>
      <w:r>
        <w:rPr>
          <w:spacing w:val="-3"/>
        </w:rPr>
        <w:t> </w:t>
      </w:r>
      <w:r>
        <w:rPr/>
        <w:t>money</w:t>
      </w:r>
      <w:r>
        <w:rPr>
          <w:spacing w:val="-3"/>
        </w:rPr>
        <w:t> </w:t>
      </w:r>
      <w:r>
        <w:rPr/>
        <w:t>through</w:t>
      </w:r>
      <w:r>
        <w:rPr>
          <w:spacing w:val="-3"/>
        </w:rPr>
        <w:t> </w:t>
      </w:r>
      <w:r>
        <w:rPr/>
        <w:t>Emergency</w:t>
      </w:r>
      <w:r>
        <w:rPr>
          <w:spacing w:val="-3"/>
        </w:rPr>
        <w:t> </w:t>
      </w:r>
      <w:r>
        <w:rPr/>
        <w:t>Liquidity</w:t>
      </w:r>
      <w:r>
        <w:rPr>
          <w:spacing w:val="-2"/>
        </w:rPr>
        <w:t> </w:t>
      </w:r>
      <w:r>
        <w:rPr/>
        <w:t>As- sistance (ELA), acquisitions facilitated via the Agreement on Net Financial Assets </w:t>
      </w:r>
      <w:r>
        <w:rPr>
          <w:spacing w:val="-3"/>
        </w:rPr>
        <w:t>(ANFA), </w:t>
      </w:r>
      <w:r>
        <w:rPr/>
        <w:t>and the perpetual (re)issuance of sovereign bonds as collateral that, through ever increasing compound interest, may enter an unsustainable</w:t>
      </w:r>
      <w:r>
        <w:rPr>
          <w:spacing w:val="-33"/>
        </w:rPr>
        <w:t> </w:t>
      </w:r>
      <w:r>
        <w:rPr/>
        <w:t>regime.</w:t>
      </w:r>
    </w:p>
    <w:p>
      <w:pPr>
        <w:pStyle w:val="BodyText"/>
        <w:spacing w:line="271" w:lineRule="auto"/>
        <w:ind w:left="189" w:right="154" w:firstLine="206"/>
        <w:jc w:val="both"/>
      </w:pPr>
      <w:r>
        <w:rPr/>
        <w:t>The analysis highlights that these practices arise from either unintended systemic vulnerabilities or deliberate opportunism within the Eurosystem. The intangible nature of ﬁat currencies poses distinct challenges and opportunities for debasement</w:t>
      </w:r>
      <w:r>
        <w:rPr>
          <w:spacing w:val="-31"/>
        </w:rPr>
        <w:t> </w:t>
      </w:r>
      <w:r>
        <w:rPr>
          <w:spacing w:val="-6"/>
        </w:rPr>
        <w:t>and </w:t>
      </w:r>
      <w:r>
        <w:rPr/>
        <w:t>resource</w:t>
      </w:r>
      <w:r>
        <w:rPr>
          <w:spacing w:val="-7"/>
        </w:rPr>
        <w:t> </w:t>
      </w:r>
      <w:r>
        <w:rPr/>
        <w:t>reallocation,</w:t>
      </w:r>
      <w:r>
        <w:rPr>
          <w:spacing w:val="-7"/>
        </w:rPr>
        <w:t> </w:t>
      </w:r>
      <w:r>
        <w:rPr/>
        <w:t>which</w:t>
      </w:r>
      <w:r>
        <w:rPr>
          <w:spacing w:val="-7"/>
        </w:rPr>
        <w:t> </w:t>
      </w:r>
      <w:r>
        <w:rPr/>
        <w:t>are</w:t>
      </w:r>
      <w:r>
        <w:rPr>
          <w:spacing w:val="-6"/>
        </w:rPr>
        <w:t> </w:t>
      </w:r>
      <w:r>
        <w:rPr/>
        <w:t>ampliﬁed</w:t>
      </w:r>
      <w:r>
        <w:rPr>
          <w:spacing w:val="-7"/>
        </w:rPr>
        <w:t> </w:t>
      </w:r>
      <w:r>
        <w:rPr/>
        <w:t>in</w:t>
      </w:r>
      <w:r>
        <w:rPr>
          <w:spacing w:val="-7"/>
        </w:rPr>
        <w:t> </w:t>
      </w:r>
      <w:r>
        <w:rPr/>
        <w:t>a</w:t>
      </w:r>
      <w:r>
        <w:rPr>
          <w:spacing w:val="-6"/>
        </w:rPr>
        <w:t> </w:t>
      </w:r>
      <w:r>
        <w:rPr/>
        <w:t>monetary</w:t>
      </w:r>
      <w:r>
        <w:rPr>
          <w:spacing w:val="-7"/>
        </w:rPr>
        <w:t> </w:t>
      </w:r>
      <w:r>
        <w:rPr/>
        <w:t>union</w:t>
      </w:r>
      <w:r>
        <w:rPr>
          <w:spacing w:val="-7"/>
        </w:rPr>
        <w:t> </w:t>
      </w:r>
      <w:r>
        <w:rPr/>
        <w:t>characterized</w:t>
      </w:r>
      <w:r>
        <w:rPr>
          <w:spacing w:val="-6"/>
        </w:rPr>
        <w:t> </w:t>
      </w:r>
      <w:r>
        <w:rPr/>
        <w:t>by</w:t>
      </w:r>
      <w:r>
        <w:rPr>
          <w:spacing w:val="-7"/>
        </w:rPr>
        <w:t> </w:t>
      </w:r>
      <w:r>
        <w:rPr/>
        <w:t>diverse</w:t>
      </w:r>
      <w:r>
        <w:rPr>
          <w:spacing w:val="-7"/>
        </w:rPr>
        <w:t> </w:t>
      </w:r>
      <w:r>
        <w:rPr/>
        <w:t>economic</w:t>
      </w:r>
      <w:r>
        <w:rPr>
          <w:spacing w:val="-6"/>
        </w:rPr>
        <w:t> </w:t>
      </w:r>
      <w:r>
        <w:rPr/>
        <w:t>conditions.</w:t>
      </w:r>
      <w:r>
        <w:rPr>
          <w:spacing w:val="-7"/>
        </w:rPr>
        <w:t> </w:t>
      </w:r>
      <w:r>
        <w:rPr/>
        <w:t>This</w:t>
      </w:r>
      <w:r>
        <w:rPr>
          <w:spacing w:val="-7"/>
        </w:rPr>
        <w:t> </w:t>
      </w:r>
      <w:r>
        <w:rPr/>
        <w:t>emphasizes the necessity for comprehensive reforms to address these</w:t>
      </w:r>
      <w:r>
        <w:rPr>
          <w:spacing w:val="-11"/>
        </w:rPr>
        <w:t> </w:t>
      </w:r>
      <w:r>
        <w:rPr/>
        <w:t>vulnerabilities.</w:t>
      </w:r>
    </w:p>
    <w:p>
      <w:pPr>
        <w:pStyle w:val="BodyText"/>
        <w:spacing w:line="271" w:lineRule="auto"/>
        <w:ind w:left="196" w:right="154" w:firstLine="199"/>
        <w:jc w:val="both"/>
      </w:pPr>
      <w:r>
        <w:rPr/>
        <w:t>The Eurosystem’s current reporting procedures and lack of transparency in tracking individual balances between National Central Banks (NCBs) pose signiﬁcant challenges. The irreversible nature of the current </w:t>
      </w:r>
      <w:r>
        <w:rPr>
          <w:spacing w:val="-4"/>
        </w:rPr>
        <w:t>TARGET </w:t>
      </w:r>
      <w:r>
        <w:rPr/>
        <w:t>balance reporting makes it impossible to reconstruct detailed inter-NCB transactions, which is crucial for understanding and mitigating potential</w:t>
      </w:r>
      <w:r>
        <w:rPr>
          <w:spacing w:val="-26"/>
        </w:rPr>
        <w:t> </w:t>
      </w:r>
      <w:r>
        <w:rPr/>
        <w:t>defaults and their</w:t>
      </w:r>
      <w:r>
        <w:rPr>
          <w:spacing w:val="-3"/>
        </w:rPr>
        <w:t> </w:t>
      </w:r>
      <w:r>
        <w:rPr/>
        <w:t>implications.</w:t>
      </w:r>
    </w:p>
    <w:p>
      <w:pPr>
        <w:pStyle w:val="BodyText"/>
        <w:spacing w:line="271" w:lineRule="auto"/>
        <w:ind w:left="190" w:right="119" w:firstLine="205"/>
        <w:jc w:val="both"/>
      </w:pPr>
      <w:r>
        <w:rPr/>
        <w:t>Furthermore, the erosion of self-imposed regulations, including debt ceilings and collateral requirements, as well as the utilization of ELA and ANFA, emphasizes the necessity for more stringent regulatory structures and improved governance. The continuous (re)issuance of sovereign bonds as collateral also highlights the systemic risks linked to uncontrolled debt accumulation.</w:t>
      </w:r>
    </w:p>
    <w:p>
      <w:pPr>
        <w:pStyle w:val="BodyText"/>
        <w:spacing w:line="271" w:lineRule="auto"/>
        <w:ind w:left="196" w:right="154" w:firstLine="199"/>
        <w:jc w:val="both"/>
      </w:pPr>
      <w:r>
        <w:rPr/>
        <w:t>In</w:t>
      </w:r>
      <w:r>
        <w:rPr>
          <w:spacing w:val="-13"/>
        </w:rPr>
        <w:t> </w:t>
      </w:r>
      <w:r>
        <w:rPr/>
        <w:t>conclusion,</w:t>
      </w:r>
      <w:r>
        <w:rPr>
          <w:spacing w:val="-13"/>
        </w:rPr>
        <w:t> </w:t>
      </w:r>
      <w:r>
        <w:rPr/>
        <w:t>the</w:t>
      </w:r>
      <w:r>
        <w:rPr>
          <w:spacing w:val="-12"/>
        </w:rPr>
        <w:t> </w:t>
      </w:r>
      <w:r>
        <w:rPr/>
        <w:t>Eurosystem’s</w:t>
      </w:r>
      <w:r>
        <w:rPr>
          <w:spacing w:val="-13"/>
        </w:rPr>
        <w:t> </w:t>
      </w:r>
      <w:r>
        <w:rPr/>
        <w:t>vulnerabilities</w:t>
      </w:r>
      <w:r>
        <w:rPr>
          <w:spacing w:val="-13"/>
        </w:rPr>
        <w:t> </w:t>
      </w:r>
      <w:r>
        <w:rPr/>
        <w:t>necessitate</w:t>
      </w:r>
      <w:r>
        <w:rPr>
          <w:spacing w:val="-12"/>
        </w:rPr>
        <w:t> </w:t>
      </w:r>
      <w:r>
        <w:rPr/>
        <w:t>a</w:t>
      </w:r>
      <w:r>
        <w:rPr>
          <w:spacing w:val="-13"/>
        </w:rPr>
        <w:t> </w:t>
      </w:r>
      <w:r>
        <w:rPr/>
        <w:t>comprehensive</w:t>
      </w:r>
      <w:r>
        <w:rPr>
          <w:spacing w:val="-13"/>
        </w:rPr>
        <w:t> </w:t>
      </w:r>
      <w:r>
        <w:rPr/>
        <w:t>overhaul</w:t>
      </w:r>
      <w:r>
        <w:rPr>
          <w:spacing w:val="-12"/>
        </w:rPr>
        <w:t> </w:t>
      </w:r>
      <w:r>
        <w:rPr/>
        <w:t>to</w:t>
      </w:r>
      <w:r>
        <w:rPr>
          <w:spacing w:val="-13"/>
        </w:rPr>
        <w:t> </w:t>
      </w:r>
      <w:r>
        <w:rPr/>
        <w:t>ensure</w:t>
      </w:r>
      <w:r>
        <w:rPr>
          <w:spacing w:val="-12"/>
        </w:rPr>
        <w:t> </w:t>
      </w:r>
      <w:r>
        <w:rPr/>
        <w:t>ﬁnancial</w:t>
      </w:r>
      <w:r>
        <w:rPr>
          <w:spacing w:val="-13"/>
        </w:rPr>
        <w:t> </w:t>
      </w:r>
      <w:r>
        <w:rPr/>
        <w:t>stability</w:t>
      </w:r>
      <w:r>
        <w:rPr>
          <w:spacing w:val="-13"/>
        </w:rPr>
        <w:t> </w:t>
      </w:r>
      <w:r>
        <w:rPr/>
        <w:t>and</w:t>
      </w:r>
      <w:r>
        <w:rPr>
          <w:spacing w:val="-12"/>
        </w:rPr>
        <w:t> </w:t>
      </w:r>
      <w:r>
        <w:rPr/>
        <w:t>prevent opportunistic</w:t>
      </w:r>
      <w:r>
        <w:rPr>
          <w:spacing w:val="-16"/>
        </w:rPr>
        <w:t> </w:t>
      </w:r>
      <w:r>
        <w:rPr/>
        <w:t>exploitation.</w:t>
      </w:r>
      <w:r>
        <w:rPr>
          <w:spacing w:val="-15"/>
        </w:rPr>
        <w:t> </w:t>
      </w:r>
      <w:r>
        <w:rPr/>
        <w:t>Only</w:t>
      </w:r>
      <w:r>
        <w:rPr>
          <w:spacing w:val="-15"/>
        </w:rPr>
        <w:t> </w:t>
      </w:r>
      <w:r>
        <w:rPr/>
        <w:t>through</w:t>
      </w:r>
      <w:r>
        <w:rPr>
          <w:spacing w:val="-15"/>
        </w:rPr>
        <w:t> </w:t>
      </w:r>
      <w:r>
        <w:rPr/>
        <w:t>robust</w:t>
      </w:r>
      <w:r>
        <w:rPr>
          <w:spacing w:val="-15"/>
        </w:rPr>
        <w:t> </w:t>
      </w:r>
      <w:r>
        <w:rPr/>
        <w:t>reforms</w:t>
      </w:r>
      <w:r>
        <w:rPr>
          <w:spacing w:val="-16"/>
        </w:rPr>
        <w:t> </w:t>
      </w:r>
      <w:r>
        <w:rPr/>
        <w:t>can</w:t>
      </w:r>
      <w:r>
        <w:rPr>
          <w:spacing w:val="-15"/>
        </w:rPr>
        <w:t> </w:t>
      </w:r>
      <w:r>
        <w:rPr/>
        <w:t>the</w:t>
      </w:r>
      <w:r>
        <w:rPr>
          <w:spacing w:val="-15"/>
        </w:rPr>
        <w:t> </w:t>
      </w:r>
      <w:r>
        <w:rPr/>
        <w:t>Eurosystem</w:t>
      </w:r>
      <w:r>
        <w:rPr>
          <w:spacing w:val="-15"/>
        </w:rPr>
        <w:t> </w:t>
      </w:r>
      <w:r>
        <w:rPr/>
        <w:t>address</w:t>
      </w:r>
      <w:r>
        <w:rPr>
          <w:spacing w:val="-15"/>
        </w:rPr>
        <w:t> </w:t>
      </w:r>
      <w:r>
        <w:rPr/>
        <w:t>these</w:t>
      </w:r>
      <w:r>
        <w:rPr>
          <w:spacing w:val="-16"/>
        </w:rPr>
        <w:t> </w:t>
      </w:r>
      <w:r>
        <w:rPr/>
        <w:t>challenges</w:t>
      </w:r>
      <w:r>
        <w:rPr>
          <w:spacing w:val="-15"/>
        </w:rPr>
        <w:t> </w:t>
      </w:r>
      <w:r>
        <w:rPr/>
        <w:t>and</w:t>
      </w:r>
      <w:r>
        <w:rPr>
          <w:spacing w:val="-15"/>
        </w:rPr>
        <w:t> </w:t>
      </w:r>
      <w:r>
        <w:rPr/>
        <w:t>ensure</w:t>
      </w:r>
      <w:r>
        <w:rPr>
          <w:spacing w:val="-15"/>
        </w:rPr>
        <w:t> </w:t>
      </w:r>
      <w:r>
        <w:rPr/>
        <w:t>a</w:t>
      </w:r>
      <w:r>
        <w:rPr>
          <w:spacing w:val="-15"/>
        </w:rPr>
        <w:t> </w:t>
      </w:r>
      <w:r>
        <w:rPr/>
        <w:t>more</w:t>
      </w:r>
      <w:r>
        <w:rPr>
          <w:spacing w:val="-15"/>
        </w:rPr>
        <w:t> </w:t>
      </w:r>
      <w:r>
        <w:rPr/>
        <w:t>resilient and transparent ﬁnancial framework for all of its member</w:t>
      </w:r>
      <w:r>
        <w:rPr>
          <w:spacing w:val="-11"/>
        </w:rPr>
        <w:t> </w:t>
      </w:r>
      <w:r>
        <w:rPr/>
        <w:t>states.</w:t>
      </w:r>
    </w:p>
    <w:p>
      <w:pPr>
        <w:pStyle w:val="BodyText"/>
        <w:rPr>
          <w:sz w:val="24"/>
        </w:rPr>
      </w:pPr>
    </w:p>
    <w:p>
      <w:pPr>
        <w:pStyle w:val="Heading1"/>
        <w:spacing w:before="148"/>
        <w:ind w:left="196"/>
      </w:pPr>
      <w:r>
        <w:rPr/>
        <w:t>Acknowledgements</w:t>
      </w:r>
    </w:p>
    <w:p>
      <w:pPr>
        <w:pStyle w:val="BodyText"/>
        <w:spacing w:line="271" w:lineRule="auto" w:before="259"/>
        <w:ind w:left="196"/>
      </w:pPr>
      <w:r>
        <w:rPr/>
        <w:t>I gratefully acknowledge invitations to previous “Volkswirtschaftliche Tagungen” of the OeNB, the Austrian NCB of the Eurosystem, where some of these issues have been discussed.</w:t>
      </w:r>
    </w:p>
    <w:p>
      <w:pPr>
        <w:pStyle w:val="BodyText"/>
        <w:spacing w:line="228" w:lineRule="exact"/>
        <w:ind w:left="395"/>
      </w:pPr>
      <w:r>
        <w:rPr/>
        <w:t>The author declares no conﬂict of interest.</w:t>
      </w:r>
    </w:p>
    <w:p>
      <w:pPr>
        <w:pStyle w:val="BodyText"/>
        <w:spacing w:line="271" w:lineRule="auto" w:before="29"/>
        <w:ind w:left="196" w:firstLine="199"/>
      </w:pPr>
      <w:r>
        <w:rPr/>
        <w:t>The AI assistants ChatGPT 4o from OpenAI, mistral chat of mistral.ai, as well as Claude from Anthropic were used for grammar and syntax checks.</w:t>
      </w:r>
    </w:p>
    <w:p>
      <w:pPr>
        <w:spacing w:after="0" w:line="271" w:lineRule="auto"/>
        <w:sectPr>
          <w:pgSz w:w="11910" w:h="15650"/>
          <w:pgMar w:header="730" w:footer="0" w:top="940" w:bottom="280" w:left="740" w:right="760"/>
        </w:sectPr>
      </w:pPr>
    </w:p>
    <w:p>
      <w:pPr>
        <w:pStyle w:val="Heading1"/>
        <w:spacing w:before="139"/>
      </w:pPr>
      <w:r>
        <w:rPr/>
        <w:t>References</w:t>
      </w:r>
    </w:p>
    <w:p>
      <w:pPr>
        <w:spacing w:line="271" w:lineRule="auto" w:before="259"/>
        <w:ind w:left="674" w:right="149" w:hanging="499"/>
        <w:jc w:val="both"/>
        <w:rPr>
          <w:sz w:val="20"/>
        </w:rPr>
      </w:pPr>
      <w:bookmarkStart w:name="_bookmark0" w:id="22"/>
      <w:bookmarkEnd w:id="22"/>
      <w:r>
        <w:rPr/>
      </w:r>
      <w:r>
        <w:rPr>
          <w:sz w:val="20"/>
        </w:rPr>
        <w:t>Ackerler, M. (2024). </w:t>
      </w:r>
      <w:r>
        <w:rPr>
          <w:i/>
          <w:sz w:val="20"/>
        </w:rPr>
        <w:t>OeNB-Website: Matrix der Target Salden nach Ländern (pro Jahr)? </w:t>
      </w:r>
      <w:r>
        <w:rPr>
          <w:sz w:val="20"/>
        </w:rPr>
        <w:t>Abteilung für Kommunikation,</w:t>
      </w:r>
      <w:bookmarkStart w:name="_bookmark1" w:id="23"/>
      <w:bookmarkEnd w:id="23"/>
      <w:r>
        <w:rPr>
          <w:sz w:val="20"/>
        </w:rPr>
      </w:r>
      <w:r>
        <w:rPr>
          <w:sz w:val="20"/>
        </w:rPr>
        <w:t> Oesterreichische Nationalbank, Otto-Wagner-Platz 3, 1090 Wien, Austria, EU, email message, dated Sept. 12, 2024.</w:t>
      </w:r>
    </w:p>
    <w:p>
      <w:pPr>
        <w:pStyle w:val="BodyText"/>
        <w:spacing w:line="261" w:lineRule="auto"/>
        <w:ind w:left="659" w:right="141" w:hanging="484"/>
        <w:jc w:val="both"/>
      </w:pPr>
      <w:r>
        <w:rPr/>
        <w:t>Barth, J. R., &amp; Bennett, J. </w:t>
      </w:r>
      <w:r>
        <w:rPr>
          <w:spacing w:val="-8"/>
        </w:rPr>
        <w:t>T.   </w:t>
      </w:r>
      <w:r>
        <w:rPr/>
        <w:t>(1975, August).   Cost-push versus demand-pull inﬂation: Some empirical evidence.   </w:t>
      </w:r>
      <w:r>
        <w:rPr>
          <w:i/>
        </w:rPr>
        <w:t>Jour-   </w:t>
      </w:r>
      <w:r>
        <w:rPr>
          <w:i/>
        </w:rPr>
        <w:t>nal of </w:t>
      </w:r>
      <w:r>
        <w:rPr>
          <w:i/>
          <w:spacing w:val="-3"/>
        </w:rPr>
        <w:t>Money, </w:t>
      </w:r>
      <w:r>
        <w:rPr>
          <w:i/>
        </w:rPr>
        <w:t>Credit and Banking</w:t>
      </w:r>
      <w:r>
        <w:rPr/>
        <w:t>, </w:t>
      </w:r>
      <w:r>
        <w:rPr>
          <w:i/>
        </w:rPr>
        <w:t>7</w:t>
      </w:r>
      <w:r>
        <w:rPr/>
        <w:t>(3), 391-397. Retrieved from </w:t>
      </w:r>
      <w:hyperlink r:id="rId9">
        <w:r>
          <w:rPr>
            <w:rFonts w:ascii="Courier New" w:hAnsi="Courier New"/>
          </w:rPr>
          <w:t>https://doi.org/10.2307/1991632 </w:t>
        </w:r>
      </w:hyperlink>
      <w:r>
        <w:rPr/>
        <w:t>doi:</w:t>
      </w:r>
      <w:bookmarkStart w:name="_bookmark2" w:id="24"/>
      <w:bookmarkEnd w:id="24"/>
      <w:r>
        <w:rPr/>
      </w:r>
      <w:r>
        <w:rPr/>
        <w:t> 10.2307/1991632</w:t>
      </w:r>
    </w:p>
    <w:p>
      <w:pPr>
        <w:pStyle w:val="BodyText"/>
        <w:spacing w:line="252" w:lineRule="auto" w:before="7"/>
        <w:ind w:left="668" w:right="150" w:hanging="493"/>
        <w:jc w:val="both"/>
      </w:pPr>
      <w:r>
        <w:rPr/>
        <w:t>Baudino, </w:t>
      </w:r>
      <w:r>
        <w:rPr>
          <w:spacing w:val="-8"/>
        </w:rPr>
        <w:t>P., </w:t>
      </w:r>
      <w:r>
        <w:rPr/>
        <w:t>Sturluson, J. </w:t>
      </w:r>
      <w:r>
        <w:rPr>
          <w:spacing w:val="-5"/>
        </w:rPr>
        <w:t>T., </w:t>
      </w:r>
      <w:r>
        <w:rPr/>
        <w:t>&amp; Svoronos, </w:t>
      </w:r>
      <w:r>
        <w:rPr>
          <w:spacing w:val="-5"/>
        </w:rPr>
        <w:t>J.-P. </w:t>
      </w:r>
      <w:r>
        <w:rPr/>
        <w:t>(2020, March). </w:t>
      </w:r>
      <w:r>
        <w:rPr>
          <w:i/>
        </w:rPr>
        <w:t>The banking crisis in Iceland. </w:t>
      </w:r>
      <w:r>
        <w:rPr/>
        <w:t>Retrieved from </w:t>
      </w:r>
      <w:hyperlink r:id="rId10">
        <w:r>
          <w:rPr>
            <w:rFonts w:ascii="Courier New"/>
          </w:rPr>
          <w:t>https://</w:t>
        </w:r>
      </w:hyperlink>
      <w:bookmarkStart w:name="_bookmark3" w:id="25"/>
      <w:bookmarkEnd w:id="25"/>
      <w:r>
        <w:rPr>
          <w:rFonts w:ascii="Courier New"/>
        </w:rPr>
      </w:r>
      <w:r>
        <w:rPr>
          <w:rFonts w:ascii="Courier New"/>
        </w:rPr>
        <w:t> </w:t>
      </w:r>
      <w:hyperlink r:id="rId10">
        <w:r>
          <w:rPr>
            <w:rFonts w:ascii="Courier New"/>
          </w:rPr>
          <w:t>www.bis.org/fsi/fsicms1.htm</w:t>
        </w:r>
        <w:r>
          <w:rPr>
            <w:rFonts w:ascii="Courier New"/>
            <w:spacing w:val="-19"/>
          </w:rPr>
          <w:t> </w:t>
        </w:r>
      </w:hyperlink>
      <w:r>
        <w:rPr/>
        <w:t>FSI</w:t>
      </w:r>
      <w:r>
        <w:rPr>
          <w:spacing w:val="-7"/>
        </w:rPr>
        <w:t> </w:t>
      </w:r>
      <w:r>
        <w:rPr/>
        <w:t>Crisis</w:t>
      </w:r>
      <w:r>
        <w:rPr>
          <w:spacing w:val="-8"/>
        </w:rPr>
        <w:t> </w:t>
      </w:r>
      <w:r>
        <w:rPr/>
        <w:t>Management</w:t>
      </w:r>
      <w:r>
        <w:rPr>
          <w:spacing w:val="-7"/>
        </w:rPr>
        <w:t> </w:t>
      </w:r>
      <w:r>
        <w:rPr/>
        <w:t>Series,</w:t>
      </w:r>
      <w:r>
        <w:rPr>
          <w:spacing w:val="-7"/>
        </w:rPr>
        <w:t> </w:t>
      </w:r>
      <w:r>
        <w:rPr/>
        <w:t>No</w:t>
      </w:r>
      <w:r>
        <w:rPr>
          <w:spacing w:val="-7"/>
        </w:rPr>
        <w:t> </w:t>
      </w:r>
      <w:r>
        <w:rPr/>
        <w:t>1,</w:t>
      </w:r>
      <w:r>
        <w:rPr>
          <w:spacing w:val="-7"/>
        </w:rPr>
        <w:t> </w:t>
      </w:r>
      <w:r>
        <w:rPr/>
        <w:t>March</w:t>
      </w:r>
      <w:r>
        <w:rPr>
          <w:spacing w:val="-7"/>
        </w:rPr>
        <w:t> </w:t>
      </w:r>
      <w:r>
        <w:rPr/>
        <w:t>26,</w:t>
      </w:r>
      <w:r>
        <w:rPr>
          <w:spacing w:val="-7"/>
        </w:rPr>
        <w:t> </w:t>
      </w:r>
      <w:r>
        <w:rPr/>
        <w:t>2020,</w:t>
      </w:r>
      <w:r>
        <w:rPr>
          <w:spacing w:val="-7"/>
        </w:rPr>
        <w:t> </w:t>
      </w:r>
      <w:r>
        <w:rPr/>
        <w:t>accessed</w:t>
      </w:r>
      <w:r>
        <w:rPr>
          <w:spacing w:val="-7"/>
        </w:rPr>
        <w:t> </w:t>
      </w:r>
      <w:r>
        <w:rPr/>
        <w:t>Sept.</w:t>
      </w:r>
      <w:r>
        <w:rPr>
          <w:spacing w:val="-7"/>
        </w:rPr>
        <w:t> </w:t>
      </w:r>
      <w:r>
        <w:rPr/>
        <w:t>6,</w:t>
      </w:r>
      <w:r>
        <w:rPr>
          <w:spacing w:val="-7"/>
        </w:rPr>
        <w:t> </w:t>
      </w:r>
      <w:r>
        <w:rPr/>
        <w:t>2024.</w:t>
      </w:r>
    </w:p>
    <w:p>
      <w:pPr>
        <w:spacing w:line="271" w:lineRule="auto" w:before="1"/>
        <w:ind w:left="668" w:right="174" w:hanging="492"/>
        <w:jc w:val="both"/>
        <w:rPr>
          <w:rFonts w:ascii="Courier New" w:hAnsi="Courier New"/>
          <w:sz w:val="20"/>
        </w:rPr>
      </w:pPr>
      <w:r>
        <w:rPr>
          <w:sz w:val="20"/>
        </w:rPr>
        <w:t>Belz, S., Cheng, J., </w:t>
      </w:r>
      <w:r>
        <w:rPr>
          <w:spacing w:val="-3"/>
          <w:sz w:val="20"/>
        </w:rPr>
        <w:t>Wessel, </w:t>
      </w:r>
      <w:r>
        <w:rPr>
          <w:sz w:val="20"/>
        </w:rPr>
        <w:t>D., Gros, D., &amp; Capolongo, A. (2020, jun 4). </w:t>
      </w:r>
      <w:r>
        <w:rPr>
          <w:i/>
          <w:sz w:val="20"/>
        </w:rPr>
        <w:t>What’s the ECB doing in response to the </w:t>
      </w:r>
      <w:r>
        <w:rPr>
          <w:i/>
          <w:sz w:val="20"/>
        </w:rPr>
        <w:t>COVID-19 crisis?  </w:t>
      </w:r>
      <w:r>
        <w:rPr>
          <w:sz w:val="20"/>
        </w:rPr>
        <w:t>Brookings Institution.  Retrieved from </w:t>
      </w:r>
      <w:r>
        <w:rPr>
          <w:spacing w:val="9"/>
          <w:sz w:val="20"/>
        </w:rPr>
        <w:t> </w:t>
      </w:r>
      <w:hyperlink r:id="rId11">
        <w:r>
          <w:rPr>
            <w:rFonts w:ascii="Courier New" w:hAnsi="Courier New"/>
            <w:sz w:val="20"/>
          </w:rPr>
          <w:t>https://www.brookings.edu/articles/whats</w:t>
        </w:r>
      </w:hyperlink>
    </w:p>
    <w:p>
      <w:pPr>
        <w:pStyle w:val="BodyText"/>
        <w:spacing w:line="228" w:lineRule="exact"/>
        <w:ind w:left="614"/>
      </w:pPr>
      <w:hyperlink r:id="rId11">
        <w:r>
          <w:rPr>
            <w:rFonts w:ascii="Courier New"/>
          </w:rPr>
          <w:t>-the-ecb-doing-in-response-to-the-covid-19-crisis/</w:t>
        </w:r>
        <w:r>
          <w:rPr>
            <w:rFonts w:ascii="Courier New"/>
            <w:spacing w:val="-48"/>
          </w:rPr>
          <w:t> </w:t>
        </w:r>
      </w:hyperlink>
      <w:r>
        <w:rPr/>
        <w:t>The Brookings Institution, published June 4,</w:t>
      </w:r>
    </w:p>
    <w:p>
      <w:pPr>
        <w:pStyle w:val="BodyText"/>
        <w:spacing w:before="12"/>
        <w:ind w:left="674"/>
      </w:pPr>
      <w:bookmarkStart w:name="_bookmark4" w:id="26"/>
      <w:bookmarkEnd w:id="26"/>
      <w:r>
        <w:rPr/>
      </w:r>
      <w:r>
        <w:rPr/>
        <w:t>2020, accessed Sept 6, 2024.</w:t>
      </w:r>
    </w:p>
    <w:p>
      <w:pPr>
        <w:pStyle w:val="BodyText"/>
        <w:spacing w:line="271" w:lineRule="auto" w:before="29"/>
        <w:ind w:left="659" w:hanging="484"/>
      </w:pPr>
      <w:r>
        <w:rPr/>
        <w:t>Blake,</w:t>
      </w:r>
      <w:r>
        <w:rPr>
          <w:spacing w:val="-9"/>
        </w:rPr>
        <w:t> </w:t>
      </w:r>
      <w:r>
        <w:rPr/>
        <w:t>D.</w:t>
      </w:r>
      <w:r>
        <w:rPr>
          <w:spacing w:val="7"/>
        </w:rPr>
        <w:t> </w:t>
      </w:r>
      <w:r>
        <w:rPr/>
        <w:t>(2023,</w:t>
      </w:r>
      <w:r>
        <w:rPr>
          <w:spacing w:val="-8"/>
        </w:rPr>
        <w:t> </w:t>
      </w:r>
      <w:r>
        <w:rPr/>
        <w:t>12).</w:t>
      </w:r>
      <w:r>
        <w:rPr>
          <w:spacing w:val="6"/>
        </w:rPr>
        <w:t> </w:t>
      </w:r>
      <w:r>
        <w:rPr>
          <w:spacing w:val="-3"/>
        </w:rPr>
        <w:t>Target2:</w:t>
      </w:r>
      <w:r>
        <w:rPr>
          <w:spacing w:val="-8"/>
        </w:rPr>
        <w:t> </w:t>
      </w:r>
      <w:r>
        <w:rPr/>
        <w:t>The</w:t>
      </w:r>
      <w:r>
        <w:rPr>
          <w:spacing w:val="-8"/>
        </w:rPr>
        <w:t> </w:t>
      </w:r>
      <w:r>
        <w:rPr/>
        <w:t>silent</w:t>
      </w:r>
      <w:r>
        <w:rPr>
          <w:spacing w:val="-9"/>
        </w:rPr>
        <w:t> </w:t>
      </w:r>
      <w:r>
        <w:rPr/>
        <w:t>bailout</w:t>
      </w:r>
      <w:r>
        <w:rPr>
          <w:spacing w:val="-8"/>
        </w:rPr>
        <w:t> </w:t>
      </w:r>
      <w:r>
        <w:rPr/>
        <w:t>system</w:t>
      </w:r>
      <w:r>
        <w:rPr>
          <w:spacing w:val="-8"/>
        </w:rPr>
        <w:t> </w:t>
      </w:r>
      <w:r>
        <w:rPr/>
        <w:t>that</w:t>
      </w:r>
      <w:r>
        <w:rPr>
          <w:spacing w:val="-9"/>
        </w:rPr>
        <w:t> </w:t>
      </w:r>
      <w:r>
        <w:rPr/>
        <w:t>keeps</w:t>
      </w:r>
      <w:r>
        <w:rPr>
          <w:spacing w:val="-8"/>
        </w:rPr>
        <w:t> </w:t>
      </w:r>
      <w:r>
        <w:rPr/>
        <w:t>the</w:t>
      </w:r>
      <w:r>
        <w:rPr>
          <w:spacing w:val="-8"/>
        </w:rPr>
        <w:t> </w:t>
      </w:r>
      <w:r>
        <w:rPr/>
        <w:t>Euro</w:t>
      </w:r>
      <w:r>
        <w:rPr>
          <w:spacing w:val="-9"/>
        </w:rPr>
        <w:t> </w:t>
      </w:r>
      <w:r>
        <w:rPr/>
        <w:t>aﬂoat.</w:t>
      </w:r>
      <w:r>
        <w:rPr>
          <w:spacing w:val="7"/>
        </w:rPr>
        <w:t> </w:t>
      </w:r>
      <w:r>
        <w:rPr>
          <w:i/>
        </w:rPr>
        <w:t>Journal</w:t>
      </w:r>
      <w:r>
        <w:rPr>
          <w:i/>
          <w:spacing w:val="-8"/>
        </w:rPr>
        <w:t> </w:t>
      </w:r>
      <w:r>
        <w:rPr>
          <w:i/>
        </w:rPr>
        <w:t>of</w:t>
      </w:r>
      <w:r>
        <w:rPr>
          <w:i/>
          <w:spacing w:val="-9"/>
        </w:rPr>
        <w:t> </w:t>
      </w:r>
      <w:r>
        <w:rPr>
          <w:i/>
        </w:rPr>
        <w:t>Risk</w:t>
      </w:r>
      <w:r>
        <w:rPr>
          <w:i/>
          <w:spacing w:val="-8"/>
        </w:rPr>
        <w:t> </w:t>
      </w:r>
      <w:r>
        <w:rPr>
          <w:i/>
        </w:rPr>
        <w:t>and</w:t>
      </w:r>
      <w:r>
        <w:rPr>
          <w:i/>
          <w:spacing w:val="-8"/>
        </w:rPr>
        <w:t> </w:t>
      </w:r>
      <w:r>
        <w:rPr>
          <w:i/>
        </w:rPr>
        <w:t>Financial</w:t>
      </w:r>
      <w:r>
        <w:rPr>
          <w:i/>
          <w:spacing w:val="-9"/>
        </w:rPr>
        <w:t> </w:t>
      </w:r>
      <w:r>
        <w:rPr>
          <w:i/>
        </w:rPr>
        <w:t>Management</w:t>
      </w:r>
      <w:r>
        <w:rPr/>
        <w:t>,</w:t>
      </w:r>
      <w:bookmarkStart w:name="_bookmark5" w:id="27"/>
      <w:bookmarkEnd w:id="27"/>
      <w:r>
        <w:rPr/>
      </w:r>
      <w:r>
        <w:rPr/>
        <w:t> </w:t>
      </w:r>
      <w:r>
        <w:rPr>
          <w:i/>
        </w:rPr>
        <w:t>16</w:t>
      </w:r>
      <w:r>
        <w:rPr/>
        <w:t>(12), 506. Retrieved from </w:t>
      </w:r>
      <w:hyperlink r:id="rId12">
        <w:r>
          <w:rPr>
            <w:rFonts w:ascii="Courier New" w:hAnsi="Courier New"/>
          </w:rPr>
          <w:t>https://doi.org/10.3390/jrfm16120506 </w:t>
        </w:r>
      </w:hyperlink>
      <w:r>
        <w:rPr/>
        <w:t>doi:</w:t>
      </w:r>
      <w:r>
        <w:rPr>
          <w:spacing w:val="4"/>
        </w:rPr>
        <w:t> </w:t>
      </w:r>
      <w:r>
        <w:rPr/>
        <w:t>10.3390/jrfm16120506</w:t>
      </w:r>
    </w:p>
    <w:p>
      <w:pPr>
        <w:tabs>
          <w:tab w:pos="1528" w:val="left" w:leader="none"/>
          <w:tab w:pos="2404" w:val="left" w:leader="none"/>
          <w:tab w:pos="7111" w:val="left" w:leader="none"/>
        </w:tabs>
        <w:spacing w:line="211" w:lineRule="exact" w:before="0"/>
        <w:ind w:left="176" w:right="0" w:firstLine="0"/>
        <w:jc w:val="left"/>
        <w:rPr>
          <w:sz w:val="20"/>
        </w:rPr>
      </w:pPr>
      <w:r>
        <w:rPr>
          <w:sz w:val="20"/>
        </w:rPr>
        <w:t>Congdon, </w:t>
      </w:r>
      <w:r>
        <w:rPr>
          <w:spacing w:val="17"/>
          <w:sz w:val="20"/>
        </w:rPr>
        <w:t> </w:t>
      </w:r>
      <w:r>
        <w:rPr>
          <w:spacing w:val="-8"/>
          <w:sz w:val="20"/>
        </w:rPr>
        <w:t>T.</w:t>
        <w:tab/>
      </w:r>
      <w:r>
        <w:rPr>
          <w:sz w:val="20"/>
        </w:rPr>
        <w:t>(2022).</w:t>
        <w:tab/>
        <w:t>Can </w:t>
      </w:r>
      <w:r>
        <w:rPr>
          <w:spacing w:val="18"/>
          <w:sz w:val="20"/>
        </w:rPr>
        <w:t> </w:t>
      </w:r>
      <w:r>
        <w:rPr>
          <w:sz w:val="20"/>
        </w:rPr>
        <w:t>the </w:t>
      </w:r>
      <w:r>
        <w:rPr>
          <w:spacing w:val="17"/>
          <w:sz w:val="20"/>
        </w:rPr>
        <w:t> </w:t>
      </w:r>
      <w:r>
        <w:rPr>
          <w:sz w:val="20"/>
        </w:rPr>
        <w:t>Eurozone </w:t>
      </w:r>
      <w:r>
        <w:rPr>
          <w:spacing w:val="17"/>
          <w:sz w:val="20"/>
        </w:rPr>
        <w:t> </w:t>
      </w:r>
      <w:r>
        <w:rPr>
          <w:sz w:val="20"/>
        </w:rPr>
        <w:t>manage </w:t>
      </w:r>
      <w:r>
        <w:rPr>
          <w:spacing w:val="18"/>
          <w:sz w:val="20"/>
        </w:rPr>
        <w:t> </w:t>
      </w:r>
      <w:r>
        <w:rPr>
          <w:sz w:val="20"/>
        </w:rPr>
        <w:t>its </w:t>
      </w:r>
      <w:r>
        <w:rPr>
          <w:spacing w:val="17"/>
          <w:sz w:val="20"/>
        </w:rPr>
        <w:t> </w:t>
      </w:r>
      <w:r>
        <w:rPr>
          <w:sz w:val="20"/>
        </w:rPr>
        <w:t>free </w:t>
      </w:r>
      <w:r>
        <w:rPr>
          <w:spacing w:val="18"/>
          <w:sz w:val="20"/>
        </w:rPr>
        <w:t> </w:t>
      </w:r>
      <w:r>
        <w:rPr>
          <w:sz w:val="20"/>
        </w:rPr>
        <w:t>rider </w:t>
      </w:r>
      <w:r>
        <w:rPr>
          <w:spacing w:val="17"/>
          <w:sz w:val="20"/>
        </w:rPr>
        <w:t> </w:t>
      </w:r>
      <w:r>
        <w:rPr>
          <w:sz w:val="20"/>
        </w:rPr>
        <w:t>problem?</w:t>
        <w:tab/>
      </w:r>
      <w:r>
        <w:rPr>
          <w:i/>
          <w:sz w:val="20"/>
        </w:rPr>
        <w:t>Future  Europe  Journal</w:t>
      </w:r>
      <w:r>
        <w:rPr>
          <w:sz w:val="20"/>
        </w:rPr>
        <w:t>,  </w:t>
      </w:r>
      <w:r>
        <w:rPr>
          <w:i/>
          <w:sz w:val="20"/>
        </w:rPr>
        <w:t>2</w:t>
      </w:r>
      <w:r>
        <w:rPr>
          <w:sz w:val="20"/>
        </w:rPr>
        <w:t>(1), </w:t>
      </w:r>
      <w:r>
        <w:rPr>
          <w:spacing w:val="44"/>
          <w:sz w:val="20"/>
        </w:rPr>
        <w:t> </w:t>
      </w:r>
      <w:r>
        <w:rPr>
          <w:sz w:val="20"/>
        </w:rPr>
        <w:t>61-71.</w:t>
      </w:r>
    </w:p>
    <w:p>
      <w:pPr>
        <w:pStyle w:val="BodyText"/>
        <w:spacing w:before="29"/>
        <w:ind w:left="674"/>
        <w:rPr>
          <w:rFonts w:ascii="Courier New"/>
        </w:rPr>
      </w:pPr>
      <w:r>
        <w:rPr/>
        <w:t>Retrieved from</w:t>
      </w:r>
      <w:r>
        <w:rPr>
          <w:spacing w:val="5"/>
        </w:rPr>
        <w:t> </w:t>
      </w:r>
      <w:hyperlink r:id="rId13">
        <w:r>
          <w:rPr>
            <w:rFonts w:ascii="Courier New"/>
          </w:rPr>
          <w:t>https://feu-journal.eu/wp-content/uploads/2023/03/FEU-Journal-Issue-2</w:t>
        </w:r>
      </w:hyperlink>
    </w:p>
    <w:p>
      <w:pPr>
        <w:pStyle w:val="BodyText"/>
        <w:spacing w:before="33"/>
        <w:ind w:left="662"/>
        <w:rPr>
          <w:rFonts w:ascii="Courier New"/>
        </w:rPr>
      </w:pPr>
      <w:bookmarkStart w:name="_bookmark6" w:id="28"/>
      <w:bookmarkEnd w:id="28"/>
      <w:r>
        <w:rPr/>
      </w:r>
      <w:hyperlink r:id="rId13">
        <w:r>
          <w:rPr>
            <w:rFonts w:ascii="Courier New"/>
          </w:rPr>
          <w:t>_Inflation-rising.pdf</w:t>
        </w:r>
      </w:hyperlink>
    </w:p>
    <w:p>
      <w:pPr>
        <w:spacing w:line="271" w:lineRule="auto" w:before="12"/>
        <w:ind w:left="674" w:right="139" w:hanging="499"/>
        <w:jc w:val="both"/>
        <w:rPr>
          <w:rFonts w:ascii="Courier New" w:hAnsi="Courier New"/>
          <w:sz w:val="20"/>
        </w:rPr>
      </w:pPr>
      <w:r>
        <w:rPr>
          <w:sz w:val="20"/>
        </w:rPr>
        <w:t>Einaudi, L. (2001). </w:t>
      </w:r>
      <w:r>
        <w:rPr>
          <w:i/>
          <w:sz w:val="20"/>
        </w:rPr>
        <w:t>Money and politics: European monetary uniﬁcation and the international gold standard (1865-1873)</w:t>
      </w:r>
      <w:r>
        <w:rPr>
          <w:sz w:val="20"/>
        </w:rPr>
        <w:t>. Oxford, England, UK: Oxford University Press. Retrieved 2024-09-05, from </w:t>
      </w:r>
      <w:hyperlink r:id="rId14">
        <w:r>
          <w:rPr>
            <w:rFonts w:ascii="Courier New" w:hAnsi="Courier New"/>
            <w:sz w:val="20"/>
          </w:rPr>
          <w:t>https://doi.org/10.1093/oso/</w:t>
        </w:r>
      </w:hyperlink>
      <w:bookmarkStart w:name="_bookmark7" w:id="29"/>
      <w:bookmarkEnd w:id="29"/>
      <w:r>
        <w:rPr>
          <w:rFonts w:ascii="Courier New" w:hAnsi="Courier New"/>
          <w:sz w:val="20"/>
        </w:rPr>
      </w:r>
      <w:r>
        <w:rPr>
          <w:rFonts w:ascii="Courier New" w:hAnsi="Courier New"/>
          <w:sz w:val="20"/>
        </w:rPr>
        <w:t> </w:t>
      </w:r>
      <w:hyperlink r:id="rId14">
        <w:r>
          <w:rPr>
            <w:rFonts w:ascii="Courier New" w:hAnsi="Courier New"/>
            <w:sz w:val="20"/>
          </w:rPr>
          <w:t>9780199243662.001.0001</w:t>
        </w:r>
      </w:hyperlink>
    </w:p>
    <w:p>
      <w:pPr>
        <w:spacing w:line="231" w:lineRule="exact" w:before="0"/>
        <w:ind w:left="176" w:right="0" w:firstLine="0"/>
        <w:jc w:val="both"/>
        <w:rPr>
          <w:rFonts w:ascii="Courier New"/>
          <w:sz w:val="20"/>
        </w:rPr>
      </w:pPr>
      <w:r>
        <w:rPr>
          <w:sz w:val="20"/>
        </w:rPr>
        <w:t>European Central Bank. (2015, September). </w:t>
      </w:r>
      <w:r>
        <w:rPr>
          <w:i/>
          <w:sz w:val="20"/>
        </w:rPr>
        <w:t>Economic Bulletin Issue 6 / 2015. </w:t>
      </w:r>
      <w:r>
        <w:rPr>
          <w:sz w:val="20"/>
        </w:rPr>
        <w:t>Retrieved 2024-09-08, from </w:t>
      </w:r>
      <w:hyperlink r:id="rId15">
        <w:r>
          <w:rPr>
            <w:rFonts w:ascii="Courier New"/>
            <w:sz w:val="20"/>
          </w:rPr>
          <w:t>https://www</w:t>
        </w:r>
      </w:hyperlink>
    </w:p>
    <w:p>
      <w:pPr>
        <w:pStyle w:val="BodyText"/>
        <w:spacing w:line="252" w:lineRule="auto" w:before="12"/>
        <w:ind w:left="674" w:right="149"/>
        <w:jc w:val="both"/>
      </w:pPr>
      <w:hyperlink r:id="rId15">
        <w:r>
          <w:rPr>
            <w:rFonts w:ascii="Courier New"/>
          </w:rPr>
          <w:t>.ecb.europa.eu/pub/pdf/ecbu/eb201506.en.pdf</w:t>
        </w:r>
        <w:r>
          <w:rPr>
            <w:rFonts w:ascii="Courier New"/>
            <w:spacing w:val="-35"/>
          </w:rPr>
          <w:t> </w:t>
        </w:r>
      </w:hyperlink>
      <w:r>
        <w:rPr/>
        <w:t>European</w:t>
      </w:r>
      <w:r>
        <w:rPr>
          <w:spacing w:val="-13"/>
        </w:rPr>
        <w:t> </w:t>
      </w:r>
      <w:r>
        <w:rPr/>
        <w:t>Central</w:t>
      </w:r>
      <w:r>
        <w:rPr>
          <w:spacing w:val="-13"/>
        </w:rPr>
        <w:t> </w:t>
      </w:r>
      <w:r>
        <w:rPr/>
        <w:t>Bank,</w:t>
      </w:r>
      <w:r>
        <w:rPr>
          <w:spacing w:val="-12"/>
        </w:rPr>
        <w:t> </w:t>
      </w:r>
      <w:r>
        <w:rPr/>
        <w:t>publishing</w:t>
      </w:r>
      <w:r>
        <w:rPr>
          <w:spacing w:val="-13"/>
        </w:rPr>
        <w:t> </w:t>
      </w:r>
      <w:r>
        <w:rPr/>
        <w:t>date</w:t>
      </w:r>
      <w:r>
        <w:rPr>
          <w:spacing w:val="-13"/>
        </w:rPr>
        <w:t> </w:t>
      </w:r>
      <w:r>
        <w:rPr/>
        <w:t>September</w:t>
      </w:r>
      <w:r>
        <w:rPr>
          <w:spacing w:val="-13"/>
        </w:rPr>
        <w:t> </w:t>
      </w:r>
      <w:r>
        <w:rPr>
          <w:spacing w:val="-5"/>
        </w:rPr>
        <w:t>17,</w:t>
      </w:r>
      <w:bookmarkStart w:name="_bookmark8" w:id="30"/>
      <w:bookmarkEnd w:id="30"/>
      <w:r>
        <w:rPr>
          <w:spacing w:val="-5"/>
        </w:rPr>
      </w:r>
      <w:r>
        <w:rPr>
          <w:spacing w:val="-5"/>
        </w:rPr>
        <w:t> </w:t>
      </w:r>
      <w:r>
        <w:rPr/>
        <w:t>2015, accessed September 8th,</w:t>
      </w:r>
      <w:r>
        <w:rPr>
          <w:spacing w:val="-5"/>
        </w:rPr>
        <w:t> </w:t>
      </w:r>
      <w:r>
        <w:rPr/>
        <w:t>2024.</w:t>
      </w:r>
    </w:p>
    <w:p>
      <w:pPr>
        <w:spacing w:line="271" w:lineRule="auto" w:before="19"/>
        <w:ind w:left="674" w:right="141" w:hanging="499"/>
        <w:jc w:val="both"/>
        <w:rPr>
          <w:rFonts w:ascii="Courier New"/>
          <w:sz w:val="20"/>
        </w:rPr>
      </w:pPr>
      <w:r>
        <w:rPr>
          <w:sz w:val="20"/>
        </w:rPr>
        <w:t>European   Central   Bank.     (2017,   June).     </w:t>
      </w:r>
      <w:r>
        <w:rPr>
          <w:i/>
          <w:sz w:val="20"/>
        </w:rPr>
        <w:t>Agreement   on   emergency   liquidity   assistance.      </w:t>
      </w:r>
      <w:r>
        <w:rPr>
          <w:sz w:val="20"/>
        </w:rPr>
        <w:t>Retrieved   2024-09- 08,   from </w:t>
      </w:r>
      <w:r>
        <w:rPr>
          <w:spacing w:val="23"/>
          <w:sz w:val="20"/>
        </w:rPr>
        <w:t> </w:t>
      </w:r>
      <w:hyperlink r:id="rId16">
        <w:r>
          <w:rPr>
            <w:rFonts w:ascii="Courier New"/>
            <w:sz w:val="20"/>
          </w:rPr>
          <w:t>https://www.ecb.europa.eu/pub/pdf/other/Agreement_on_emergency_liquidity</w:t>
        </w:r>
      </w:hyperlink>
    </w:p>
    <w:p>
      <w:pPr>
        <w:pStyle w:val="BodyText"/>
        <w:spacing w:line="228" w:lineRule="exact"/>
        <w:ind w:left="662"/>
        <w:jc w:val="both"/>
      </w:pPr>
      <w:hyperlink r:id="rId16">
        <w:r>
          <w:rPr>
            <w:rFonts w:ascii="Courier New"/>
          </w:rPr>
          <w:t>_assistance_20170517.en.pdf  </w:t>
        </w:r>
      </w:hyperlink>
      <w:r>
        <w:rPr/>
        <w:t>European Central Bank, publishing date June 16, 2017, accessed</w:t>
      </w:r>
      <w:r>
        <w:rPr>
          <w:spacing w:val="8"/>
        </w:rPr>
        <w:t> </w:t>
      </w:r>
      <w:r>
        <w:rPr/>
        <w:t>September</w:t>
      </w:r>
    </w:p>
    <w:p>
      <w:pPr>
        <w:pStyle w:val="BodyText"/>
        <w:spacing w:before="12"/>
        <w:ind w:left="674"/>
        <w:jc w:val="both"/>
      </w:pPr>
      <w:bookmarkStart w:name="_bookmark9" w:id="31"/>
      <w:bookmarkEnd w:id="31"/>
      <w:r>
        <w:rPr/>
      </w:r>
      <w:r>
        <w:rPr/>
        <w:t>8th, 2024.</w:t>
      </w:r>
    </w:p>
    <w:p>
      <w:pPr>
        <w:pStyle w:val="BodyText"/>
        <w:spacing w:line="261" w:lineRule="auto" w:before="29"/>
        <w:ind w:left="674" w:right="141" w:hanging="499"/>
        <w:jc w:val="both"/>
      </w:pPr>
      <w:r>
        <w:rPr/>
        <w:t>European Central Bank. (2022, December). </w:t>
      </w:r>
      <w:r>
        <w:rPr>
          <w:i/>
        </w:rPr>
        <w:t>Agreement on Net Financial Assets of 19 December 2022. </w:t>
      </w:r>
      <w:r>
        <w:rPr/>
        <w:t>Retrieved from </w:t>
      </w:r>
      <w:r>
        <w:rPr>
          <w:rFonts w:ascii="Courier New"/>
        </w:rPr>
        <w:t>https://eur-lex.europa.eu/legal-content/EN/TXT/PDF/?uri=IMMC:AGR/2022/12191 </w:t>
      </w:r>
      <w:r>
        <w:rPr/>
        <w:t>Euro-</w:t>
      </w:r>
      <w:bookmarkStart w:name="_bookmark10" w:id="32"/>
      <w:bookmarkEnd w:id="32"/>
      <w:r>
        <w:rPr/>
      </w:r>
      <w:r>
        <w:rPr/>
        <w:t> pean Central Bank, publishing date December 19, 2022, accessed September 8th, 2024.</w:t>
      </w:r>
    </w:p>
    <w:p>
      <w:pPr>
        <w:spacing w:before="8"/>
        <w:ind w:left="176" w:right="0" w:firstLine="0"/>
        <w:jc w:val="both"/>
        <w:rPr>
          <w:rFonts w:ascii="Courier New"/>
          <w:sz w:val="20"/>
        </w:rPr>
      </w:pPr>
      <w:r>
        <w:rPr>
          <w:sz w:val="20"/>
        </w:rPr>
        <w:t>European Central Bank. (2024a, June). </w:t>
      </w:r>
      <w:r>
        <w:rPr>
          <w:i/>
          <w:sz w:val="20"/>
        </w:rPr>
        <w:t>TARGET balances of participating NCBs. </w:t>
      </w:r>
      <w:r>
        <w:rPr>
          <w:sz w:val="20"/>
        </w:rPr>
        <w:t>Retrieved from </w:t>
      </w:r>
      <w:hyperlink r:id="rId17">
        <w:r>
          <w:rPr>
            <w:rFonts w:ascii="Courier New"/>
            <w:sz w:val="20"/>
          </w:rPr>
          <w:t>https://www.ecb</w:t>
        </w:r>
      </w:hyperlink>
    </w:p>
    <w:p>
      <w:pPr>
        <w:pStyle w:val="BodyText"/>
        <w:spacing w:line="252" w:lineRule="auto" w:before="13"/>
        <w:ind w:left="674"/>
      </w:pPr>
      <w:hyperlink r:id="rId17">
        <w:r>
          <w:rPr>
            <w:rFonts w:ascii="Courier New"/>
          </w:rPr>
          <w:t>.europa.eu/stats/policy_and_exchange_rates/target_balances/html/index.en.html </w:t>
        </w:r>
      </w:hyperlink>
      <w:r>
        <w:rPr/>
        <w:t>ac-</w:t>
      </w:r>
      <w:bookmarkStart w:name="_bookmark11" w:id="33"/>
      <w:bookmarkEnd w:id="33"/>
      <w:r>
        <w:rPr/>
      </w:r>
      <w:r>
        <w:rPr/>
        <w:t> cessed October 21st, 2024.</w:t>
      </w:r>
    </w:p>
    <w:p>
      <w:pPr>
        <w:pStyle w:val="BodyText"/>
        <w:spacing w:before="18"/>
        <w:ind w:left="176"/>
        <w:rPr>
          <w:rFonts w:ascii="Courier New"/>
        </w:rPr>
      </w:pPr>
      <w:r>
        <w:rPr/>
        <w:t>European Central Bank. (2024b, September). What is ANFA? </w:t>
      </w:r>
      <w:r>
        <w:rPr>
          <w:i/>
        </w:rPr>
        <w:t>European Central Bank</w:t>
      </w:r>
      <w:r>
        <w:rPr/>
        <w:t>. Retrieved from </w:t>
      </w:r>
      <w:hyperlink r:id="rId18">
        <w:r>
          <w:rPr>
            <w:rFonts w:ascii="Courier New"/>
          </w:rPr>
          <w:t>https://www.ecb</w:t>
        </w:r>
      </w:hyperlink>
    </w:p>
    <w:p>
      <w:pPr>
        <w:pStyle w:val="BodyText"/>
        <w:spacing w:line="252" w:lineRule="auto" w:before="12"/>
        <w:ind w:left="674"/>
      </w:pPr>
      <w:hyperlink r:id="rId18">
        <w:r>
          <w:rPr>
            <w:rFonts w:ascii="Courier New"/>
          </w:rPr>
          <w:t>.europa.eu/ecb-and-you/explainers/tell-me-more/html/anfa_qa.en.html </w:t>
        </w:r>
      </w:hyperlink>
      <w:r>
        <w:rPr/>
        <w:t>European Central</w:t>
      </w:r>
      <w:bookmarkStart w:name="_bookmark12" w:id="34"/>
      <w:bookmarkEnd w:id="34"/>
      <w:r>
        <w:rPr/>
      </w:r>
      <w:r>
        <w:rPr/>
        <w:t> Bank, publishing date February 5, 2016, updated on September 13, 2024, accessed December 10, 2024.</w:t>
      </w:r>
    </w:p>
    <w:p>
      <w:pPr>
        <w:pStyle w:val="BodyText"/>
        <w:spacing w:before="18"/>
        <w:ind w:left="176"/>
      </w:pPr>
      <w:r>
        <w:rPr/>
        <w:t>Flandreau, M. (2000, 4). The economics and politics of monetary unions: A reassessment of the Latin Monetary Union, 1865-</w:t>
      </w:r>
    </w:p>
    <w:p>
      <w:pPr>
        <w:pStyle w:val="BodyText"/>
        <w:spacing w:line="252" w:lineRule="auto" w:before="29"/>
        <w:ind w:left="674" w:right="79" w:hanging="5"/>
      </w:pPr>
      <w:r>
        <w:rPr/>
        <w:t>71. </w:t>
      </w:r>
      <w:r>
        <w:rPr>
          <w:i/>
        </w:rPr>
        <w:t>Financial History Review</w:t>
      </w:r>
      <w:r>
        <w:rPr/>
        <w:t>, </w:t>
      </w:r>
      <w:r>
        <w:rPr>
          <w:i/>
        </w:rPr>
        <w:t>7</w:t>
      </w:r>
      <w:r>
        <w:rPr/>
        <w:t>(1), 25-44. Retrieved from </w:t>
      </w:r>
      <w:hyperlink r:id="rId19">
        <w:r>
          <w:rPr>
            <w:rFonts w:ascii="Courier New"/>
          </w:rPr>
          <w:t>https://doi.org/10.1017/s0968565000000020</w:t>
        </w:r>
      </w:hyperlink>
      <w:bookmarkStart w:name="_bookmark13" w:id="35"/>
      <w:bookmarkEnd w:id="35"/>
      <w:r>
        <w:rPr>
          <w:rFonts w:ascii="Courier New"/>
        </w:rPr>
      </w:r>
      <w:r>
        <w:rPr>
          <w:rFonts w:ascii="Courier New"/>
        </w:rPr>
        <w:t> </w:t>
      </w:r>
      <w:r>
        <w:rPr/>
        <w:t>doi: 10.1017/s0968565000000020</w:t>
      </w:r>
    </w:p>
    <w:p>
      <w:pPr>
        <w:pStyle w:val="BodyText"/>
        <w:spacing w:line="252" w:lineRule="auto" w:before="19"/>
        <w:ind w:left="674" w:right="150" w:hanging="499"/>
        <w:jc w:val="both"/>
      </w:pPr>
      <w:r>
        <w:rPr/>
        <w:t>Flannery, M. J. (2009). </w:t>
      </w:r>
      <w:r>
        <w:rPr>
          <w:i/>
        </w:rPr>
        <w:t>Iceland’s failed banks: A post-mortem. </w:t>
      </w:r>
      <w:r>
        <w:rPr/>
        <w:t>Retrieved from </w:t>
      </w:r>
      <w:hyperlink r:id="rId20">
        <w:r>
          <w:rPr>
            <w:rFonts w:ascii="Courier New" w:hAnsi="Courier New"/>
          </w:rPr>
          <w:t>https://www.rna.is/media/skjol/</w:t>
        </w:r>
      </w:hyperlink>
      <w:bookmarkStart w:name="_bookmark14" w:id="36"/>
      <w:bookmarkEnd w:id="36"/>
      <w:r>
        <w:rPr>
          <w:rFonts w:ascii="Courier New" w:hAnsi="Courier New"/>
        </w:rPr>
      </w:r>
      <w:r>
        <w:rPr>
          <w:rFonts w:ascii="Courier New" w:hAnsi="Courier New"/>
        </w:rPr>
        <w:t> </w:t>
      </w:r>
      <w:hyperlink r:id="rId20">
        <w:r>
          <w:rPr>
            <w:rFonts w:ascii="Courier New" w:hAnsi="Courier New"/>
          </w:rPr>
          <w:t>RNAvefVidauki3Enska.pdf</w:t>
        </w:r>
        <w:r>
          <w:rPr>
            <w:rFonts w:ascii="Courier New" w:hAnsi="Courier New"/>
            <w:spacing w:val="-18"/>
          </w:rPr>
          <w:t> </w:t>
        </w:r>
      </w:hyperlink>
      <w:r>
        <w:rPr/>
        <w:t>Report</w:t>
      </w:r>
      <w:r>
        <w:rPr>
          <w:spacing w:val="-7"/>
        </w:rPr>
        <w:t> </w:t>
      </w:r>
      <w:r>
        <w:rPr/>
        <w:t>prepared</w:t>
      </w:r>
      <w:r>
        <w:rPr>
          <w:spacing w:val="-8"/>
        </w:rPr>
        <w:t> </w:t>
      </w:r>
      <w:r>
        <w:rPr/>
        <w:t>for</w:t>
      </w:r>
      <w:r>
        <w:rPr>
          <w:spacing w:val="-7"/>
        </w:rPr>
        <w:t> </w:t>
      </w:r>
      <w:r>
        <w:rPr/>
        <w:t>the</w:t>
      </w:r>
      <w:r>
        <w:rPr>
          <w:spacing w:val="-7"/>
        </w:rPr>
        <w:t> </w:t>
      </w:r>
      <w:r>
        <w:rPr/>
        <w:t>Icelandic</w:t>
      </w:r>
      <w:r>
        <w:rPr>
          <w:spacing w:val="-7"/>
        </w:rPr>
        <w:t> </w:t>
      </w:r>
      <w:r>
        <w:rPr/>
        <w:t>Special</w:t>
      </w:r>
      <w:r>
        <w:rPr>
          <w:spacing w:val="-7"/>
        </w:rPr>
        <w:t> </w:t>
      </w:r>
      <w:r>
        <w:rPr/>
        <w:t>Investigation</w:t>
      </w:r>
      <w:r>
        <w:rPr>
          <w:spacing w:val="-8"/>
        </w:rPr>
        <w:t> </w:t>
      </w:r>
      <w:r>
        <w:rPr/>
        <w:t>Commission,</w:t>
      </w:r>
      <w:r>
        <w:rPr>
          <w:spacing w:val="-7"/>
        </w:rPr>
        <w:t> </w:t>
      </w:r>
      <w:r>
        <w:rPr/>
        <w:t>9</w:t>
      </w:r>
      <w:r>
        <w:rPr>
          <w:spacing w:val="-7"/>
        </w:rPr>
        <w:t> </w:t>
      </w:r>
      <w:r>
        <w:rPr/>
        <w:t>March</w:t>
      </w:r>
      <w:r>
        <w:rPr>
          <w:spacing w:val="-7"/>
        </w:rPr>
        <w:t> </w:t>
      </w:r>
      <w:r>
        <w:rPr/>
        <w:t>2009.</w:t>
      </w:r>
    </w:p>
    <w:p>
      <w:pPr>
        <w:pStyle w:val="BodyText"/>
        <w:spacing w:line="264" w:lineRule="auto" w:before="1"/>
        <w:ind w:left="659" w:right="146" w:hanging="484"/>
        <w:jc w:val="both"/>
      </w:pPr>
      <w:r>
        <w:rPr/>
        <w:t>Gibson, H. D., Hall, S. G., Petroulas, </w:t>
      </w:r>
      <w:r>
        <w:rPr>
          <w:spacing w:val="-8"/>
        </w:rPr>
        <w:t>P., </w:t>
      </w:r>
      <w:r>
        <w:rPr/>
        <w:t>Spiliotopoulos, </w:t>
      </w:r>
      <w:r>
        <w:rPr>
          <w:spacing w:val="-9"/>
        </w:rPr>
        <w:t>V., </w:t>
      </w:r>
      <w:r>
        <w:rPr/>
        <w:t>&amp;  </w:t>
      </w:r>
      <w:r>
        <w:rPr>
          <w:spacing w:val="-3"/>
        </w:rPr>
        <w:t>Tavlas,  </w:t>
      </w:r>
      <w:r>
        <w:rPr/>
        <w:t>G.  S.  (2020,  11).  The  effect  of  emergency liquidity assistance (ELA) on bank lending during the Eeuro area crisis. </w:t>
      </w:r>
      <w:r>
        <w:rPr>
          <w:i/>
        </w:rPr>
        <w:t>Journal  of  International  Money  and </w:t>
      </w:r>
      <w:r>
        <w:rPr>
          <w:i/>
        </w:rPr>
        <w:t>Finance</w:t>
      </w:r>
      <w:r>
        <w:rPr/>
        <w:t>, </w:t>
      </w:r>
      <w:r>
        <w:rPr>
          <w:i/>
        </w:rPr>
        <w:t>108</w:t>
      </w:r>
      <w:r>
        <w:rPr/>
        <w:t>, 102154. Retrieved from </w:t>
      </w:r>
      <w:hyperlink r:id="rId21">
        <w:r>
          <w:rPr>
            <w:rFonts w:ascii="Courier New" w:hAnsi="Courier New"/>
          </w:rPr>
          <w:t>https://doi.org/10.1016/j.jimonfin.2020.102154</w:t>
        </w:r>
      </w:hyperlink>
      <w:r>
        <w:rPr>
          <w:rFonts w:ascii="Courier New" w:hAnsi="Courier New"/>
        </w:rPr>
        <w:t> </w:t>
      </w:r>
      <w:r>
        <w:rPr/>
        <w:t>doi:</w:t>
      </w:r>
      <w:bookmarkStart w:name="_bookmark15" w:id="37"/>
      <w:bookmarkEnd w:id="37"/>
      <w:r>
        <w:rPr/>
      </w:r>
      <w:r>
        <w:rPr/>
        <w:t> 10.1016/j.jimonﬁn.2020.102154</w:t>
      </w:r>
    </w:p>
    <w:p>
      <w:pPr>
        <w:spacing w:line="271" w:lineRule="auto" w:before="8"/>
        <w:ind w:left="674" w:right="141" w:hanging="499"/>
        <w:jc w:val="both"/>
        <w:rPr>
          <w:rFonts w:ascii="Courier New" w:hAnsi="Courier New"/>
          <w:sz w:val="20"/>
        </w:rPr>
      </w:pPr>
      <w:r>
        <w:rPr>
          <w:sz w:val="20"/>
        </w:rPr>
        <w:t>Hannoun, H., Issing, O., Liebscher, K., Schlesinger, H., Stark, J., Wellink, N., . . . Noyer, C. (2019, October). </w:t>
      </w:r>
      <w:r>
        <w:rPr>
          <w:i/>
          <w:sz w:val="20"/>
        </w:rPr>
        <w:t>Memoran-  </w:t>
      </w:r>
      <w:r>
        <w:rPr>
          <w:i/>
          <w:sz w:val="20"/>
        </w:rPr>
        <w:t>dum</w:t>
      </w:r>
      <w:r>
        <w:rPr>
          <w:i/>
          <w:spacing w:val="-18"/>
          <w:sz w:val="20"/>
        </w:rPr>
        <w:t> </w:t>
      </w:r>
      <w:r>
        <w:rPr>
          <w:i/>
          <w:sz w:val="20"/>
        </w:rPr>
        <w:t>on</w:t>
      </w:r>
      <w:r>
        <w:rPr>
          <w:i/>
          <w:spacing w:val="-18"/>
          <w:sz w:val="20"/>
        </w:rPr>
        <w:t> </w:t>
      </w:r>
      <w:r>
        <w:rPr>
          <w:i/>
          <w:sz w:val="20"/>
        </w:rPr>
        <w:t>the</w:t>
      </w:r>
      <w:r>
        <w:rPr>
          <w:i/>
          <w:spacing w:val="-17"/>
          <w:sz w:val="20"/>
        </w:rPr>
        <w:t> </w:t>
      </w:r>
      <w:r>
        <w:rPr>
          <w:i/>
          <w:sz w:val="20"/>
        </w:rPr>
        <w:t>ECB’s</w:t>
      </w:r>
      <w:r>
        <w:rPr>
          <w:i/>
          <w:spacing w:val="-18"/>
          <w:sz w:val="20"/>
        </w:rPr>
        <w:t> </w:t>
      </w:r>
      <w:r>
        <w:rPr>
          <w:i/>
          <w:sz w:val="20"/>
        </w:rPr>
        <w:t>monetary</w:t>
      </w:r>
      <w:r>
        <w:rPr>
          <w:i/>
          <w:spacing w:val="-18"/>
          <w:sz w:val="20"/>
        </w:rPr>
        <w:t> </w:t>
      </w:r>
      <w:r>
        <w:rPr>
          <w:i/>
          <w:sz w:val="20"/>
        </w:rPr>
        <w:t>policy.</w:t>
      </w:r>
      <w:r>
        <w:rPr>
          <w:i/>
          <w:spacing w:val="-10"/>
          <w:sz w:val="20"/>
        </w:rPr>
        <w:t> </w:t>
      </w:r>
      <w:r>
        <w:rPr>
          <w:sz w:val="20"/>
        </w:rPr>
        <w:t>Retrieved</w:t>
      </w:r>
      <w:r>
        <w:rPr>
          <w:spacing w:val="-18"/>
          <w:sz w:val="20"/>
        </w:rPr>
        <w:t> </w:t>
      </w:r>
      <w:r>
        <w:rPr>
          <w:sz w:val="20"/>
        </w:rPr>
        <w:t>from</w:t>
      </w:r>
      <w:r>
        <w:rPr>
          <w:spacing w:val="-17"/>
          <w:sz w:val="20"/>
        </w:rPr>
        <w:t> </w:t>
      </w:r>
      <w:hyperlink r:id="rId22">
        <w:r>
          <w:rPr>
            <w:rFonts w:ascii="Courier New" w:hAnsi="Courier New"/>
            <w:sz w:val="20"/>
          </w:rPr>
          <w:t>https://www.hanswernersinn.de/dcs/Memorand-ECB</w:t>
        </w:r>
      </w:hyperlink>
    </w:p>
    <w:p>
      <w:pPr>
        <w:pStyle w:val="BodyText"/>
        <w:spacing w:line="228" w:lineRule="exact"/>
        <w:ind w:left="614"/>
        <w:jc w:val="both"/>
      </w:pPr>
      <w:bookmarkStart w:name="_bookmark16" w:id="38"/>
      <w:bookmarkEnd w:id="38"/>
      <w:r>
        <w:rPr/>
      </w:r>
      <w:hyperlink r:id="rId22">
        <w:r>
          <w:rPr>
            <w:rFonts w:ascii="Courier New"/>
          </w:rPr>
          <w:t>-Monetary-Policy-04102019.pdf </w:t>
        </w:r>
      </w:hyperlink>
      <w:r>
        <w:rPr/>
        <w:t>Published October 4, 2019, accessed 9. Sep. 2024.</w:t>
      </w:r>
    </w:p>
    <w:p>
      <w:pPr>
        <w:pStyle w:val="BodyText"/>
        <w:spacing w:line="271" w:lineRule="auto" w:before="12"/>
        <w:ind w:left="674" w:right="141" w:hanging="499"/>
        <w:jc w:val="both"/>
        <w:rPr>
          <w:rFonts w:ascii="Courier New" w:hAnsi="Courier New"/>
        </w:rPr>
      </w:pPr>
      <w:r>
        <w:rPr/>
        <w:t>Hansen, A., &amp; Meyer, D. (2017). ANFA – National money creation as an existential threat to the currency union? </w:t>
      </w:r>
      <w:r>
        <w:rPr>
          <w:i/>
        </w:rPr>
        <w:t>Intere- </w:t>
      </w:r>
      <w:r>
        <w:rPr>
          <w:i/>
        </w:rPr>
        <w:t>conomics</w:t>
      </w:r>
      <w:r>
        <w:rPr/>
        <w:t>, </w:t>
      </w:r>
      <w:r>
        <w:rPr>
          <w:i/>
        </w:rPr>
        <w:t>2017</w:t>
      </w:r>
      <w:r>
        <w:rPr/>
        <w:t>(4), 230-237. Retrieved 2024-12-10, from </w:t>
      </w:r>
      <w:hyperlink r:id="rId23">
        <w:r>
          <w:rPr>
            <w:rFonts w:ascii="Courier New" w:hAnsi="Courier New"/>
          </w:rPr>
          <w:t>https://www.intereconomics.eu/contents/</w:t>
        </w:r>
      </w:hyperlink>
    </w:p>
    <w:p>
      <w:pPr>
        <w:spacing w:after="0" w:line="271" w:lineRule="auto"/>
        <w:jc w:val="both"/>
        <w:rPr>
          <w:rFonts w:ascii="Courier New" w:hAnsi="Courier New"/>
        </w:rPr>
        <w:sectPr>
          <w:pgSz w:w="11910" w:h="15650"/>
          <w:pgMar w:header="730" w:footer="0" w:top="940" w:bottom="280" w:left="740" w:right="760"/>
        </w:sectPr>
      </w:pPr>
    </w:p>
    <w:p>
      <w:pPr>
        <w:pStyle w:val="BodyText"/>
        <w:spacing w:before="159"/>
        <w:ind w:left="694"/>
        <w:rPr>
          <w:rFonts w:ascii="Courier New"/>
        </w:rPr>
      </w:pPr>
      <w:hyperlink r:id="rId23">
        <w:r>
          <w:rPr>
            <w:rFonts w:ascii="Courier New"/>
          </w:rPr>
          <w:t>year/2017/number/4/article/anfa-national-money-creation-as-an-existential</w:t>
        </w:r>
      </w:hyperlink>
    </w:p>
    <w:p>
      <w:pPr>
        <w:pStyle w:val="BodyText"/>
        <w:spacing w:before="32"/>
        <w:ind w:left="634"/>
        <w:rPr>
          <w:rFonts w:ascii="Courier New"/>
        </w:rPr>
      </w:pPr>
      <w:bookmarkStart w:name="_bookmark17" w:id="39"/>
      <w:bookmarkEnd w:id="39"/>
      <w:r>
        <w:rPr/>
      </w:r>
      <w:hyperlink r:id="rId23">
        <w:r>
          <w:rPr>
            <w:rFonts w:ascii="Courier New"/>
          </w:rPr>
          <w:t>-threat-to-the-currency-union.html</w:t>
        </w:r>
      </w:hyperlink>
    </w:p>
    <w:p>
      <w:pPr>
        <w:spacing w:line="271" w:lineRule="auto" w:before="12"/>
        <w:ind w:left="687" w:right="121" w:hanging="491"/>
        <w:jc w:val="both"/>
        <w:rPr>
          <w:sz w:val="20"/>
        </w:rPr>
      </w:pPr>
      <w:r>
        <w:rPr>
          <w:sz w:val="20"/>
        </w:rPr>
        <w:t>Hoffmann, D. (2015). </w:t>
      </w:r>
      <w:r>
        <w:rPr>
          <w:i/>
          <w:sz w:val="20"/>
        </w:rPr>
        <w:t>Die EZB in der Krise. Eine Analyse der wesentlichen Sondermaßnahmen von 2007 bis 2012 </w:t>
      </w:r>
      <w:r>
        <w:rPr>
          <w:sz w:val="20"/>
        </w:rPr>
        <w:t>(Un- published doctoral dissertation). TU Berlin, Berlin, Germany, EU. Westarp BookOnDemand, Pro Business Verlag,</w:t>
      </w:r>
      <w:bookmarkStart w:name="_bookmark18" w:id="40"/>
      <w:bookmarkEnd w:id="40"/>
      <w:r>
        <w:rPr>
          <w:sz w:val="20"/>
        </w:rPr>
      </w:r>
      <w:r>
        <w:rPr>
          <w:sz w:val="20"/>
        </w:rPr>
        <w:t> Artikelnummer: 14603, Nr. 1 der Schriftenreihe zur Erforschung des Geldwesens.</w:t>
      </w:r>
    </w:p>
    <w:p>
      <w:pPr>
        <w:spacing w:line="271" w:lineRule="auto" w:before="0"/>
        <w:ind w:left="694" w:right="121" w:hanging="499"/>
        <w:jc w:val="both"/>
        <w:rPr>
          <w:rFonts w:ascii="Courier New" w:hAnsi="Courier New"/>
          <w:sz w:val="20"/>
        </w:rPr>
      </w:pPr>
      <w:r>
        <w:rPr>
          <w:sz w:val="20"/>
        </w:rPr>
        <w:t>Hoffmann, D. (2016, July). </w:t>
      </w:r>
      <w:r>
        <w:rPr>
          <w:i/>
          <w:sz w:val="20"/>
        </w:rPr>
        <w:t>Erste Erkenntnisse zum ANFA-Abkommen: </w:t>
      </w:r>
      <w:r>
        <w:rPr>
          <w:i/>
          <w:spacing w:val="-6"/>
          <w:sz w:val="20"/>
        </w:rPr>
        <w:t>ANFA </w:t>
      </w:r>
      <w:r>
        <w:rPr>
          <w:i/>
          <w:sz w:val="20"/>
        </w:rPr>
        <w:t>ermöglicht Finanzierung von Bankenabwick- </w:t>
      </w:r>
      <w:r>
        <w:rPr>
          <w:i/>
          <w:sz w:val="20"/>
        </w:rPr>
        <w:t>lungen</w:t>
      </w:r>
      <w:r>
        <w:rPr>
          <w:i/>
          <w:spacing w:val="-11"/>
          <w:sz w:val="20"/>
        </w:rPr>
        <w:t> </w:t>
      </w:r>
      <w:r>
        <w:rPr>
          <w:i/>
          <w:spacing w:val="-3"/>
          <w:sz w:val="20"/>
        </w:rPr>
        <w:t>durch</w:t>
      </w:r>
      <w:r>
        <w:rPr>
          <w:i/>
          <w:spacing w:val="-10"/>
          <w:sz w:val="20"/>
        </w:rPr>
        <w:t> </w:t>
      </w:r>
      <w:r>
        <w:rPr>
          <w:i/>
          <w:sz w:val="20"/>
        </w:rPr>
        <w:t>nationale</w:t>
      </w:r>
      <w:r>
        <w:rPr>
          <w:i/>
          <w:spacing w:val="-10"/>
          <w:sz w:val="20"/>
        </w:rPr>
        <w:t> </w:t>
      </w:r>
      <w:r>
        <w:rPr>
          <w:i/>
          <w:sz w:val="20"/>
        </w:rPr>
        <w:t>Zentralbanken.</w:t>
      </w:r>
      <w:r>
        <w:rPr>
          <w:i/>
          <w:spacing w:val="6"/>
          <w:sz w:val="20"/>
        </w:rPr>
        <w:t> </w:t>
      </w:r>
      <w:r>
        <w:rPr>
          <w:sz w:val="20"/>
        </w:rPr>
        <w:t>Retrieved</w:t>
      </w:r>
      <w:r>
        <w:rPr>
          <w:spacing w:val="-10"/>
          <w:sz w:val="20"/>
        </w:rPr>
        <w:t> </w:t>
      </w:r>
      <w:r>
        <w:rPr>
          <w:sz w:val="20"/>
        </w:rPr>
        <w:t>from</w:t>
      </w:r>
      <w:r>
        <w:rPr>
          <w:spacing w:val="-11"/>
          <w:sz w:val="20"/>
        </w:rPr>
        <w:t> </w:t>
      </w:r>
      <w:hyperlink r:id="rId24">
        <w:r>
          <w:rPr>
            <w:rFonts w:ascii="Courier New" w:hAnsi="Courier New"/>
            <w:sz w:val="20"/>
          </w:rPr>
          <w:t>https://www.ifo.de/DocDL/sd-2016-13-hoffman</w:t>
        </w:r>
      </w:hyperlink>
    </w:p>
    <w:p>
      <w:pPr>
        <w:pStyle w:val="BodyText"/>
        <w:spacing w:line="228" w:lineRule="exact"/>
        <w:ind w:left="634"/>
        <w:jc w:val="both"/>
      </w:pPr>
      <w:hyperlink r:id="rId24">
        <w:r>
          <w:rPr>
            <w:rFonts w:ascii="Courier New"/>
          </w:rPr>
          <w:t>-anfa-irland{%}20-2016-07-14.pdf</w:t>
        </w:r>
      </w:hyperlink>
      <w:r>
        <w:rPr>
          <w:rFonts w:ascii="Courier New"/>
        </w:rPr>
        <w:t> </w:t>
      </w:r>
      <w:r>
        <w:rPr>
          <w:rFonts w:ascii="Courier New"/>
          <w:spacing w:val="112"/>
        </w:rPr>
        <w:t> </w:t>
      </w:r>
      <w:r>
        <w:rPr/>
        <w:t>ifo Schnelldienst 13/2016 - 69. Jahrgang - 14. Juli 2016, accessed 5.</w:t>
      </w:r>
    </w:p>
    <w:p>
      <w:pPr>
        <w:pStyle w:val="BodyText"/>
        <w:spacing w:before="10"/>
        <w:ind w:left="694"/>
        <w:jc w:val="both"/>
      </w:pPr>
      <w:bookmarkStart w:name="_bookmark19" w:id="41"/>
      <w:bookmarkEnd w:id="41"/>
      <w:r>
        <w:rPr/>
      </w:r>
      <w:r>
        <w:rPr/>
        <w:t>Sep. 2024.</w:t>
      </w:r>
    </w:p>
    <w:p>
      <w:pPr>
        <w:spacing w:line="261" w:lineRule="auto" w:before="29"/>
        <w:ind w:left="694" w:right="154" w:hanging="499"/>
        <w:jc w:val="both"/>
        <w:rPr>
          <w:sz w:val="20"/>
        </w:rPr>
      </w:pPr>
      <w:r>
        <w:rPr>
          <w:sz w:val="20"/>
        </w:rPr>
        <w:t>Hreinsson, </w:t>
      </w:r>
      <w:r>
        <w:rPr>
          <w:spacing w:val="-8"/>
          <w:sz w:val="20"/>
        </w:rPr>
        <w:t>P., </w:t>
      </w:r>
      <w:r>
        <w:rPr>
          <w:sz w:val="20"/>
        </w:rPr>
        <w:t>Tryggvi, G., &amp; Sigridur, B. (2009). </w:t>
      </w:r>
      <w:r>
        <w:rPr>
          <w:i/>
          <w:sz w:val="20"/>
        </w:rPr>
        <w:t>Causes of the collapse of the icelanldic banks - responsibility, mistakes and </w:t>
      </w:r>
      <w:r>
        <w:rPr>
          <w:i/>
          <w:sz w:val="20"/>
        </w:rPr>
        <w:t>negligence. </w:t>
      </w:r>
      <w:r>
        <w:rPr>
          <w:sz w:val="20"/>
        </w:rPr>
        <w:t>Retrieved from </w:t>
      </w:r>
      <w:hyperlink r:id="rId25">
        <w:r>
          <w:rPr>
            <w:rFonts w:ascii="Courier New"/>
            <w:sz w:val="20"/>
          </w:rPr>
          <w:t>https://www.rna.is/media/skjol/RNAvefurKafli21Enska.pdf </w:t>
        </w:r>
      </w:hyperlink>
      <w:r>
        <w:rPr>
          <w:spacing w:val="-3"/>
          <w:sz w:val="20"/>
        </w:rPr>
        <w:t>Report</w:t>
      </w:r>
      <w:bookmarkStart w:name="_bookmark20" w:id="42"/>
      <w:bookmarkEnd w:id="42"/>
      <w:r>
        <w:rPr>
          <w:spacing w:val="-3"/>
          <w:sz w:val="20"/>
        </w:rPr>
      </w:r>
      <w:r>
        <w:rPr>
          <w:spacing w:val="-3"/>
          <w:sz w:val="20"/>
        </w:rPr>
        <w:t> </w:t>
      </w:r>
      <w:r>
        <w:rPr>
          <w:sz w:val="20"/>
        </w:rPr>
        <w:t>prepared for the Icelandic Special Investigation Commission, 9 March 2009.</w:t>
      </w:r>
    </w:p>
    <w:p>
      <w:pPr>
        <w:pStyle w:val="BodyText"/>
        <w:spacing w:before="8"/>
        <w:ind w:left="196"/>
        <w:jc w:val="both"/>
      </w:pPr>
      <w:r>
        <w:rPr/>
        <w:t>Ojeda, A. R.   (2022).   Which constitutional economics for the two-decade-old eurozone?   </w:t>
      </w:r>
      <w:r>
        <w:rPr>
          <w:i/>
        </w:rPr>
        <w:t>Future Europe Journal</w:t>
      </w:r>
      <w:r>
        <w:rPr/>
        <w:t>, </w:t>
      </w:r>
      <w:r>
        <w:rPr>
          <w:i/>
        </w:rPr>
        <w:t>2</w:t>
      </w:r>
      <w:r>
        <w:rPr/>
        <w:t>(1), </w:t>
      </w:r>
      <w:r>
        <w:rPr>
          <w:spacing w:val="10"/>
        </w:rPr>
        <w:t> </w:t>
      </w:r>
      <w:r>
        <w:rPr/>
        <w:t>42-</w:t>
      </w:r>
    </w:p>
    <w:p>
      <w:pPr>
        <w:pStyle w:val="BodyText"/>
        <w:spacing w:before="30"/>
        <w:ind w:left="687"/>
        <w:rPr>
          <w:rFonts w:ascii="Courier New"/>
        </w:rPr>
      </w:pPr>
      <w:r>
        <w:rPr/>
        <w:t>49.</w:t>
      </w:r>
      <w:r>
        <w:rPr>
          <w:spacing w:val="-9"/>
        </w:rPr>
        <w:t> </w:t>
      </w:r>
      <w:r>
        <w:rPr/>
        <w:t>Retrieved</w:t>
      </w:r>
      <w:r>
        <w:rPr>
          <w:spacing w:val="-20"/>
        </w:rPr>
        <w:t> </w:t>
      </w:r>
      <w:r>
        <w:rPr/>
        <w:t>from</w:t>
      </w:r>
      <w:r>
        <w:rPr>
          <w:spacing w:val="-19"/>
        </w:rPr>
        <w:t> </w:t>
      </w:r>
      <w:hyperlink r:id="rId13">
        <w:r>
          <w:rPr>
            <w:rFonts w:ascii="Courier New"/>
          </w:rPr>
          <w:t>https://feu-journal.eu/wp-content/uploads/2023/03/FEU-Journal-Issue</w:t>
        </w:r>
      </w:hyperlink>
    </w:p>
    <w:p>
      <w:pPr>
        <w:pStyle w:val="BodyText"/>
        <w:spacing w:before="32"/>
        <w:ind w:left="634"/>
        <w:rPr>
          <w:rFonts w:ascii="Courier New"/>
        </w:rPr>
      </w:pPr>
      <w:bookmarkStart w:name="_bookmark21" w:id="43"/>
      <w:bookmarkEnd w:id="43"/>
      <w:r>
        <w:rPr/>
      </w:r>
      <w:hyperlink r:id="rId13">
        <w:r>
          <w:rPr>
            <w:rFonts w:ascii="Courier New"/>
          </w:rPr>
          <w:t>-2_Inflation-rising.pdf</w:t>
        </w:r>
      </w:hyperlink>
    </w:p>
    <w:p>
      <w:pPr>
        <w:pStyle w:val="BodyText"/>
        <w:spacing w:line="264" w:lineRule="auto" w:before="12"/>
        <w:ind w:left="688" w:right="121" w:hanging="492"/>
        <w:jc w:val="both"/>
      </w:pPr>
      <w:r>
        <w:rPr/>
        <w:t>Ojeda, A. R. (2024, 11). El Eurosistema: dominancia monetaria o redistribución mediante regulación. En especial, los saldos TARGET2 (The Eurosystem: monetary dominance or redistribution through regulation. In particular, TARGET2 bal- ances). </w:t>
      </w:r>
      <w:r>
        <w:rPr>
          <w:i/>
        </w:rPr>
        <w:t>InDret (Revista para el Análisis del Derecho)</w:t>
      </w:r>
      <w:r>
        <w:rPr/>
        <w:t>, </w:t>
      </w:r>
      <w:r>
        <w:rPr>
          <w:i/>
        </w:rPr>
        <w:t>4</w:t>
      </w:r>
      <w:r>
        <w:rPr/>
        <w:t>, 349-408. Retrieved from </w:t>
      </w:r>
      <w:hyperlink r:id="rId26">
        <w:r>
          <w:rPr>
            <w:rFonts w:ascii="Courier New" w:hAnsi="Courier New"/>
          </w:rPr>
          <w:t>https://doi.org/10.31009/</w:t>
        </w:r>
      </w:hyperlink>
      <w:bookmarkStart w:name="_bookmark22" w:id="44"/>
      <w:bookmarkEnd w:id="44"/>
      <w:r>
        <w:rPr>
          <w:rFonts w:ascii="Courier New" w:hAnsi="Courier New"/>
        </w:rPr>
      </w:r>
      <w:r>
        <w:rPr>
          <w:rFonts w:ascii="Courier New" w:hAnsi="Courier New"/>
        </w:rPr>
        <w:t> </w:t>
      </w:r>
      <w:hyperlink r:id="rId26">
        <w:r>
          <w:rPr>
            <w:rFonts w:ascii="Courier New" w:hAnsi="Courier New"/>
          </w:rPr>
          <w:t>indret.2024.i4.11 </w:t>
        </w:r>
      </w:hyperlink>
      <w:r>
        <w:rPr/>
        <w:t>doi: 10.31009/indret.2024.i4.11</w:t>
      </w:r>
    </w:p>
    <w:p>
      <w:pPr>
        <w:pStyle w:val="BodyText"/>
        <w:spacing w:line="271" w:lineRule="auto"/>
        <w:ind w:left="694" w:right="154" w:hanging="499"/>
        <w:jc w:val="both"/>
      </w:pPr>
      <w:r>
        <w:rPr/>
        <w:t>Perotti, R. (2024, January). Understanding the German criticism of Target. </w:t>
      </w:r>
      <w:r>
        <w:rPr>
          <w:i/>
        </w:rPr>
        <w:t>Economic Policy</w:t>
      </w:r>
      <w:r>
        <w:rPr/>
        <w:t>, </w:t>
      </w:r>
      <w:r>
        <w:rPr>
          <w:i/>
        </w:rPr>
        <w:t>38</w:t>
      </w:r>
      <w:r>
        <w:rPr/>
        <w:t>(116), 827-861. Retrieved</w:t>
      </w:r>
      <w:bookmarkStart w:name="_bookmark23" w:id="45"/>
      <w:bookmarkEnd w:id="45"/>
      <w:r>
        <w:rPr/>
      </w:r>
      <w:r>
        <w:rPr/>
        <w:t> from </w:t>
      </w:r>
      <w:hyperlink r:id="rId27">
        <w:r>
          <w:rPr>
            <w:rFonts w:ascii="Courier New"/>
          </w:rPr>
          <w:t>https://doi.org/10.1093/epolic/eiae009 </w:t>
        </w:r>
      </w:hyperlink>
      <w:r>
        <w:rPr/>
        <w:t>doi: 10.1093/epolic/eiae009</w:t>
      </w:r>
    </w:p>
    <w:p>
      <w:pPr>
        <w:spacing w:line="211" w:lineRule="exact" w:before="0"/>
        <w:ind w:left="196" w:right="0" w:firstLine="0"/>
        <w:jc w:val="both"/>
        <w:rPr>
          <w:sz w:val="20"/>
        </w:rPr>
      </w:pPr>
      <w:r>
        <w:rPr>
          <w:sz w:val="20"/>
        </w:rPr>
        <w:t>Preda, D. (2017). </w:t>
      </w:r>
      <w:r>
        <w:rPr>
          <w:i/>
          <w:sz w:val="20"/>
        </w:rPr>
        <w:t>The history of the European Monetary Union </w:t>
      </w:r>
      <w:r>
        <w:rPr>
          <w:sz w:val="20"/>
        </w:rPr>
        <w:t>(Vol. 99). Bruxelles, Bern, Berlin, Frankfurt am Main,</w:t>
      </w:r>
    </w:p>
    <w:p>
      <w:pPr>
        <w:pStyle w:val="BodyText"/>
        <w:spacing w:line="252" w:lineRule="auto" w:before="20"/>
        <w:ind w:left="679" w:right="126" w:firstLine="14"/>
        <w:jc w:val="both"/>
      </w:pPr>
      <w:r>
        <w:rPr/>
        <w:t>New York, Oxford, Wien, EU: P.I.E. Peter Lang. Retrieved from </w:t>
      </w:r>
      <w:hyperlink r:id="rId28">
        <w:r>
          <w:rPr>
            <w:rFonts w:ascii="Courier New"/>
          </w:rPr>
          <w:t>https://doi.org/10.3726/b10858</w:t>
        </w:r>
      </w:hyperlink>
      <w:r>
        <w:rPr>
          <w:rFonts w:ascii="Courier New"/>
        </w:rPr>
        <w:t> </w:t>
      </w:r>
      <w:r>
        <w:rPr/>
        <w:t>doi:</w:t>
      </w:r>
      <w:bookmarkStart w:name="_bookmark24" w:id="46"/>
      <w:bookmarkEnd w:id="46"/>
      <w:r>
        <w:rPr/>
      </w:r>
      <w:r>
        <w:rPr/>
        <w:t> 10.3726/b10858</w:t>
      </w:r>
    </w:p>
    <w:p>
      <w:pPr>
        <w:spacing w:line="271" w:lineRule="auto" w:before="18"/>
        <w:ind w:left="694" w:right="129" w:hanging="499"/>
        <w:jc w:val="both"/>
        <w:rPr>
          <w:sz w:val="20"/>
        </w:rPr>
      </w:pPr>
      <w:r>
        <w:rPr>
          <w:sz w:val="20"/>
        </w:rPr>
        <w:t>Putignano, A. (2024). </w:t>
      </w:r>
      <w:r>
        <w:rPr>
          <w:i/>
          <w:sz w:val="20"/>
        </w:rPr>
        <w:t>accounting of TARGET (#4 – 175953). </w:t>
      </w:r>
      <w:r>
        <w:rPr>
          <w:sz w:val="20"/>
        </w:rPr>
        <w:t>Public Communication, European Central Bank, email</w:t>
      </w:r>
      <w:r>
        <w:rPr>
          <w:spacing w:val="-30"/>
          <w:sz w:val="20"/>
        </w:rPr>
        <w:t> </w:t>
      </w:r>
      <w:r>
        <w:rPr>
          <w:sz w:val="20"/>
        </w:rPr>
        <w:t>message,</w:t>
      </w:r>
      <w:bookmarkStart w:name="_bookmark25" w:id="47"/>
      <w:bookmarkEnd w:id="47"/>
      <w:r>
        <w:rPr>
          <w:sz w:val="20"/>
        </w:rPr>
      </w:r>
      <w:r>
        <w:rPr>
          <w:sz w:val="20"/>
        </w:rPr>
        <w:t> dated Sept. 18,</w:t>
      </w:r>
      <w:r>
        <w:rPr>
          <w:spacing w:val="-4"/>
          <w:sz w:val="20"/>
        </w:rPr>
        <w:t> </w:t>
      </w:r>
      <w:r>
        <w:rPr>
          <w:sz w:val="20"/>
        </w:rPr>
        <w:t>2024.</w:t>
      </w:r>
    </w:p>
    <w:p>
      <w:pPr>
        <w:pStyle w:val="BodyText"/>
        <w:spacing w:line="261" w:lineRule="auto"/>
        <w:ind w:left="694" w:right="121" w:hanging="499"/>
        <w:jc w:val="both"/>
      </w:pPr>
      <w:r>
        <w:rPr/>
        <w:t>Sauer, I. (2023, 1). The Lessons from 1923 for the Euro Area: Enlightening the Dark Side of (In-) Solvent Central Banks’ Balance Sheets. </w:t>
      </w:r>
      <w:r>
        <w:rPr>
          <w:i/>
        </w:rPr>
        <w:t>SSRN Electronic Journal</w:t>
      </w:r>
      <w:r>
        <w:rPr/>
        <w:t>, 1-360. Retrieved from </w:t>
      </w:r>
      <w:hyperlink r:id="rId29">
        <w:r>
          <w:rPr>
            <w:rFonts w:ascii="Courier New" w:hAnsi="Courier New"/>
          </w:rPr>
          <w:t>https://doi.org/10.2139/ssrn.4620462</w:t>
        </w:r>
      </w:hyperlink>
      <w:bookmarkStart w:name="_bookmark26" w:id="48"/>
      <w:bookmarkEnd w:id="48"/>
      <w:r>
        <w:rPr>
          <w:rFonts w:ascii="Courier New" w:hAnsi="Courier New"/>
        </w:rPr>
      </w:r>
      <w:r>
        <w:rPr>
          <w:rFonts w:ascii="Courier New" w:hAnsi="Courier New"/>
        </w:rPr>
        <w:t> </w:t>
      </w:r>
      <w:r>
        <w:rPr/>
        <w:t>doi: 10.2139/ssrn.4620462</w:t>
      </w:r>
    </w:p>
    <w:p>
      <w:pPr>
        <w:spacing w:line="252" w:lineRule="auto" w:before="7"/>
        <w:ind w:left="688" w:right="130" w:hanging="493"/>
        <w:jc w:val="both"/>
        <w:rPr>
          <w:sz w:val="20"/>
        </w:rPr>
      </w:pPr>
      <w:r>
        <w:rPr>
          <w:sz w:val="20"/>
        </w:rPr>
        <w:t>Sibert, A. (2010, May). </w:t>
      </w:r>
      <w:r>
        <w:rPr>
          <w:i/>
          <w:sz w:val="20"/>
        </w:rPr>
        <w:t>Love letters </w:t>
      </w:r>
      <w:r>
        <w:rPr>
          <w:i/>
          <w:spacing w:val="-3"/>
          <w:sz w:val="20"/>
        </w:rPr>
        <w:t>from </w:t>
      </w:r>
      <w:r>
        <w:rPr>
          <w:i/>
          <w:sz w:val="20"/>
        </w:rPr>
        <w:t>Iceland: Accountability of the Eurosystem. </w:t>
      </w:r>
      <w:r>
        <w:rPr>
          <w:sz w:val="20"/>
        </w:rPr>
        <w:t>Retrieved from</w:t>
      </w:r>
      <w:r>
        <w:rPr>
          <w:spacing w:val="-27"/>
          <w:sz w:val="20"/>
        </w:rPr>
        <w:t> </w:t>
      </w:r>
      <w:hyperlink r:id="rId30">
        <w:r>
          <w:rPr>
            <w:rFonts w:ascii="Courier New"/>
            <w:sz w:val="20"/>
          </w:rPr>
          <w:t>https://cepr.org/</w:t>
        </w:r>
      </w:hyperlink>
      <w:r>
        <w:rPr>
          <w:rFonts w:ascii="Courier New"/>
          <w:sz w:val="20"/>
        </w:rPr>
        <w:t> </w:t>
      </w:r>
      <w:hyperlink r:id="rId30">
        <w:r>
          <w:rPr>
            <w:rFonts w:ascii="Courier New"/>
            <w:sz w:val="20"/>
          </w:rPr>
          <w:t>voxeu/columns/love-letters-iceland-accountability-eurosystem</w:t>
        </w:r>
      </w:hyperlink>
      <w:r>
        <w:rPr>
          <w:rFonts w:ascii="Courier New"/>
          <w:sz w:val="20"/>
        </w:rPr>
        <w:t> </w:t>
      </w:r>
      <w:r>
        <w:rPr>
          <w:spacing w:val="-9"/>
          <w:sz w:val="20"/>
        </w:rPr>
        <w:t>Vox </w:t>
      </w:r>
      <w:r>
        <w:rPr>
          <w:sz w:val="20"/>
        </w:rPr>
        <w:t>posting from 18 May</w:t>
      </w:r>
      <w:bookmarkStart w:name="_bookmark27" w:id="49"/>
      <w:bookmarkEnd w:id="49"/>
      <w:r>
        <w:rPr>
          <w:sz w:val="20"/>
        </w:rPr>
      </w:r>
      <w:r>
        <w:rPr>
          <w:sz w:val="20"/>
        </w:rPr>
        <w:t> 2010.</w:t>
      </w:r>
    </w:p>
    <w:p>
      <w:pPr>
        <w:spacing w:line="261" w:lineRule="auto" w:before="19"/>
        <w:ind w:left="679" w:right="119" w:hanging="484"/>
        <w:jc w:val="both"/>
        <w:rPr>
          <w:sz w:val="20"/>
        </w:rPr>
      </w:pPr>
      <w:r>
        <w:rPr>
          <w:sz w:val="20"/>
        </w:rPr>
        <w:t>Sinn,</w:t>
      </w:r>
      <w:r>
        <w:rPr>
          <w:spacing w:val="-13"/>
          <w:sz w:val="20"/>
        </w:rPr>
        <w:t> </w:t>
      </w:r>
      <w:r>
        <w:rPr>
          <w:spacing w:val="-4"/>
          <w:sz w:val="20"/>
        </w:rPr>
        <w:t>H.-W.</w:t>
      </w:r>
      <w:r>
        <w:rPr>
          <w:spacing w:val="-2"/>
          <w:sz w:val="20"/>
        </w:rPr>
        <w:t> </w:t>
      </w:r>
      <w:r>
        <w:rPr>
          <w:sz w:val="20"/>
        </w:rPr>
        <w:t>(2017).</w:t>
      </w:r>
      <w:r>
        <w:rPr>
          <w:spacing w:val="-2"/>
          <w:sz w:val="20"/>
        </w:rPr>
        <w:t> </w:t>
      </w:r>
      <w:r>
        <w:rPr>
          <w:i/>
          <w:sz w:val="20"/>
        </w:rPr>
        <w:t>The</w:t>
      </w:r>
      <w:r>
        <w:rPr>
          <w:i/>
          <w:spacing w:val="-12"/>
          <w:sz w:val="20"/>
        </w:rPr>
        <w:t> </w:t>
      </w:r>
      <w:r>
        <w:rPr>
          <w:i/>
          <w:spacing w:val="-3"/>
          <w:sz w:val="20"/>
        </w:rPr>
        <w:t>Euro</w:t>
      </w:r>
      <w:r>
        <w:rPr>
          <w:i/>
          <w:spacing w:val="-13"/>
          <w:sz w:val="20"/>
        </w:rPr>
        <w:t> </w:t>
      </w:r>
      <w:r>
        <w:rPr>
          <w:i/>
          <w:spacing w:val="-3"/>
          <w:sz w:val="20"/>
        </w:rPr>
        <w:t>Trap:</w:t>
      </w:r>
      <w:r>
        <w:rPr>
          <w:i/>
          <w:spacing w:val="-12"/>
          <w:sz w:val="20"/>
        </w:rPr>
        <w:t> </w:t>
      </w:r>
      <w:r>
        <w:rPr>
          <w:i/>
          <w:sz w:val="20"/>
        </w:rPr>
        <w:t>On</w:t>
      </w:r>
      <w:r>
        <w:rPr>
          <w:i/>
          <w:spacing w:val="-12"/>
          <w:sz w:val="20"/>
        </w:rPr>
        <w:t> </w:t>
      </w:r>
      <w:r>
        <w:rPr>
          <w:i/>
          <w:sz w:val="20"/>
        </w:rPr>
        <w:t>Bursting</w:t>
      </w:r>
      <w:r>
        <w:rPr>
          <w:i/>
          <w:spacing w:val="-13"/>
          <w:sz w:val="20"/>
        </w:rPr>
        <w:t> </w:t>
      </w:r>
      <w:r>
        <w:rPr>
          <w:i/>
          <w:sz w:val="20"/>
        </w:rPr>
        <w:t>Bubbles,</w:t>
      </w:r>
      <w:r>
        <w:rPr>
          <w:i/>
          <w:spacing w:val="-12"/>
          <w:sz w:val="20"/>
        </w:rPr>
        <w:t> </w:t>
      </w:r>
      <w:r>
        <w:rPr>
          <w:i/>
          <w:sz w:val="20"/>
        </w:rPr>
        <w:t>Budgets,</w:t>
      </w:r>
      <w:r>
        <w:rPr>
          <w:i/>
          <w:spacing w:val="-12"/>
          <w:sz w:val="20"/>
        </w:rPr>
        <w:t> </w:t>
      </w:r>
      <w:r>
        <w:rPr>
          <w:i/>
          <w:sz w:val="20"/>
        </w:rPr>
        <w:t>and</w:t>
      </w:r>
      <w:r>
        <w:rPr>
          <w:i/>
          <w:spacing w:val="-13"/>
          <w:sz w:val="20"/>
        </w:rPr>
        <w:t> </w:t>
      </w:r>
      <w:r>
        <w:rPr>
          <w:i/>
          <w:sz w:val="20"/>
        </w:rPr>
        <w:t>Beliefs</w:t>
      </w:r>
      <w:r>
        <w:rPr>
          <w:sz w:val="20"/>
        </w:rPr>
        <w:t>.</w:t>
      </w:r>
      <w:r>
        <w:rPr>
          <w:spacing w:val="-2"/>
          <w:sz w:val="20"/>
        </w:rPr>
        <w:t> </w:t>
      </w:r>
      <w:r>
        <w:rPr>
          <w:sz w:val="20"/>
        </w:rPr>
        <w:t>Oxford,</w:t>
      </w:r>
      <w:r>
        <w:rPr>
          <w:spacing w:val="-12"/>
          <w:sz w:val="20"/>
        </w:rPr>
        <w:t> </w:t>
      </w:r>
      <w:r>
        <w:rPr>
          <w:sz w:val="20"/>
        </w:rPr>
        <w:t>England,</w:t>
      </w:r>
      <w:r>
        <w:rPr>
          <w:spacing w:val="-13"/>
          <w:sz w:val="20"/>
        </w:rPr>
        <w:t> </w:t>
      </w:r>
      <w:r>
        <w:rPr>
          <w:sz w:val="20"/>
        </w:rPr>
        <w:t>UK:</w:t>
      </w:r>
      <w:r>
        <w:rPr>
          <w:spacing w:val="-12"/>
          <w:sz w:val="20"/>
        </w:rPr>
        <w:t> </w:t>
      </w:r>
      <w:r>
        <w:rPr>
          <w:sz w:val="20"/>
        </w:rPr>
        <w:t>Oxford</w:t>
      </w:r>
      <w:r>
        <w:rPr>
          <w:spacing w:val="-12"/>
          <w:sz w:val="20"/>
        </w:rPr>
        <w:t> </w:t>
      </w:r>
      <w:r>
        <w:rPr>
          <w:sz w:val="20"/>
        </w:rPr>
        <w:t>University</w:t>
      </w:r>
      <w:r>
        <w:rPr>
          <w:spacing w:val="-13"/>
          <w:sz w:val="20"/>
        </w:rPr>
        <w:t> </w:t>
      </w:r>
      <w:r>
        <w:rPr>
          <w:sz w:val="20"/>
        </w:rPr>
        <w:t>Press. Retrieved 2024-09-05, from </w:t>
      </w:r>
      <w:r>
        <w:rPr>
          <w:rFonts w:ascii="Courier New"/>
          <w:sz w:val="20"/>
        </w:rPr>
        <w:t>https://doi.org/10.1093/acprof:oso/9780198702139.001.0001 </w:t>
      </w:r>
      <w:r>
        <w:rPr>
          <w:sz w:val="20"/>
        </w:rPr>
        <w:t>doi:</w:t>
      </w:r>
      <w:bookmarkStart w:name="_bookmark28" w:id="50"/>
      <w:bookmarkEnd w:id="50"/>
      <w:r>
        <w:rPr>
          <w:sz w:val="20"/>
        </w:rPr>
      </w:r>
      <w:r>
        <w:rPr>
          <w:sz w:val="20"/>
        </w:rPr>
        <w:t> 10.1093/acprof:oso/9780198702139.001.0001</w:t>
      </w:r>
    </w:p>
    <w:p>
      <w:pPr>
        <w:pStyle w:val="BodyText"/>
        <w:spacing w:line="261" w:lineRule="auto" w:before="8"/>
        <w:ind w:left="688" w:right="130" w:hanging="493"/>
        <w:jc w:val="both"/>
      </w:pPr>
      <w:r>
        <w:rPr/>
        <w:t>Sinn, H.-W. (2020). </w:t>
      </w:r>
      <w:r>
        <w:rPr>
          <w:i/>
        </w:rPr>
        <w:t>The economics of TARGET balances: From Lehman to Corona</w:t>
      </w:r>
      <w:r>
        <w:rPr/>
        <w:t>. Cham, Switzerland: Palgrave Macmillan imprint published by the registered company Springer Nature Switzerland AG. Retrieved from </w:t>
      </w:r>
      <w:hyperlink r:id="rId31">
        <w:r>
          <w:rPr>
            <w:rFonts w:ascii="Courier New"/>
          </w:rPr>
          <w:t>https://doi.org/</w:t>
        </w:r>
      </w:hyperlink>
      <w:bookmarkStart w:name="_bookmark29" w:id="51"/>
      <w:bookmarkEnd w:id="51"/>
      <w:r>
        <w:rPr>
          <w:rFonts w:ascii="Courier New"/>
        </w:rPr>
      </w:r>
      <w:r>
        <w:rPr>
          <w:rFonts w:ascii="Courier New"/>
        </w:rPr>
        <w:t> </w:t>
      </w:r>
      <w:hyperlink r:id="rId31">
        <w:r>
          <w:rPr>
            <w:rFonts w:ascii="Courier New"/>
          </w:rPr>
          <w:t>10.1007/978-3-030-50170-9 </w:t>
        </w:r>
      </w:hyperlink>
      <w:r>
        <w:rPr/>
        <w:t>doi: 10.1007/978-3-030-50170-9</w:t>
      </w:r>
    </w:p>
    <w:p>
      <w:pPr>
        <w:pStyle w:val="BodyText"/>
        <w:spacing w:line="221" w:lineRule="exact"/>
        <w:ind w:left="196"/>
        <w:jc w:val="both"/>
      </w:pPr>
      <w:r>
        <w:rPr/>
        <w:t>Sinn,</w:t>
      </w:r>
      <w:r>
        <w:rPr>
          <w:spacing w:val="-7"/>
        </w:rPr>
        <w:t> </w:t>
      </w:r>
      <w:r>
        <w:rPr>
          <w:spacing w:val="-4"/>
        </w:rPr>
        <w:t>H.-W.,</w:t>
      </w:r>
      <w:r>
        <w:rPr>
          <w:spacing w:val="-8"/>
        </w:rPr>
        <w:t> </w:t>
      </w:r>
      <w:r>
        <w:rPr/>
        <w:t>&amp;</w:t>
      </w:r>
      <w:r>
        <w:rPr>
          <w:spacing w:val="-6"/>
        </w:rPr>
        <w:t> </w:t>
      </w:r>
      <w:r>
        <w:rPr/>
        <w:t>Wollmershäuser,</w:t>
      </w:r>
      <w:r>
        <w:rPr>
          <w:spacing w:val="-8"/>
        </w:rPr>
        <w:t> T.</w:t>
      </w:r>
      <w:r>
        <w:rPr>
          <w:spacing w:val="10"/>
        </w:rPr>
        <w:t> </w:t>
      </w:r>
      <w:r>
        <w:rPr/>
        <w:t>(2012).</w:t>
      </w:r>
      <w:r>
        <w:rPr>
          <w:spacing w:val="10"/>
        </w:rPr>
        <w:t> </w:t>
      </w:r>
      <w:r>
        <w:rPr>
          <w:spacing w:val="-4"/>
        </w:rPr>
        <w:t>Target</w:t>
      </w:r>
      <w:r>
        <w:rPr>
          <w:spacing w:val="-7"/>
        </w:rPr>
        <w:t> </w:t>
      </w:r>
      <w:r>
        <w:rPr/>
        <w:t>loans,</w:t>
      </w:r>
      <w:r>
        <w:rPr>
          <w:spacing w:val="-7"/>
        </w:rPr>
        <w:t> </w:t>
      </w:r>
      <w:r>
        <w:rPr/>
        <w:t>current</w:t>
      </w:r>
      <w:r>
        <w:rPr>
          <w:spacing w:val="-7"/>
        </w:rPr>
        <w:t> </w:t>
      </w:r>
      <w:r>
        <w:rPr/>
        <w:t>account</w:t>
      </w:r>
      <w:r>
        <w:rPr>
          <w:spacing w:val="-6"/>
        </w:rPr>
        <w:t> </w:t>
      </w:r>
      <w:r>
        <w:rPr/>
        <w:t>balances</w:t>
      </w:r>
      <w:r>
        <w:rPr>
          <w:spacing w:val="-7"/>
        </w:rPr>
        <w:t> </w:t>
      </w:r>
      <w:r>
        <w:rPr/>
        <w:t>and</w:t>
      </w:r>
      <w:r>
        <w:rPr>
          <w:spacing w:val="-6"/>
        </w:rPr>
        <w:t> </w:t>
      </w:r>
      <w:r>
        <w:rPr/>
        <w:t>capital</w:t>
      </w:r>
      <w:r>
        <w:rPr>
          <w:spacing w:val="-7"/>
        </w:rPr>
        <w:t> </w:t>
      </w:r>
      <w:r>
        <w:rPr/>
        <w:t>ﬂows:</w:t>
      </w:r>
      <w:r>
        <w:rPr>
          <w:spacing w:val="-8"/>
        </w:rPr>
        <w:t> </w:t>
      </w:r>
      <w:r>
        <w:rPr/>
        <w:t>The</w:t>
      </w:r>
      <w:r>
        <w:rPr>
          <w:spacing w:val="-6"/>
        </w:rPr>
        <w:t> </w:t>
      </w:r>
      <w:r>
        <w:rPr>
          <w:spacing w:val="-3"/>
        </w:rPr>
        <w:t>ECB’s</w:t>
      </w:r>
      <w:r>
        <w:rPr>
          <w:spacing w:val="-7"/>
        </w:rPr>
        <w:t> </w:t>
      </w:r>
      <w:r>
        <w:rPr/>
        <w:t>rescue</w:t>
      </w:r>
      <w:r>
        <w:rPr>
          <w:spacing w:val="-6"/>
        </w:rPr>
        <w:t> </w:t>
      </w:r>
      <w:r>
        <w:rPr/>
        <w:t>facility.</w:t>
      </w:r>
    </w:p>
    <w:p>
      <w:pPr>
        <w:spacing w:before="29"/>
        <w:ind w:left="691" w:right="0" w:firstLine="0"/>
        <w:jc w:val="both"/>
        <w:rPr>
          <w:rFonts w:ascii="Courier New"/>
          <w:sz w:val="20"/>
        </w:rPr>
      </w:pPr>
      <w:r>
        <w:rPr>
          <w:i/>
          <w:sz w:val="20"/>
        </w:rPr>
        <w:t>International </w:t>
      </w:r>
      <w:r>
        <w:rPr>
          <w:i/>
          <w:spacing w:val="-7"/>
          <w:sz w:val="20"/>
        </w:rPr>
        <w:t>Tax </w:t>
      </w:r>
      <w:r>
        <w:rPr>
          <w:i/>
          <w:sz w:val="20"/>
        </w:rPr>
        <w:t>and Public Finance</w:t>
      </w:r>
      <w:r>
        <w:rPr>
          <w:sz w:val="20"/>
        </w:rPr>
        <w:t>, </w:t>
      </w:r>
      <w:r>
        <w:rPr>
          <w:i/>
          <w:sz w:val="20"/>
        </w:rPr>
        <w:t>19</w:t>
      </w:r>
      <w:r>
        <w:rPr>
          <w:sz w:val="20"/>
        </w:rPr>
        <w:t>, 468-508.  Retrieved from</w:t>
      </w:r>
      <w:r>
        <w:rPr>
          <w:spacing w:val="-16"/>
          <w:sz w:val="20"/>
        </w:rPr>
        <w:t> </w:t>
      </w:r>
      <w:hyperlink r:id="rId32">
        <w:r>
          <w:rPr>
            <w:rFonts w:ascii="Courier New"/>
            <w:sz w:val="20"/>
          </w:rPr>
          <w:t>https://doi.org/10.1007/s10797-012</w:t>
        </w:r>
      </w:hyperlink>
    </w:p>
    <w:p>
      <w:pPr>
        <w:pStyle w:val="BodyText"/>
        <w:spacing w:before="12"/>
        <w:ind w:left="634"/>
        <w:jc w:val="both"/>
      </w:pPr>
      <w:bookmarkStart w:name="_bookmark30" w:id="52"/>
      <w:bookmarkEnd w:id="52"/>
      <w:r>
        <w:rPr/>
      </w:r>
      <w:hyperlink r:id="rId32">
        <w:r>
          <w:rPr>
            <w:rFonts w:ascii="Courier New"/>
          </w:rPr>
          <w:t>-9236-x </w:t>
        </w:r>
      </w:hyperlink>
      <w:r>
        <w:rPr/>
        <w:t>doi: 10.1007/s10797-012-9236-x</w:t>
      </w:r>
    </w:p>
    <w:p>
      <w:pPr>
        <w:spacing w:line="261" w:lineRule="auto" w:before="13"/>
        <w:ind w:left="694" w:right="129" w:hanging="499"/>
        <w:jc w:val="both"/>
        <w:rPr>
          <w:rFonts w:ascii="Courier New" w:hAnsi="Courier New"/>
          <w:sz w:val="20"/>
        </w:rPr>
      </w:pPr>
      <w:r>
        <w:rPr>
          <w:spacing w:val="-4"/>
          <w:sz w:val="20"/>
        </w:rPr>
        <w:t>Werner,</w:t>
      </w:r>
      <w:r>
        <w:rPr>
          <w:spacing w:val="-10"/>
          <w:sz w:val="20"/>
        </w:rPr>
        <w:t> </w:t>
      </w:r>
      <w:r>
        <w:rPr>
          <w:sz w:val="20"/>
        </w:rPr>
        <w:t>R.</w:t>
      </w:r>
      <w:r>
        <w:rPr>
          <w:spacing w:val="6"/>
          <w:sz w:val="20"/>
        </w:rPr>
        <w:t> </w:t>
      </w:r>
      <w:r>
        <w:rPr>
          <w:sz w:val="20"/>
        </w:rPr>
        <w:t>(2003).</w:t>
      </w:r>
      <w:r>
        <w:rPr>
          <w:spacing w:val="5"/>
          <w:sz w:val="20"/>
        </w:rPr>
        <w:t> </w:t>
      </w:r>
      <w:r>
        <w:rPr>
          <w:i/>
          <w:sz w:val="20"/>
        </w:rPr>
        <w:t>Princes</w:t>
      </w:r>
      <w:r>
        <w:rPr>
          <w:i/>
          <w:spacing w:val="-8"/>
          <w:sz w:val="20"/>
        </w:rPr>
        <w:t> </w:t>
      </w:r>
      <w:r>
        <w:rPr>
          <w:i/>
          <w:sz w:val="20"/>
        </w:rPr>
        <w:t>of</w:t>
      </w:r>
      <w:r>
        <w:rPr>
          <w:i/>
          <w:spacing w:val="-9"/>
          <w:sz w:val="20"/>
        </w:rPr>
        <w:t> </w:t>
      </w:r>
      <w:r>
        <w:rPr>
          <w:i/>
          <w:sz w:val="20"/>
        </w:rPr>
        <w:t>the</w:t>
      </w:r>
      <w:r>
        <w:rPr>
          <w:i/>
          <w:spacing w:val="-8"/>
          <w:sz w:val="20"/>
        </w:rPr>
        <w:t> </w:t>
      </w:r>
      <w:r>
        <w:rPr>
          <w:i/>
          <w:sz w:val="20"/>
        </w:rPr>
        <w:t>Yen:</w:t>
      </w:r>
      <w:r>
        <w:rPr>
          <w:i/>
          <w:spacing w:val="-8"/>
          <w:sz w:val="20"/>
        </w:rPr>
        <w:t> </w:t>
      </w:r>
      <w:r>
        <w:rPr>
          <w:i/>
          <w:sz w:val="20"/>
        </w:rPr>
        <w:t>Japan’s</w:t>
      </w:r>
      <w:r>
        <w:rPr>
          <w:i/>
          <w:spacing w:val="-10"/>
          <w:sz w:val="20"/>
        </w:rPr>
        <w:t> </w:t>
      </w:r>
      <w:r>
        <w:rPr>
          <w:i/>
          <w:sz w:val="20"/>
        </w:rPr>
        <w:t>central</w:t>
      </w:r>
      <w:r>
        <w:rPr>
          <w:i/>
          <w:spacing w:val="-9"/>
          <w:sz w:val="20"/>
        </w:rPr>
        <w:t> </w:t>
      </w:r>
      <w:r>
        <w:rPr>
          <w:i/>
          <w:sz w:val="20"/>
        </w:rPr>
        <w:t>bankers</w:t>
      </w:r>
      <w:r>
        <w:rPr>
          <w:i/>
          <w:spacing w:val="-10"/>
          <w:sz w:val="20"/>
        </w:rPr>
        <w:t> </w:t>
      </w:r>
      <w:r>
        <w:rPr>
          <w:i/>
          <w:sz w:val="20"/>
        </w:rPr>
        <w:t>and</w:t>
      </w:r>
      <w:r>
        <w:rPr>
          <w:i/>
          <w:spacing w:val="-8"/>
          <w:sz w:val="20"/>
        </w:rPr>
        <w:t> </w:t>
      </w:r>
      <w:r>
        <w:rPr>
          <w:i/>
          <w:sz w:val="20"/>
        </w:rPr>
        <w:t>the</w:t>
      </w:r>
      <w:r>
        <w:rPr>
          <w:i/>
          <w:spacing w:val="-9"/>
          <w:sz w:val="20"/>
        </w:rPr>
        <w:t> </w:t>
      </w:r>
      <w:r>
        <w:rPr>
          <w:i/>
          <w:sz w:val="20"/>
        </w:rPr>
        <w:t>transformation</w:t>
      </w:r>
      <w:r>
        <w:rPr>
          <w:i/>
          <w:spacing w:val="-9"/>
          <w:sz w:val="20"/>
        </w:rPr>
        <w:t> </w:t>
      </w:r>
      <w:r>
        <w:rPr>
          <w:i/>
          <w:sz w:val="20"/>
        </w:rPr>
        <w:t>of</w:t>
      </w:r>
      <w:r>
        <w:rPr>
          <w:i/>
          <w:spacing w:val="-9"/>
          <w:sz w:val="20"/>
        </w:rPr>
        <w:t> </w:t>
      </w:r>
      <w:r>
        <w:rPr>
          <w:i/>
          <w:sz w:val="20"/>
        </w:rPr>
        <w:t>the</w:t>
      </w:r>
      <w:r>
        <w:rPr>
          <w:i/>
          <w:spacing w:val="-8"/>
          <w:sz w:val="20"/>
        </w:rPr>
        <w:t> </w:t>
      </w:r>
      <w:r>
        <w:rPr>
          <w:i/>
          <w:sz w:val="20"/>
        </w:rPr>
        <w:t>economy</w:t>
      </w:r>
      <w:r>
        <w:rPr>
          <w:i/>
          <w:spacing w:val="-9"/>
          <w:sz w:val="20"/>
        </w:rPr>
        <w:t> </w:t>
      </w:r>
      <w:r>
        <w:rPr>
          <w:sz w:val="20"/>
        </w:rPr>
        <w:t>(second</w:t>
      </w:r>
      <w:r>
        <w:rPr>
          <w:spacing w:val="-8"/>
          <w:sz w:val="20"/>
        </w:rPr>
        <w:t> </w:t>
      </w:r>
      <w:r>
        <w:rPr>
          <w:sz w:val="20"/>
        </w:rPr>
        <w:t>ed.).</w:t>
      </w:r>
      <w:r>
        <w:rPr>
          <w:spacing w:val="6"/>
          <w:sz w:val="20"/>
        </w:rPr>
        <w:t> </w:t>
      </w:r>
      <w:r>
        <w:rPr>
          <w:sz w:val="20"/>
        </w:rPr>
        <w:t>New</w:t>
      </w:r>
      <w:r>
        <w:rPr>
          <w:spacing w:val="-10"/>
          <w:sz w:val="20"/>
        </w:rPr>
        <w:t> </w:t>
      </w:r>
      <w:r>
        <w:rPr>
          <w:spacing w:val="-5"/>
          <w:sz w:val="20"/>
        </w:rPr>
        <w:t>York, </w:t>
      </w:r>
      <w:r>
        <w:rPr>
          <w:spacing w:val="-9"/>
          <w:sz w:val="20"/>
        </w:rPr>
        <w:t>NY, </w:t>
      </w:r>
      <w:r>
        <w:rPr>
          <w:sz w:val="20"/>
        </w:rPr>
        <w:t>USA: Routledge. Retrieved from </w:t>
      </w:r>
      <w:r>
        <w:rPr>
          <w:rFonts w:ascii="Courier New" w:hAnsi="Courier New"/>
          <w:sz w:val="20"/>
        </w:rPr>
        <w:t>https://quantumpublishers.com/uk-cart/index.php?route=</w:t>
      </w:r>
      <w:bookmarkStart w:name="_bookmark31" w:id="53"/>
      <w:bookmarkEnd w:id="53"/>
      <w:r>
        <w:rPr>
          <w:rFonts w:ascii="Courier New" w:hAnsi="Courier New"/>
          <w:sz w:val="20"/>
        </w:rPr>
      </w:r>
      <w:r>
        <w:rPr>
          <w:rFonts w:ascii="Courier New" w:hAnsi="Courier New"/>
          <w:sz w:val="20"/>
        </w:rPr>
        <w:t> product/product{</w:t>
      </w:r>
      <w:r>
        <w:rPr>
          <w:sz w:val="20"/>
        </w:rPr>
        <w:t>&amp;</w:t>
      </w:r>
      <w:r>
        <w:rPr>
          <w:rFonts w:ascii="Courier New" w:hAnsi="Courier New"/>
          <w:sz w:val="20"/>
        </w:rPr>
        <w:t>}product_id=50</w:t>
      </w:r>
    </w:p>
    <w:p>
      <w:pPr>
        <w:spacing w:line="261" w:lineRule="auto" w:before="0"/>
        <w:ind w:left="679" w:right="119" w:hanging="484"/>
        <w:jc w:val="both"/>
        <w:rPr>
          <w:sz w:val="20"/>
        </w:rPr>
      </w:pPr>
      <w:r>
        <w:rPr>
          <w:spacing w:val="-4"/>
          <w:sz w:val="20"/>
        </w:rPr>
        <w:t>Werner, </w:t>
      </w:r>
      <w:r>
        <w:rPr>
          <w:sz w:val="20"/>
        </w:rPr>
        <w:t>R. (2005).  </w:t>
      </w:r>
      <w:r>
        <w:rPr>
          <w:i/>
          <w:sz w:val="20"/>
        </w:rPr>
        <w:t>New paradigm in macroeconomics: Solving the riddle of Japanese macroeconomic performance</w:t>
      </w:r>
      <w:r>
        <w:rPr>
          <w:sz w:val="20"/>
        </w:rPr>
        <w:t>.  London, UK: Palgrave Macmillan. Retrieved from </w:t>
      </w:r>
      <w:hyperlink r:id="rId33">
        <w:r>
          <w:rPr>
            <w:rFonts w:ascii="Courier New"/>
            <w:sz w:val="20"/>
          </w:rPr>
          <w:t>https://doi.org/10.1057/9780230506077</w:t>
        </w:r>
      </w:hyperlink>
      <w:r>
        <w:rPr>
          <w:rFonts w:ascii="Courier New"/>
          <w:sz w:val="20"/>
        </w:rPr>
        <w:t> </w:t>
      </w:r>
      <w:r>
        <w:rPr>
          <w:sz w:val="20"/>
        </w:rPr>
        <w:t>doi:</w:t>
      </w:r>
      <w:bookmarkStart w:name="_bookmark32" w:id="54"/>
      <w:bookmarkEnd w:id="54"/>
      <w:r>
        <w:rPr>
          <w:sz w:val="20"/>
        </w:rPr>
      </w:r>
      <w:r>
        <w:rPr>
          <w:sz w:val="20"/>
        </w:rPr>
        <w:t> 10.1057/9780230506077</w:t>
      </w:r>
    </w:p>
    <w:p>
      <w:pPr>
        <w:spacing w:line="261" w:lineRule="auto" w:before="0"/>
        <w:ind w:left="683" w:right="119" w:hanging="487"/>
        <w:jc w:val="both"/>
        <w:rPr>
          <w:sz w:val="20"/>
        </w:rPr>
      </w:pPr>
      <w:r>
        <w:rPr>
          <w:sz w:val="20"/>
        </w:rPr>
        <w:t>Werner, R. (2016, November). </w:t>
      </w:r>
      <w:r>
        <w:rPr>
          <w:i/>
          <w:sz w:val="20"/>
        </w:rPr>
        <w:t>Prof. Richard Werner - Banking Industry Exposed &amp; Solutions Presented - Dublin April 2016. </w:t>
      </w:r>
      <w:r>
        <w:rPr>
          <w:sz w:val="20"/>
        </w:rPr>
        <w:t>Youtube. Retrieved 2024-09-12, from </w:t>
      </w:r>
      <w:hyperlink r:id="rId34">
        <w:r>
          <w:rPr>
            <w:rFonts w:ascii="Courier New"/>
            <w:sz w:val="20"/>
          </w:rPr>
          <w:t>https://youtu.be/MechH0ebs_c </w:t>
        </w:r>
      </w:hyperlink>
      <w:r>
        <w:rPr>
          <w:sz w:val="20"/>
        </w:rPr>
        <w:t>YouTube, Public Banking Forum of</w:t>
      </w:r>
      <w:bookmarkStart w:name="_bookmark33" w:id="55"/>
      <w:bookmarkEnd w:id="55"/>
      <w:r>
        <w:rPr>
          <w:sz w:val="20"/>
        </w:rPr>
      </w:r>
      <w:r>
        <w:rPr>
          <w:sz w:val="20"/>
        </w:rPr>
        <w:t> Ireland, November 28, 2016, accessed September 12, 2024.</w:t>
      </w:r>
    </w:p>
    <w:p>
      <w:pPr>
        <w:spacing w:before="8"/>
        <w:ind w:left="196" w:right="0" w:firstLine="0"/>
        <w:jc w:val="both"/>
        <w:rPr>
          <w:rFonts w:ascii="Courier New"/>
          <w:sz w:val="20"/>
        </w:rPr>
      </w:pPr>
      <w:r>
        <w:rPr>
          <w:sz w:val="20"/>
        </w:rPr>
        <w:t>Westbrook, I. (2017, June). </w:t>
      </w:r>
      <w:r>
        <w:rPr>
          <w:i/>
          <w:sz w:val="20"/>
        </w:rPr>
        <w:t>Why has Barclays been charged? </w:t>
      </w:r>
      <w:r>
        <w:rPr>
          <w:sz w:val="20"/>
        </w:rPr>
        <w:t>Retrieved 2024-09-12, from </w:t>
      </w:r>
      <w:hyperlink r:id="rId35">
        <w:r>
          <w:rPr>
            <w:rFonts w:ascii="Courier New"/>
            <w:sz w:val="20"/>
          </w:rPr>
          <w:t>https://www.bbc.com/</w:t>
        </w:r>
      </w:hyperlink>
    </w:p>
    <w:p>
      <w:pPr>
        <w:spacing w:after="0"/>
        <w:jc w:val="both"/>
        <w:rPr>
          <w:rFonts w:ascii="Courier New"/>
          <w:sz w:val="20"/>
        </w:rPr>
        <w:sectPr>
          <w:pgSz w:w="11910" w:h="15650"/>
          <w:pgMar w:header="730" w:footer="0" w:top="940" w:bottom="280" w:left="740" w:right="760"/>
        </w:sectPr>
      </w:pPr>
    </w:p>
    <w:p>
      <w:pPr>
        <w:pStyle w:val="BodyText"/>
        <w:spacing w:before="146"/>
        <w:ind w:left="674"/>
        <w:jc w:val="both"/>
      </w:pPr>
      <w:bookmarkStart w:name="_bookmark34" w:id="56"/>
      <w:bookmarkEnd w:id="56"/>
      <w:r>
        <w:rPr/>
      </w:r>
      <w:hyperlink r:id="rId35">
        <w:r>
          <w:rPr>
            <w:rFonts w:ascii="Courier New"/>
          </w:rPr>
          <w:t>news/business-40341611 </w:t>
        </w:r>
      </w:hyperlink>
      <w:r>
        <w:rPr/>
        <w:t>BBC News, dated June 20, 2017, accessed September 12, 2024.</w:t>
      </w:r>
    </w:p>
    <w:p>
      <w:pPr>
        <w:spacing w:line="271" w:lineRule="auto" w:before="12"/>
        <w:ind w:left="674" w:right="149" w:hanging="499"/>
        <w:jc w:val="both"/>
        <w:rPr>
          <w:rFonts w:ascii="Courier New"/>
          <w:sz w:val="20"/>
        </w:rPr>
      </w:pPr>
      <w:r>
        <w:rPr>
          <w:sz w:val="20"/>
        </w:rPr>
        <w:t>Willis,  H.  </w:t>
      </w:r>
      <w:r>
        <w:rPr>
          <w:spacing w:val="-11"/>
          <w:sz w:val="20"/>
        </w:rPr>
        <w:t>P.</w:t>
      </w:r>
      <w:r>
        <w:rPr>
          <w:spacing w:val="28"/>
          <w:sz w:val="20"/>
        </w:rPr>
        <w:t> </w:t>
      </w:r>
      <w:r>
        <w:rPr>
          <w:sz w:val="20"/>
        </w:rPr>
        <w:t>(1901).   </w:t>
      </w:r>
      <w:r>
        <w:rPr>
          <w:i/>
          <w:sz w:val="20"/>
        </w:rPr>
        <w:t>A  history  of  the  Latin  Monetary  Union:  A  study  of  international  monetary  action</w:t>
      </w:r>
      <w:r>
        <w:rPr>
          <w:sz w:val="20"/>
        </w:rPr>
        <w:t>.   Chicago, IL, USA: University of Chicago Press. Retrieved 2024-09-05, from </w:t>
      </w:r>
      <w:hyperlink r:id="rId36">
        <w:r>
          <w:rPr>
            <w:rFonts w:ascii="Courier New"/>
            <w:sz w:val="20"/>
          </w:rPr>
          <w:t>https://archive.org/details/</w:t>
        </w:r>
      </w:hyperlink>
      <w:r>
        <w:rPr>
          <w:rFonts w:ascii="Courier New"/>
          <w:sz w:val="20"/>
        </w:rPr>
        <w:t> </w:t>
      </w:r>
      <w:hyperlink r:id="rId36">
        <w:r>
          <w:rPr>
            <w:rFonts w:ascii="Courier New"/>
            <w:sz w:val="20"/>
          </w:rPr>
          <w:t>historyoflatinmo00willuoft</w:t>
        </w:r>
      </w:hyperlink>
    </w:p>
    <w:sectPr>
      <w:pgSz w:w="11910" w:h="15650"/>
      <w:pgMar w:header="730" w:footer="0" w:top="940" w:bottom="280" w:left="7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ookman Old Style">
    <w:altName w:val="Bookman Old Style"/>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6.824001pt;margin-top:36.993984pt;width:502.65pt;height:10.15pt;mso-position-horizontal-relative:page;mso-position-vertical-relative:page;z-index:-16008192" coordorigin="936,740" coordsize="10053,203" path="m936,943l10989,943m1619,939l1619,740e" filled="false" stroked="true" strokeweight=".4981pt" strokecolor="#000000">
          <v:path arrowok="t"/>
          <v:stroke dashstyle="solid"/>
          <w10:wrap type="none"/>
        </v:shape>
      </w:pict>
    </w:r>
    <w:r>
      <w:rPr/>
      <w:pict>
        <v:shape style="position:absolute;margin-left:43.824001pt;margin-top:35.476139pt;width:9.5pt;height:11.1pt;mso-position-horizontal-relative:page;mso-position-vertical-relative:page;z-index:-16007680" type="#_x0000_t202" filled="false" stroked="false">
          <v:textbox inset="0,0,0,0">
            <w:txbxContent>
              <w:p>
                <w:pPr>
                  <w:spacing w:before="23"/>
                  <w:ind w:left="60" w:right="0" w:firstLine="0"/>
                  <w:jc w:val="left"/>
                  <w:rPr>
                    <w:b/>
                    <w:sz w:val="14"/>
                  </w:rPr>
                </w:pPr>
                <w:r>
                  <w:rPr/>
                  <w:fldChar w:fldCharType="begin"/>
                </w:r>
                <w:r>
                  <w:rPr>
                    <w:b/>
                    <w:w w:val="99"/>
                    <w:sz w:val="14"/>
                  </w:rPr>
                  <w:instrText> PAGE </w:instrText>
                </w:r>
                <w:r>
                  <w:rPr/>
                  <w:fldChar w:fldCharType="separate"/>
                </w:r>
                <w:r>
                  <w:rPr/>
                  <w:t>2</w:t>
                </w:r>
                <w:r>
                  <w:rPr/>
                  <w:fldChar w:fldCharType="end"/>
                </w:r>
              </w:p>
            </w:txbxContent>
          </v:textbox>
          <w10:wrap type="none"/>
        </v:shape>
      </w:pict>
    </w:r>
    <w:r>
      <w:rPr/>
      <w:pict>
        <v:shape style="position:absolute;margin-left:523.934021pt;margin-top:35.727196pt;width:26.55pt;height:10.45pt;mso-position-horizontal-relative:page;mso-position-vertical-relative:page;z-index:-16007168" type="#_x0000_t202" filled="false" stroked="false">
          <v:textbox inset="0,0,0,0">
            <w:txbxContent>
              <w:p>
                <w:pPr>
                  <w:spacing w:before="18"/>
                  <w:ind w:left="20" w:right="0" w:firstLine="0"/>
                  <w:jc w:val="left"/>
                  <w:rPr>
                    <w:sz w:val="14"/>
                  </w:rPr>
                </w:pPr>
                <w:r>
                  <w:rPr>
                    <w:sz w:val="14"/>
                  </w:rPr>
                  <w:t>SVOZIL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827999pt;margin-top:36.993984pt;width:502.65pt;height:10.15pt;mso-position-horizontal-relative:page;mso-position-vertical-relative:page;z-index:-16006656" coordorigin="917,740" coordsize="10053,203" path="m917,943l10969,943m10287,939l10287,740e" filled="false" stroked="true" strokeweight=".4981pt" strokecolor="#000000">
          <v:path arrowok="t"/>
          <v:stroke dashstyle="solid"/>
          <w10:wrap type="none"/>
        </v:shape>
      </w:pict>
    </w:r>
    <w:r>
      <w:rPr/>
      <w:pict>
        <v:shape style="position:absolute;margin-left:44.827999pt;margin-top:35.727196pt;width:218.5pt;height:10.45pt;mso-position-horizontal-relative:page;mso-position-vertical-relative:page;z-index:-16006144" type="#_x0000_t202" filled="false" stroked="false">
          <v:textbox inset="0,0,0,0">
            <w:txbxContent>
              <w:p>
                <w:pPr>
                  <w:spacing w:before="18"/>
                  <w:ind w:left="20" w:right="0" w:firstLine="0"/>
                  <w:jc w:val="left"/>
                  <w:rPr>
                    <w:sz w:val="14"/>
                  </w:rPr>
                </w:pPr>
                <w:r>
                  <w:rPr>
                    <w:sz w:val="14"/>
                  </w:rPr>
                  <w:t>Exploitation</w:t>
                </w:r>
                <w:r>
                  <w:rPr>
                    <w:spacing w:val="-4"/>
                    <w:sz w:val="14"/>
                  </w:rPr>
                  <w:t> </w:t>
                </w:r>
                <w:r>
                  <w:rPr>
                    <w:sz w:val="14"/>
                  </w:rPr>
                  <w:t>of</w:t>
                </w:r>
                <w:r>
                  <w:rPr>
                    <w:spacing w:val="-4"/>
                    <w:sz w:val="14"/>
                  </w:rPr>
                  <w:t> </w:t>
                </w:r>
                <w:r>
                  <w:rPr>
                    <w:sz w:val="14"/>
                  </w:rPr>
                  <w:t>Eurosystem</w:t>
                </w:r>
                <w:r>
                  <w:rPr>
                    <w:spacing w:val="-4"/>
                    <w:sz w:val="14"/>
                  </w:rPr>
                  <w:t> </w:t>
                </w:r>
                <w:r>
                  <w:rPr>
                    <w:sz w:val="14"/>
                  </w:rPr>
                  <w:t>Loopholes</w:t>
                </w:r>
                <w:r>
                  <w:rPr>
                    <w:spacing w:val="-4"/>
                    <w:sz w:val="14"/>
                  </w:rPr>
                  <w:t> </w:t>
                </w:r>
                <w:r>
                  <w:rPr>
                    <w:sz w:val="14"/>
                  </w:rPr>
                  <w:t>and</w:t>
                </w:r>
                <w:r>
                  <w:rPr>
                    <w:spacing w:val="-3"/>
                    <w:sz w:val="14"/>
                  </w:rPr>
                  <w:t> </w:t>
                </w:r>
                <w:r>
                  <w:rPr>
                    <w:sz w:val="14"/>
                  </w:rPr>
                  <w:t>Their</w:t>
                </w:r>
                <w:r>
                  <w:rPr>
                    <w:spacing w:val="-4"/>
                    <w:sz w:val="14"/>
                  </w:rPr>
                  <w:t> </w:t>
                </w:r>
                <w:r>
                  <w:rPr>
                    <w:sz w:val="14"/>
                  </w:rPr>
                  <w:t>Quantitative</w:t>
                </w:r>
                <w:r>
                  <w:rPr>
                    <w:spacing w:val="-4"/>
                    <w:sz w:val="14"/>
                  </w:rPr>
                  <w:t> </w:t>
                </w:r>
                <w:r>
                  <w:rPr>
                    <w:sz w:val="14"/>
                  </w:rPr>
                  <w:t>Reconstruction</w:t>
                </w:r>
              </w:p>
            </w:txbxContent>
          </v:textbox>
          <w10:wrap type="none"/>
        </v:shape>
      </w:pict>
    </w:r>
    <w:r>
      <w:rPr/>
      <w:pict>
        <v:shape style="position:absolute;margin-left:541.965027pt;margin-top:35.476139pt;width:9.5pt;height:11.1pt;mso-position-horizontal-relative:page;mso-position-vertical-relative:page;z-index:-16005632" type="#_x0000_t202" filled="false" stroked="false">
          <v:textbox inset="0,0,0,0">
            <w:txbxContent>
              <w:p>
                <w:pPr>
                  <w:spacing w:before="23"/>
                  <w:ind w:left="60" w:right="0" w:firstLine="0"/>
                  <w:jc w:val="left"/>
                  <w:rPr>
                    <w:b/>
                    <w:sz w:val="14"/>
                  </w:rPr>
                </w:pPr>
                <w:r>
                  <w:rPr/>
                  <w:fldChar w:fldCharType="begin"/>
                </w:r>
                <w:r>
                  <w:rPr>
                    <w:b/>
                    <w:w w:val="99"/>
                    <w:sz w:val="14"/>
                  </w:rPr>
                  <w:instrText> PAGE </w:instrText>
                </w:r>
                <w:r>
                  <w:rPr/>
                  <w:fldChar w:fldCharType="separate"/>
                </w:r>
                <w:r>
                  <w:rPr/>
                  <w:t>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97" w:hanging="268"/>
        <w:jc w:val="right"/>
      </w:pPr>
      <w:rPr>
        <w:rFonts w:hint="default" w:ascii="Times New Roman" w:hAnsi="Times New Roman" w:eastAsia="Times New Roman" w:cs="Times New Roman"/>
        <w:w w:val="88"/>
        <w:sz w:val="20"/>
        <w:szCs w:val="20"/>
      </w:rPr>
    </w:lvl>
    <w:lvl w:ilvl="1">
      <w:start w:val="0"/>
      <w:numFmt w:val="bullet"/>
      <w:lvlText w:val="•"/>
      <w:lvlJc w:val="left"/>
      <w:pPr>
        <w:ind w:left="1580" w:hanging="268"/>
      </w:pPr>
      <w:rPr>
        <w:rFonts w:hint="default"/>
      </w:rPr>
    </w:lvl>
    <w:lvl w:ilvl="2">
      <w:start w:val="0"/>
      <w:numFmt w:val="bullet"/>
      <w:lvlText w:val="•"/>
      <w:lvlJc w:val="left"/>
      <w:pPr>
        <w:ind w:left="2561" w:hanging="268"/>
      </w:pPr>
      <w:rPr>
        <w:rFonts w:hint="default"/>
      </w:rPr>
    </w:lvl>
    <w:lvl w:ilvl="3">
      <w:start w:val="0"/>
      <w:numFmt w:val="bullet"/>
      <w:lvlText w:val="•"/>
      <w:lvlJc w:val="left"/>
      <w:pPr>
        <w:ind w:left="3541" w:hanging="268"/>
      </w:pPr>
      <w:rPr>
        <w:rFonts w:hint="default"/>
      </w:rPr>
    </w:lvl>
    <w:lvl w:ilvl="4">
      <w:start w:val="0"/>
      <w:numFmt w:val="bullet"/>
      <w:lvlText w:val="•"/>
      <w:lvlJc w:val="left"/>
      <w:pPr>
        <w:ind w:left="4522" w:hanging="268"/>
      </w:pPr>
      <w:rPr>
        <w:rFonts w:hint="default"/>
      </w:rPr>
    </w:lvl>
    <w:lvl w:ilvl="5">
      <w:start w:val="0"/>
      <w:numFmt w:val="bullet"/>
      <w:lvlText w:val="•"/>
      <w:lvlJc w:val="left"/>
      <w:pPr>
        <w:ind w:left="5502" w:hanging="268"/>
      </w:pPr>
      <w:rPr>
        <w:rFonts w:hint="default"/>
      </w:rPr>
    </w:lvl>
    <w:lvl w:ilvl="6">
      <w:start w:val="0"/>
      <w:numFmt w:val="bullet"/>
      <w:lvlText w:val="•"/>
      <w:lvlJc w:val="left"/>
      <w:pPr>
        <w:ind w:left="6483" w:hanging="268"/>
      </w:pPr>
      <w:rPr>
        <w:rFonts w:hint="default"/>
      </w:rPr>
    </w:lvl>
    <w:lvl w:ilvl="7">
      <w:start w:val="0"/>
      <w:numFmt w:val="bullet"/>
      <w:lvlText w:val="•"/>
      <w:lvlJc w:val="left"/>
      <w:pPr>
        <w:ind w:left="7463" w:hanging="268"/>
      </w:pPr>
      <w:rPr>
        <w:rFonts w:hint="default"/>
      </w:rPr>
    </w:lvl>
    <w:lvl w:ilvl="8">
      <w:start w:val="0"/>
      <w:numFmt w:val="bullet"/>
      <w:lvlText w:val="•"/>
      <w:lvlJc w:val="left"/>
      <w:pPr>
        <w:ind w:left="8444" w:hanging="268"/>
      </w:pPr>
      <w:rPr>
        <w:rFonts w:hint="default"/>
      </w:rPr>
    </w:lvl>
  </w:abstractNum>
  <w:abstractNum w:abstractNumId="0">
    <w:multiLevelType w:val="hybridMultilevel"/>
    <w:lvl w:ilvl="0">
      <w:start w:val="1"/>
      <w:numFmt w:val="decimal"/>
      <w:lvlText w:val="%1"/>
      <w:lvlJc w:val="left"/>
      <w:pPr>
        <w:ind w:left="973" w:hanging="798"/>
        <w:jc w:val="left"/>
      </w:pPr>
      <w:rPr>
        <w:rFonts w:hint="default" w:ascii="Times New Roman" w:hAnsi="Times New Roman" w:eastAsia="Times New Roman" w:cs="Times New Roman"/>
        <w:b/>
        <w:bCs/>
        <w:w w:val="99"/>
        <w:sz w:val="24"/>
        <w:szCs w:val="24"/>
      </w:rPr>
    </w:lvl>
    <w:lvl w:ilvl="1">
      <w:start w:val="1"/>
      <w:numFmt w:val="lowerRoman"/>
      <w:lvlText w:val="(%2)"/>
      <w:lvlJc w:val="left"/>
      <w:pPr>
        <w:ind w:left="577" w:hanging="268"/>
        <w:jc w:val="left"/>
      </w:pPr>
      <w:rPr>
        <w:rFonts w:hint="default" w:ascii="Times New Roman" w:hAnsi="Times New Roman" w:eastAsia="Times New Roman" w:cs="Times New Roman"/>
        <w:w w:val="99"/>
        <w:sz w:val="20"/>
        <w:szCs w:val="20"/>
      </w:rPr>
    </w:lvl>
    <w:lvl w:ilvl="2">
      <w:start w:val="0"/>
      <w:numFmt w:val="bullet"/>
      <w:lvlText w:val="•"/>
      <w:lvlJc w:val="left"/>
      <w:pPr>
        <w:ind w:left="2027" w:hanging="268"/>
      </w:pPr>
      <w:rPr>
        <w:rFonts w:hint="default"/>
      </w:rPr>
    </w:lvl>
    <w:lvl w:ilvl="3">
      <w:start w:val="0"/>
      <w:numFmt w:val="bullet"/>
      <w:lvlText w:val="•"/>
      <w:lvlJc w:val="left"/>
      <w:pPr>
        <w:ind w:left="3074" w:hanging="268"/>
      </w:pPr>
      <w:rPr>
        <w:rFonts w:hint="default"/>
      </w:rPr>
    </w:lvl>
    <w:lvl w:ilvl="4">
      <w:start w:val="0"/>
      <w:numFmt w:val="bullet"/>
      <w:lvlText w:val="•"/>
      <w:lvlJc w:val="left"/>
      <w:pPr>
        <w:ind w:left="4121" w:hanging="268"/>
      </w:pPr>
      <w:rPr>
        <w:rFonts w:hint="default"/>
      </w:rPr>
    </w:lvl>
    <w:lvl w:ilvl="5">
      <w:start w:val="0"/>
      <w:numFmt w:val="bullet"/>
      <w:lvlText w:val="•"/>
      <w:lvlJc w:val="left"/>
      <w:pPr>
        <w:ind w:left="5169" w:hanging="268"/>
      </w:pPr>
      <w:rPr>
        <w:rFonts w:hint="default"/>
      </w:rPr>
    </w:lvl>
    <w:lvl w:ilvl="6">
      <w:start w:val="0"/>
      <w:numFmt w:val="bullet"/>
      <w:lvlText w:val="•"/>
      <w:lvlJc w:val="left"/>
      <w:pPr>
        <w:ind w:left="6216" w:hanging="268"/>
      </w:pPr>
      <w:rPr>
        <w:rFonts w:hint="default"/>
      </w:rPr>
    </w:lvl>
    <w:lvl w:ilvl="7">
      <w:start w:val="0"/>
      <w:numFmt w:val="bullet"/>
      <w:lvlText w:val="•"/>
      <w:lvlJc w:val="left"/>
      <w:pPr>
        <w:ind w:left="7263" w:hanging="268"/>
      </w:pPr>
      <w:rPr>
        <w:rFonts w:hint="default"/>
      </w:rPr>
    </w:lvl>
    <w:lvl w:ilvl="8">
      <w:start w:val="0"/>
      <w:numFmt w:val="bullet"/>
      <w:lvlText w:val="•"/>
      <w:lvlJc w:val="left"/>
      <w:pPr>
        <w:ind w:left="8311" w:hanging="2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76"/>
      <w:outlineLvl w:val="1"/>
    </w:pPr>
    <w:rPr>
      <w:rFonts w:ascii="Times New Roman" w:hAnsi="Times New Roman" w:eastAsia="Times New Roman" w:cs="Times New Roman"/>
      <w:b/>
      <w:bCs/>
      <w:sz w:val="24"/>
      <w:szCs w:val="24"/>
    </w:rPr>
  </w:style>
  <w:style w:styleId="Title" w:type="paragraph">
    <w:name w:val="Title"/>
    <w:basedOn w:val="Normal"/>
    <w:uiPriority w:val="1"/>
    <w:qFormat/>
    <w:pPr>
      <w:ind w:left="176"/>
    </w:pPr>
    <w:rPr>
      <w:rFonts w:ascii="Times New Roman" w:hAnsi="Times New Roman" w:eastAsia="Times New Roman" w:cs="Times New Roman"/>
      <w:b/>
      <w:bCs/>
      <w:sz w:val="36"/>
      <w:szCs w:val="36"/>
    </w:rPr>
  </w:style>
  <w:style w:styleId="ListParagraph" w:type="paragraph">
    <w:name w:val="List Paragraph"/>
    <w:basedOn w:val="Normal"/>
    <w:uiPriority w:val="1"/>
    <w:qFormat/>
    <w:pPr>
      <w:ind w:left="597" w:hanging="798"/>
    </w:pPr>
    <w:rPr>
      <w:rFonts w:ascii="Times New Roman" w:hAnsi="Times New Roman" w:eastAsia="Times New Roman" w:cs="Times New Roman"/>
    </w:rPr>
  </w:style>
  <w:style w:styleId="TableParagraph" w:type="paragraph">
    <w:name w:val="Table Paragraph"/>
    <w:basedOn w:val="Normal"/>
    <w:uiPriority w:val="1"/>
    <w:qFormat/>
    <w:pPr>
      <w:spacing w:before="20"/>
      <w:ind w:left="14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arl.svozil@tuwien.ac.at" TargetMode="External"/><Relationship Id="rId6" Type="http://schemas.openxmlformats.org/officeDocument/2006/relationships/hyperlink" Target="mailto:ozil@tuwien.ac.at"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yperlink" Target="https://doi.org/10.2307/1991632" TargetMode="External"/><Relationship Id="rId10" Type="http://schemas.openxmlformats.org/officeDocument/2006/relationships/hyperlink" Target="https://www.bis.org/fsi/fsicms1.htm" TargetMode="External"/><Relationship Id="rId11" Type="http://schemas.openxmlformats.org/officeDocument/2006/relationships/hyperlink" Target="https://www.brookings.edu/articles/whats-the-ecb-doing-in-response-to-the-covid-19-crisis/" TargetMode="External"/><Relationship Id="rId12" Type="http://schemas.openxmlformats.org/officeDocument/2006/relationships/hyperlink" Target="https://doi.org/10.3390/jrfm16120506" TargetMode="External"/><Relationship Id="rId13" Type="http://schemas.openxmlformats.org/officeDocument/2006/relationships/hyperlink" Target="https://feu-journal.eu/wp-content/uploads/2023/03/FEU-Journal-Issue-2_Inflation-rising.pdf" TargetMode="External"/><Relationship Id="rId14" Type="http://schemas.openxmlformats.org/officeDocument/2006/relationships/hyperlink" Target="https://doi.org/10.1093/oso/9780199243662.001.0001" TargetMode="External"/><Relationship Id="rId15" Type="http://schemas.openxmlformats.org/officeDocument/2006/relationships/hyperlink" Target="https://www.ecb.europa.eu/pub/pdf/ecbu/eb201506.en.pdf" TargetMode="External"/><Relationship Id="rId16" Type="http://schemas.openxmlformats.org/officeDocument/2006/relationships/hyperlink" Target="https://www.ecb.europa.eu/pub/pdf/other/Agreement_on_emergency_liquidity_assistance_20170517.en.pdf" TargetMode="External"/><Relationship Id="rId17" Type="http://schemas.openxmlformats.org/officeDocument/2006/relationships/hyperlink" Target="https://www.ecb.europa.eu/stats/policy_and_exchange_rates/target_balances/html/index.en.html" TargetMode="External"/><Relationship Id="rId18" Type="http://schemas.openxmlformats.org/officeDocument/2006/relationships/hyperlink" Target="https://www.ecb.europa.eu/ecb-and-you/explainers/tell-me-more/html/anfa_qa.en.html" TargetMode="External"/><Relationship Id="rId19" Type="http://schemas.openxmlformats.org/officeDocument/2006/relationships/hyperlink" Target="https://doi.org/10.1017/s0968565000000020" TargetMode="External"/><Relationship Id="rId20" Type="http://schemas.openxmlformats.org/officeDocument/2006/relationships/hyperlink" Target="https://www.rna.is/media/skjol/RNAvefVidauki3Enska.pdf" TargetMode="External"/><Relationship Id="rId21" Type="http://schemas.openxmlformats.org/officeDocument/2006/relationships/hyperlink" Target="https://doi.org/10.1016/j.jimonfin.2020.102154" TargetMode="External"/><Relationship Id="rId22" Type="http://schemas.openxmlformats.org/officeDocument/2006/relationships/hyperlink" Target="https://www.hanswernersinn.de/dcs/Memorand-ECB-Monetary-Policy-04102019.pdf" TargetMode="External"/><Relationship Id="rId23" Type="http://schemas.openxmlformats.org/officeDocument/2006/relationships/hyperlink" Target="https://www.intereconomics.eu/contents/year/2017/number/4/article/anfa-national-money-creation-as-an-existential-threat-to-the-currency-union.html" TargetMode="External"/><Relationship Id="rId24" Type="http://schemas.openxmlformats.org/officeDocument/2006/relationships/hyperlink" Target="https://www.ifo.de/DocDL/sd-2016-13-hoffman-anfa-irland%7B%25%7D20-2016-07-14.pdf" TargetMode="External"/><Relationship Id="rId25" Type="http://schemas.openxmlformats.org/officeDocument/2006/relationships/hyperlink" Target="https://www.rna.is/media/skjol/RNAvefurKafli21Enska.pdf" TargetMode="External"/><Relationship Id="rId26" Type="http://schemas.openxmlformats.org/officeDocument/2006/relationships/hyperlink" Target="https://doi.org/10.31009/indret.2024.i4.11" TargetMode="External"/><Relationship Id="rId27" Type="http://schemas.openxmlformats.org/officeDocument/2006/relationships/hyperlink" Target="https://doi.org/10.1093/epolic/eiae009" TargetMode="External"/><Relationship Id="rId28" Type="http://schemas.openxmlformats.org/officeDocument/2006/relationships/hyperlink" Target="https://doi.org/10.3726/b10858" TargetMode="External"/><Relationship Id="rId29" Type="http://schemas.openxmlformats.org/officeDocument/2006/relationships/hyperlink" Target="https://doi.org/10.2139/ssrn.4620462" TargetMode="External"/><Relationship Id="rId30" Type="http://schemas.openxmlformats.org/officeDocument/2006/relationships/hyperlink" Target="https://cepr.org/voxeu/columns/love-letters-iceland-accountability-eurosystem" TargetMode="External"/><Relationship Id="rId31" Type="http://schemas.openxmlformats.org/officeDocument/2006/relationships/hyperlink" Target="https://doi.org/10.1007/978-3-030-50170-9" TargetMode="External"/><Relationship Id="rId32" Type="http://schemas.openxmlformats.org/officeDocument/2006/relationships/hyperlink" Target="https://doi.org/10.1007/s10797-012-9236-x" TargetMode="External"/><Relationship Id="rId33" Type="http://schemas.openxmlformats.org/officeDocument/2006/relationships/hyperlink" Target="https://doi.org/10.1057/9780230506077" TargetMode="External"/><Relationship Id="rId34" Type="http://schemas.openxmlformats.org/officeDocument/2006/relationships/hyperlink" Target="https://youtu.be/MechH0ebs_c" TargetMode="External"/><Relationship Id="rId35" Type="http://schemas.openxmlformats.org/officeDocument/2006/relationships/hyperlink" Target="https://www.bbc.com/news/business-40341611" TargetMode="External"/><Relationship Id="rId36" Type="http://schemas.openxmlformats.org/officeDocument/2006/relationships/hyperlink" Target="https://archive.org/details/historyoflatinmo00willuoft"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2024-12-16T17:13:14Z</dcterms:created>
  <dcterms:modified xsi:type="dcterms:W3CDTF">2024-12-16T17:13:14Z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LaTeX with hyperref</vt:lpwstr>
  </property>
  <property fmtid="{D5CDD505-2E9C-101B-9397-08002B2CF9AE}" pid="4" name="LastSaved">
    <vt:filetime>2024-12-10T00:00:00Z</vt:filetime>
  </property>
</Properties>
</file>