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400" w:lineRule="auto"/>
      </w:pPr>
      <w:r>
        <w:rPr/>
        <w:t>Exploitation of Eurosystem Loopholes </w:t>
      </w:r>
      <w:bookmarkStart w:name="Exploitation of Eurosystem Loopholes and" w:id="1"/>
      <w:bookmarkEnd w:id="1"/>
      <w:r>
        <w:rPr/>
        <w:t>and</w:t>
      </w:r>
      <w:r>
        <w:rPr/>
        <w:t> Their Quantitative Reconstruction</w:t>
      </w:r>
    </w:p>
    <w:p>
      <w:pPr>
        <w:pStyle w:val="BodyText"/>
        <w:spacing w:before="128"/>
        <w:ind w:left="367" w:right="369"/>
        <w:jc w:val="center"/>
        <w:rPr>
          <w:rFonts w:ascii="Lucida Sans Unicode" w:hAnsi="Lucida Sans Unicode"/>
        </w:rPr>
      </w:pPr>
      <w:r>
        <w:rPr/>
        <w:t>Karl Svozil</w:t>
      </w:r>
      <w:hyperlink w:history="true" w:anchor="_bookmark0">
        <w:r>
          <w:rPr>
            <w:rFonts w:ascii="Lucida Sans Unicode" w:hAnsi="Lucida Sans Unicode"/>
            <w:color w:val="0000FF"/>
            <w:vertAlign w:val="superscript"/>
          </w:rPr>
          <w:t>∗</w:t>
        </w:r>
      </w:hyperlink>
    </w:p>
    <w:p>
      <w:pPr>
        <w:spacing w:before="109"/>
        <w:ind w:left="2652" w:right="0" w:firstLine="0"/>
        <w:jc w:val="left"/>
        <w:rPr>
          <w:i/>
          <w:sz w:val="24"/>
        </w:rPr>
      </w:pPr>
      <w:r>
        <w:rPr>
          <w:i/>
          <w:sz w:val="24"/>
        </w:rPr>
        <w:t>Institute for Theoretical Physics, TU Wien,</w:t>
      </w:r>
    </w:p>
    <w:p>
      <w:pPr>
        <w:spacing w:before="162"/>
        <w:ind w:left="367" w:right="362" w:firstLine="0"/>
        <w:jc w:val="center"/>
        <w:rPr>
          <w:i/>
          <w:sz w:val="24"/>
        </w:rPr>
      </w:pPr>
      <w:r>
        <w:rPr>
          <w:i/>
          <w:sz w:val="24"/>
        </w:rPr>
        <w:t>Wiedner Hauptstrasse 8-10/136, 1040 Vienna, Austria</w:t>
      </w:r>
    </w:p>
    <w:p>
      <w:pPr>
        <w:spacing w:before="176"/>
        <w:ind w:left="367" w:right="362" w:firstLine="0"/>
        <w:jc w:val="center"/>
        <w:rPr>
          <w:sz w:val="22"/>
        </w:rPr>
      </w:pPr>
      <w:r>
        <w:rPr>
          <w:sz w:val="22"/>
        </w:rPr>
        <w:t>(Dated: December 9, 2024)</w:t>
      </w:r>
    </w:p>
    <w:p>
      <w:pPr>
        <w:spacing w:before="219"/>
        <w:ind w:left="367" w:right="362" w:firstLine="0"/>
        <w:jc w:val="center"/>
        <w:rPr>
          <w:sz w:val="28"/>
        </w:rPr>
      </w:pPr>
      <w:bookmarkStart w:name="Abstract" w:id="2"/>
      <w:bookmarkEnd w:id="2"/>
      <w:r>
        <w:rPr/>
      </w:r>
      <w:r>
        <w:rPr>
          <w:sz w:val="28"/>
        </w:rPr>
        <w:t>Abstract</w:t>
      </w:r>
    </w:p>
    <w:p>
      <w:pPr>
        <w:spacing w:line="410" w:lineRule="auto" w:before="167"/>
        <w:ind w:left="119" w:right="112" w:firstLine="218"/>
        <w:jc w:val="both"/>
        <w:rPr>
          <w:sz w:val="22"/>
        </w:rPr>
      </w:pPr>
      <w:r>
        <w:rPr>
          <w:sz w:val="22"/>
        </w:rPr>
        <w:t>This paper identifies and analyzes six </w:t>
      </w:r>
      <w:r>
        <w:rPr>
          <w:spacing w:val="-3"/>
          <w:sz w:val="22"/>
        </w:rPr>
        <w:t>key </w:t>
      </w:r>
      <w:r>
        <w:rPr>
          <w:sz w:val="22"/>
        </w:rPr>
        <w:t>strategies used to exploit the Eurosystem’s financial mecha- nisms,</w:t>
      </w:r>
      <w:r>
        <w:rPr>
          <w:spacing w:val="-7"/>
          <w:sz w:val="22"/>
        </w:rPr>
        <w:t> </w:t>
      </w:r>
      <w:r>
        <w:rPr>
          <w:sz w:val="22"/>
        </w:rPr>
        <w:t>and</w:t>
      </w:r>
      <w:r>
        <w:rPr>
          <w:spacing w:val="-7"/>
          <w:sz w:val="22"/>
        </w:rPr>
        <w:t> </w:t>
      </w:r>
      <w:r>
        <w:rPr>
          <w:sz w:val="22"/>
        </w:rPr>
        <w:t>attempts</w:t>
      </w:r>
      <w:r>
        <w:rPr>
          <w:spacing w:val="-6"/>
          <w:sz w:val="22"/>
        </w:rPr>
        <w:t> </w:t>
      </w:r>
      <w:r>
        <w:rPr>
          <w:sz w:val="22"/>
        </w:rPr>
        <w:t>a</w:t>
      </w:r>
      <w:r>
        <w:rPr>
          <w:spacing w:val="-7"/>
          <w:sz w:val="22"/>
        </w:rPr>
        <w:t> </w:t>
      </w:r>
      <w:r>
        <w:rPr>
          <w:sz w:val="22"/>
        </w:rPr>
        <w:t>quantitative</w:t>
      </w:r>
      <w:r>
        <w:rPr>
          <w:spacing w:val="-7"/>
          <w:sz w:val="22"/>
        </w:rPr>
        <w:t> </w:t>
      </w:r>
      <w:r>
        <w:rPr>
          <w:sz w:val="22"/>
        </w:rPr>
        <w:t>reconstruction:</w:t>
      </w:r>
      <w:r>
        <w:rPr>
          <w:spacing w:val="6"/>
          <w:sz w:val="22"/>
        </w:rPr>
        <w:t> </w:t>
      </w:r>
      <w:r>
        <w:rPr>
          <w:sz w:val="22"/>
        </w:rPr>
        <w:t>inflating</w:t>
      </w:r>
      <w:r>
        <w:rPr>
          <w:spacing w:val="-7"/>
          <w:sz w:val="22"/>
        </w:rPr>
        <w:t> </w:t>
      </w:r>
      <w:r>
        <w:rPr>
          <w:spacing w:val="-4"/>
          <w:sz w:val="22"/>
        </w:rPr>
        <w:t>TARGET</w:t>
      </w:r>
      <w:r>
        <w:rPr>
          <w:spacing w:val="-7"/>
          <w:sz w:val="22"/>
        </w:rPr>
        <w:t> </w:t>
      </w:r>
      <w:r>
        <w:rPr>
          <w:sz w:val="22"/>
        </w:rPr>
        <w:t>balances,</w:t>
      </w:r>
      <w:r>
        <w:rPr>
          <w:spacing w:val="-6"/>
          <w:sz w:val="22"/>
        </w:rPr>
        <w:t> </w:t>
      </w:r>
      <w:r>
        <w:rPr>
          <w:sz w:val="22"/>
        </w:rPr>
        <w:t>leveraging</w:t>
      </w:r>
      <w:r>
        <w:rPr>
          <w:spacing w:val="-7"/>
          <w:sz w:val="22"/>
        </w:rPr>
        <w:t> </w:t>
      </w:r>
      <w:r>
        <w:rPr>
          <w:sz w:val="22"/>
        </w:rPr>
        <w:t>collateral</w:t>
      </w:r>
      <w:r>
        <w:rPr>
          <w:spacing w:val="-7"/>
          <w:sz w:val="22"/>
        </w:rPr>
        <w:t> </w:t>
      </w:r>
      <w:r>
        <w:rPr>
          <w:sz w:val="22"/>
        </w:rPr>
        <w:t>swaps followed by defaults, diluting self-imposed regulatory rules, issuing money through Emergency Liquid- ity Assistance (ELA), acquisitions facilitated via the Agreement on Net Financial Assets </w:t>
      </w:r>
      <w:r>
        <w:rPr>
          <w:spacing w:val="-3"/>
          <w:sz w:val="22"/>
        </w:rPr>
        <w:t>(ANFA), </w:t>
      </w:r>
      <w:r>
        <w:rPr>
          <w:sz w:val="22"/>
        </w:rPr>
        <w:t>and the perpetual (re)issuance of sovereign bonds as collateral. The paper argues that these practices stem from systemic vulnerabilities or deliberate opportunism within the Eurosystem. While it does not advocate </w:t>
      </w:r>
      <w:r>
        <w:rPr>
          <w:spacing w:val="-4"/>
          <w:sz w:val="22"/>
        </w:rPr>
        <w:t>for </w:t>
      </w:r>
      <w:r>
        <w:rPr>
          <w:sz w:val="22"/>
        </w:rPr>
        <w:t>illicit</w:t>
      </w:r>
      <w:r>
        <w:rPr>
          <w:spacing w:val="-13"/>
          <w:sz w:val="22"/>
        </w:rPr>
        <w:t> </w:t>
      </w:r>
      <w:r>
        <w:rPr>
          <w:sz w:val="22"/>
        </w:rPr>
        <w:t>activities,</w:t>
      </w:r>
      <w:r>
        <w:rPr>
          <w:spacing w:val="-11"/>
          <w:sz w:val="22"/>
        </w:rPr>
        <w:t> </w:t>
      </w:r>
      <w:r>
        <w:rPr>
          <w:sz w:val="22"/>
        </w:rPr>
        <w:t>the</w:t>
      </w:r>
      <w:r>
        <w:rPr>
          <w:spacing w:val="-12"/>
          <w:sz w:val="22"/>
        </w:rPr>
        <w:t> </w:t>
      </w:r>
      <w:r>
        <w:rPr>
          <w:sz w:val="22"/>
        </w:rPr>
        <w:t>paper</w:t>
      </w:r>
      <w:r>
        <w:rPr>
          <w:spacing w:val="-12"/>
          <w:sz w:val="22"/>
        </w:rPr>
        <w:t> </w:t>
      </w:r>
      <w:r>
        <w:rPr>
          <w:sz w:val="22"/>
        </w:rPr>
        <w:t>highlights</w:t>
      </w:r>
      <w:r>
        <w:rPr>
          <w:spacing w:val="-13"/>
          <w:sz w:val="22"/>
        </w:rPr>
        <w:t> </w:t>
      </w:r>
      <w:r>
        <w:rPr>
          <w:sz w:val="22"/>
        </w:rPr>
        <w:t>significant</w:t>
      </w:r>
      <w:r>
        <w:rPr>
          <w:spacing w:val="-12"/>
          <w:sz w:val="22"/>
        </w:rPr>
        <w:t> </w:t>
      </w:r>
      <w:r>
        <w:rPr>
          <w:sz w:val="22"/>
        </w:rPr>
        <w:t>weaknesses</w:t>
      </w:r>
      <w:r>
        <w:rPr>
          <w:spacing w:val="-12"/>
          <w:sz w:val="22"/>
        </w:rPr>
        <w:t> </w:t>
      </w:r>
      <w:r>
        <w:rPr>
          <w:sz w:val="22"/>
        </w:rPr>
        <w:t>in</w:t>
      </w:r>
      <w:r>
        <w:rPr>
          <w:spacing w:val="-12"/>
          <w:sz w:val="22"/>
        </w:rPr>
        <w:t> </w:t>
      </w:r>
      <w:r>
        <w:rPr>
          <w:sz w:val="22"/>
        </w:rPr>
        <w:t>the</w:t>
      </w:r>
      <w:r>
        <w:rPr>
          <w:spacing w:val="-12"/>
          <w:sz w:val="22"/>
        </w:rPr>
        <w:t> </w:t>
      </w:r>
      <w:r>
        <w:rPr>
          <w:sz w:val="22"/>
        </w:rPr>
        <w:t>current</w:t>
      </w:r>
      <w:r>
        <w:rPr>
          <w:spacing w:val="-13"/>
          <w:sz w:val="22"/>
        </w:rPr>
        <w:t> </w:t>
      </w:r>
      <w:r>
        <w:rPr>
          <w:sz w:val="22"/>
        </w:rPr>
        <w:t>structure</w:t>
      </w:r>
      <w:r>
        <w:rPr>
          <w:spacing w:val="-12"/>
          <w:sz w:val="22"/>
        </w:rPr>
        <w:t> </w:t>
      </w:r>
      <w:r>
        <w:rPr>
          <w:sz w:val="22"/>
        </w:rPr>
        <w:t>and</w:t>
      </w:r>
      <w:r>
        <w:rPr>
          <w:spacing w:val="-12"/>
          <w:sz w:val="22"/>
        </w:rPr>
        <w:t> </w:t>
      </w:r>
      <w:r>
        <w:rPr>
          <w:sz w:val="22"/>
        </w:rPr>
        <w:t>concludes</w:t>
      </w:r>
      <w:r>
        <w:rPr>
          <w:spacing w:val="-12"/>
          <w:sz w:val="22"/>
        </w:rPr>
        <w:t> </w:t>
      </w:r>
      <w:r>
        <w:rPr>
          <w:sz w:val="22"/>
        </w:rPr>
        <w:t>that</w:t>
      </w:r>
      <w:r>
        <w:rPr>
          <w:spacing w:val="-12"/>
          <w:sz w:val="22"/>
        </w:rPr>
        <w:t> </w:t>
      </w:r>
      <w:r>
        <w:rPr>
          <w:sz w:val="22"/>
        </w:rPr>
        <w:t>com- prehensive reforms are urgently</w:t>
      </w:r>
      <w:r>
        <w:rPr>
          <w:spacing w:val="-6"/>
          <w:sz w:val="22"/>
        </w:rPr>
        <w:t> </w:t>
      </w:r>
      <w:r>
        <w:rPr>
          <w:sz w:val="22"/>
        </w:rPr>
        <w:t>needed.</w:t>
      </w:r>
    </w:p>
    <w:p>
      <w:pPr>
        <w:spacing w:line="451" w:lineRule="auto" w:before="163"/>
        <w:ind w:left="119" w:right="113" w:firstLine="0"/>
        <w:jc w:val="both"/>
        <w:rPr>
          <w:sz w:val="20"/>
        </w:rPr>
      </w:pPr>
      <w:r>
        <w:rPr>
          <w:sz w:val="20"/>
        </w:rPr>
        <w:t>Keywords:</w:t>
      </w:r>
      <w:r>
        <w:rPr>
          <w:spacing w:val="5"/>
          <w:sz w:val="20"/>
        </w:rPr>
        <w:t> </w:t>
      </w:r>
      <w:r>
        <w:rPr>
          <w:sz w:val="20"/>
        </w:rPr>
        <w:t>cbank</w:t>
      </w:r>
      <w:r>
        <w:rPr>
          <w:spacing w:val="-6"/>
          <w:sz w:val="20"/>
        </w:rPr>
        <w:t> </w:t>
      </w:r>
      <w:r>
        <w:rPr>
          <w:sz w:val="20"/>
        </w:rPr>
        <w:t>failure,</w:t>
      </w:r>
      <w:r>
        <w:rPr>
          <w:spacing w:val="-5"/>
          <w:sz w:val="20"/>
        </w:rPr>
        <w:t> </w:t>
      </w:r>
      <w:r>
        <w:rPr>
          <w:sz w:val="20"/>
        </w:rPr>
        <w:t>love</w:t>
      </w:r>
      <w:r>
        <w:rPr>
          <w:spacing w:val="-6"/>
          <w:sz w:val="20"/>
        </w:rPr>
        <w:t> </w:t>
      </w:r>
      <w:r>
        <w:rPr>
          <w:sz w:val="20"/>
        </w:rPr>
        <w:t>lettters,</w:t>
      </w:r>
      <w:r>
        <w:rPr>
          <w:spacing w:val="-5"/>
          <w:sz w:val="20"/>
        </w:rPr>
        <w:t> </w:t>
      </w:r>
      <w:r>
        <w:rPr>
          <w:sz w:val="20"/>
        </w:rPr>
        <w:t>capital</w:t>
      </w:r>
      <w:r>
        <w:rPr>
          <w:spacing w:val="-6"/>
          <w:sz w:val="20"/>
        </w:rPr>
        <w:t> </w:t>
      </w:r>
      <w:r>
        <w:rPr>
          <w:sz w:val="20"/>
        </w:rPr>
        <w:t>controls,</w:t>
      </w:r>
      <w:r>
        <w:rPr>
          <w:spacing w:val="-6"/>
          <w:sz w:val="20"/>
        </w:rPr>
        <w:t> </w:t>
      </w:r>
      <w:r>
        <w:rPr>
          <w:sz w:val="20"/>
        </w:rPr>
        <w:t>composition</w:t>
      </w:r>
      <w:r>
        <w:rPr>
          <w:spacing w:val="-5"/>
          <w:sz w:val="20"/>
        </w:rPr>
        <w:t> </w:t>
      </w:r>
      <w:r>
        <w:rPr>
          <w:sz w:val="20"/>
        </w:rPr>
        <w:t>agreement,</w:t>
      </w:r>
      <w:r>
        <w:rPr>
          <w:spacing w:val="-6"/>
          <w:sz w:val="20"/>
        </w:rPr>
        <w:t> </w:t>
      </w:r>
      <w:r>
        <w:rPr>
          <w:sz w:val="20"/>
        </w:rPr>
        <w:t>debt</w:t>
      </w:r>
      <w:r>
        <w:rPr>
          <w:spacing w:val="-5"/>
          <w:sz w:val="20"/>
        </w:rPr>
        <w:t> </w:t>
      </w:r>
      <w:r>
        <w:rPr>
          <w:sz w:val="20"/>
        </w:rPr>
        <w:t>restructuring,</w:t>
      </w:r>
      <w:r>
        <w:rPr>
          <w:spacing w:val="-6"/>
          <w:sz w:val="20"/>
        </w:rPr>
        <w:t> </w:t>
      </w:r>
      <w:r>
        <w:rPr>
          <w:sz w:val="20"/>
        </w:rPr>
        <w:t>devaluation,</w:t>
      </w:r>
      <w:r>
        <w:rPr>
          <w:spacing w:val="-5"/>
          <w:sz w:val="20"/>
        </w:rPr>
        <w:t> </w:t>
      </w:r>
      <w:r>
        <w:rPr>
          <w:spacing w:val="-4"/>
          <w:sz w:val="20"/>
        </w:rPr>
        <w:t>regu- </w:t>
      </w:r>
      <w:r>
        <w:rPr>
          <w:sz w:val="20"/>
        </w:rPr>
        <w:t>lation, resolution,</w:t>
      </w:r>
      <w:r>
        <w:rPr>
          <w:spacing w:val="-3"/>
          <w:sz w:val="20"/>
        </w:rPr>
        <w:t> </w:t>
      </w:r>
      <w:r>
        <w:rPr>
          <w:sz w:val="20"/>
        </w:rPr>
        <w:t>supervision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r>
        <w:rPr/>
        <w:pict>
          <v:shape style="position:absolute;margin-left:72pt;margin-top:15.477797pt;width:36pt;height:.1pt;mso-position-horizontal-relative:page;mso-position-vertical-relative:paragraph;z-index:-15728640;mso-wrap-distance-left:0;mso-wrap-distance-right:0" coordorigin="1440,310" coordsize="720,0" path="m1440,310l2160,310e" filled="false" stroked="true" strokeweight=".398pt" strokecolor="#000000">
            <v:path arrowok="t"/>
            <v:stroke dashstyle="solid"/>
            <w10:wrap type="topAndBottom"/>
          </v:shape>
        </w:pict>
      </w:r>
    </w:p>
    <w:p>
      <w:pPr>
        <w:pStyle w:val="ListParagraph"/>
        <w:numPr>
          <w:ilvl w:val="0"/>
          <w:numId w:val="1"/>
        </w:numPr>
        <w:tabs>
          <w:tab w:pos="320" w:val="left" w:leader="none"/>
        </w:tabs>
        <w:spacing w:line="240" w:lineRule="auto" w:before="6" w:after="0"/>
        <w:ind w:left="319" w:right="0" w:hanging="135"/>
        <w:jc w:val="left"/>
        <w:rPr>
          <w:sz w:val="20"/>
        </w:rPr>
      </w:pPr>
      <w:bookmarkStart w:name="_bookmark0" w:id="3"/>
      <w:bookmarkEnd w:id="3"/>
      <w:r>
        <w:rPr/>
      </w:r>
      <w:hyperlink r:id="rId6">
        <w:bookmarkStart w:name="_bookmark0" w:id="4"/>
        <w:bookmarkEnd w:id="4"/>
        <w:r>
          <w:rPr>
            <w:color w:val="0000FF"/>
            <w:sz w:val="20"/>
          </w:rPr>
          <w:t>s</w:t>
        </w:r>
        <w:r>
          <w:rPr>
            <w:color w:val="0000FF"/>
            <w:sz w:val="20"/>
          </w:rPr>
          <w:t>vozil@tuwien.ac.at</w:t>
        </w:r>
      </w:hyperlink>
      <w:r>
        <w:rPr>
          <w:sz w:val="20"/>
        </w:rPr>
        <w:t>;</w:t>
      </w:r>
      <w:r>
        <w:rPr>
          <w:spacing w:val="-2"/>
          <w:sz w:val="20"/>
        </w:rPr>
        <w:t> </w:t>
      </w:r>
      <w:hyperlink r:id="rId7">
        <w:r>
          <w:rPr>
            <w:color w:val="0000FF"/>
            <w:sz w:val="20"/>
          </w:rPr>
          <w:t>http://tph.tuwien.ac.at/˜svozil</w:t>
        </w:r>
      </w:hyperlink>
    </w:p>
    <w:p>
      <w:pPr>
        <w:spacing w:after="0" w:line="240" w:lineRule="auto"/>
        <w:jc w:val="left"/>
        <w:rPr>
          <w:sz w:val="20"/>
        </w:rPr>
        <w:sectPr>
          <w:footerReference w:type="default" r:id="rId5"/>
          <w:type w:val="continuous"/>
          <w:pgSz w:w="12240" w:h="15840"/>
          <w:pgMar w:footer="563" w:top="1280" w:bottom="760" w:left="1320" w:right="1360"/>
          <w:pgNumType w:start="1"/>
        </w:sectPr>
      </w:pPr>
    </w:p>
    <w:p>
      <w:pPr>
        <w:pStyle w:val="ListParagraph"/>
        <w:numPr>
          <w:ilvl w:val="0"/>
          <w:numId w:val="2"/>
        </w:numPr>
        <w:tabs>
          <w:tab w:pos="477" w:val="left" w:leader="none"/>
          <w:tab w:pos="478" w:val="left" w:leader="none"/>
        </w:tabs>
        <w:spacing w:line="240" w:lineRule="auto" w:before="94" w:after="0"/>
        <w:ind w:left="477" w:right="0" w:hanging="358"/>
        <w:jc w:val="left"/>
        <w:rPr>
          <w:b/>
          <w:sz w:val="22"/>
        </w:rPr>
      </w:pPr>
      <w:bookmarkStart w:name="Introduction" w:id="5"/>
      <w:bookmarkEnd w:id="5"/>
      <w:r>
        <w:rPr/>
      </w:r>
      <w:bookmarkStart w:name="Introduction" w:id="6"/>
      <w:bookmarkEnd w:id="6"/>
      <w:r>
        <w:rPr>
          <w:b/>
          <w:sz w:val="22"/>
        </w:rPr>
        <w:t>INT</w:t>
      </w:r>
      <w:r>
        <w:rPr>
          <w:b/>
          <w:sz w:val="22"/>
        </w:rPr>
        <w:t>RODUCTION</w:t>
      </w:r>
    </w:p>
    <w:p>
      <w:pPr>
        <w:pStyle w:val="BodyText"/>
        <w:spacing w:before="11"/>
        <w:rPr>
          <w:b/>
          <w:sz w:val="39"/>
        </w:rPr>
      </w:pPr>
    </w:p>
    <w:p>
      <w:pPr>
        <w:pStyle w:val="BodyText"/>
        <w:spacing w:line="364" w:lineRule="auto"/>
        <w:ind w:left="120" w:right="112" w:firstLine="298"/>
        <w:jc w:val="both"/>
      </w:pPr>
      <w:r>
        <w:rPr/>
        <w:t>The inherent intangibility of fiat currencies, such as the Euro, presents opportunities for de- basement</w:t>
      </w:r>
      <w:r>
        <w:rPr>
          <w:spacing w:val="-11"/>
        </w:rPr>
        <w:t> </w:t>
      </w:r>
      <w:r>
        <w:rPr/>
        <w:t>and</w:t>
      </w:r>
      <w:r>
        <w:rPr>
          <w:spacing w:val="-11"/>
        </w:rPr>
        <w:t> </w:t>
      </w:r>
      <w:r>
        <w:rPr/>
        <w:t>resource</w:t>
      </w:r>
      <w:r>
        <w:rPr>
          <w:spacing w:val="-11"/>
        </w:rPr>
        <w:t> </w:t>
      </w:r>
      <w:r>
        <w:rPr/>
        <w:t>reallocation</w:t>
      </w:r>
      <w:r>
        <w:rPr>
          <w:spacing w:val="-11"/>
        </w:rPr>
        <w:t> </w:t>
      </w:r>
      <w:r>
        <w:rPr/>
        <w:t>strategies.</w:t>
      </w:r>
      <w:r>
        <w:rPr>
          <w:spacing w:val="6"/>
        </w:rPr>
        <w:t> </w:t>
      </w:r>
      <w:r>
        <w:rPr/>
        <w:t>This</w:t>
      </w:r>
      <w:r>
        <w:rPr>
          <w:spacing w:val="-11"/>
        </w:rPr>
        <w:t> </w:t>
      </w:r>
      <w:r>
        <w:rPr/>
        <w:t>issue</w:t>
      </w:r>
      <w:r>
        <w:rPr>
          <w:spacing w:val="-11"/>
        </w:rPr>
        <w:t> </w:t>
      </w:r>
      <w:r>
        <w:rPr/>
        <w:t>is</w:t>
      </w:r>
      <w:r>
        <w:rPr>
          <w:spacing w:val="-11"/>
        </w:rPr>
        <w:t> </w:t>
      </w:r>
      <w:r>
        <w:rPr/>
        <w:t>exacerbated</w:t>
      </w:r>
      <w:r>
        <w:rPr>
          <w:spacing w:val="-11"/>
        </w:rPr>
        <w:t> </w:t>
      </w:r>
      <w:r>
        <w:rPr/>
        <w:t>when</w:t>
      </w:r>
      <w:r>
        <w:rPr>
          <w:spacing w:val="-11"/>
        </w:rPr>
        <w:t> </w:t>
      </w:r>
      <w:r>
        <w:rPr/>
        <w:t>nations</w:t>
      </w:r>
      <w:r>
        <w:rPr>
          <w:spacing w:val="-11"/>
        </w:rPr>
        <w:t> </w:t>
      </w:r>
      <w:r>
        <w:rPr/>
        <w:t>with</w:t>
      </w:r>
      <w:r>
        <w:rPr>
          <w:spacing w:val="-11"/>
        </w:rPr>
        <w:t> </w:t>
      </w:r>
      <w:r>
        <w:rPr/>
        <w:t>diverse economic conditions and demands form a monetary union. Moreover, the advanced and nuanced nature of these strategies surpasses traditional debasement and counterfeiting methods typically seen in commodity and (bi)metallic coin systems, such as those experienced by the Latin </w:t>
      </w:r>
      <w:r>
        <w:rPr>
          <w:spacing w:val="-3"/>
        </w:rPr>
        <w:t>Mon- </w:t>
      </w:r>
      <w:r>
        <w:rPr/>
        <w:t>etary Union (</w:t>
      </w:r>
      <w:hyperlink w:history="true" w:anchor="_bookmark7">
        <w:r>
          <w:rPr>
            <w:color w:val="BF0000"/>
          </w:rPr>
          <w:t>Einaudi</w:t>
        </w:r>
      </w:hyperlink>
      <w:r>
        <w:rPr/>
        <w:t>, </w:t>
      </w:r>
      <w:hyperlink w:history="true" w:anchor="_bookmark7">
        <w:r>
          <w:rPr>
            <w:color w:val="BF0000"/>
          </w:rPr>
          <w:t>2001</w:t>
        </w:r>
      </w:hyperlink>
      <w:r>
        <w:rPr/>
        <w:t>; </w:t>
      </w:r>
      <w:hyperlink w:history="true" w:anchor="_bookmark13">
        <w:r>
          <w:rPr>
            <w:color w:val="BF0000"/>
          </w:rPr>
          <w:t>Flandreau</w:t>
        </w:r>
      </w:hyperlink>
      <w:r>
        <w:rPr/>
        <w:t>, </w:t>
      </w:r>
      <w:hyperlink w:history="true" w:anchor="_bookmark13">
        <w:r>
          <w:rPr>
            <w:color w:val="BF0000"/>
          </w:rPr>
          <w:t>2000</w:t>
        </w:r>
      </w:hyperlink>
      <w:r>
        <w:rPr/>
        <w:t>; </w:t>
      </w:r>
      <w:hyperlink w:history="true" w:anchor="_bookmark23">
        <w:r>
          <w:rPr>
            <w:color w:val="BF0000"/>
          </w:rPr>
          <w:t>Preda</w:t>
        </w:r>
      </w:hyperlink>
      <w:r>
        <w:rPr/>
        <w:t>, </w:t>
      </w:r>
      <w:hyperlink w:history="true" w:anchor="_bookmark23">
        <w:r>
          <w:rPr>
            <w:color w:val="BF0000"/>
          </w:rPr>
          <w:t>2017</w:t>
        </w:r>
      </w:hyperlink>
      <w:r>
        <w:rPr/>
        <w:t>; </w:t>
      </w:r>
      <w:hyperlink w:history="true" w:anchor="_bookmark34">
        <w:r>
          <w:rPr>
            <w:color w:val="BF0000"/>
          </w:rPr>
          <w:t>Willis</w:t>
        </w:r>
      </w:hyperlink>
      <w:r>
        <w:rPr/>
        <w:t>, </w:t>
      </w:r>
      <w:hyperlink w:history="true" w:anchor="_bookmark34">
        <w:r>
          <w:rPr>
            <w:color w:val="BF0000"/>
          </w:rPr>
          <w:t>1901</w:t>
        </w:r>
      </w:hyperlink>
      <w:r>
        <w:rPr/>
        <w:t>), or tactics like issuing duplicate securities with identical registration numbers and</w:t>
      </w:r>
      <w:r>
        <w:rPr>
          <w:spacing w:val="-10"/>
        </w:rPr>
        <w:t> </w:t>
      </w:r>
      <w:r>
        <w:rPr/>
        <w:t>codes.</w:t>
      </w:r>
    </w:p>
    <w:p>
      <w:pPr>
        <w:pStyle w:val="BodyText"/>
        <w:spacing w:line="364" w:lineRule="auto" w:before="23"/>
        <w:ind w:left="120" w:right="112" w:firstLine="298"/>
        <w:jc w:val="both"/>
      </w:pPr>
      <w:r>
        <w:rPr/>
        <w:t>In the following sections, we will briefly examine each of the six strategies identified, which could,</w:t>
      </w:r>
      <w:r>
        <w:rPr>
          <w:spacing w:val="-8"/>
        </w:rPr>
        <w:t> </w:t>
      </w:r>
      <w:r>
        <w:rPr/>
        <w:t>at</w:t>
      </w:r>
      <w:r>
        <w:rPr>
          <w:spacing w:val="-7"/>
        </w:rPr>
        <w:t> </w:t>
      </w:r>
      <w:r>
        <w:rPr/>
        <w:t>least</w:t>
      </w:r>
      <w:r>
        <w:rPr>
          <w:spacing w:val="-7"/>
        </w:rPr>
        <w:t> </w:t>
      </w:r>
      <w:r>
        <w:rPr/>
        <w:t>in</w:t>
      </w:r>
      <w:r>
        <w:rPr>
          <w:spacing w:val="-8"/>
        </w:rPr>
        <w:t> </w:t>
      </w:r>
      <w:r>
        <w:rPr/>
        <w:t>principle,</w:t>
      </w:r>
      <w:r>
        <w:rPr>
          <w:spacing w:val="-7"/>
        </w:rPr>
        <w:t> </w:t>
      </w:r>
      <w:r>
        <w:rPr/>
        <w:t>be</w:t>
      </w:r>
      <w:r>
        <w:rPr>
          <w:spacing w:val="-7"/>
        </w:rPr>
        <w:t> </w:t>
      </w:r>
      <w:r>
        <w:rPr/>
        <w:t>employed</w:t>
      </w:r>
      <w:r>
        <w:rPr>
          <w:spacing w:val="-7"/>
        </w:rPr>
        <w:t> </w:t>
      </w:r>
      <w:r>
        <w:rPr/>
        <w:t>by</w:t>
      </w:r>
      <w:r>
        <w:rPr>
          <w:spacing w:val="-7"/>
        </w:rPr>
        <w:t> </w:t>
      </w:r>
      <w:r>
        <w:rPr/>
        <w:t>any</w:t>
      </w:r>
      <w:r>
        <w:rPr>
          <w:spacing w:val="-8"/>
        </w:rPr>
        <w:t> </w:t>
      </w:r>
      <w:r>
        <w:rPr/>
        <w:t>National</w:t>
      </w:r>
      <w:r>
        <w:rPr>
          <w:spacing w:val="-7"/>
        </w:rPr>
        <w:t> </w:t>
      </w:r>
      <w:r>
        <w:rPr/>
        <w:t>Central</w:t>
      </w:r>
      <w:r>
        <w:rPr>
          <w:spacing w:val="-7"/>
        </w:rPr>
        <w:t> </w:t>
      </w:r>
      <w:r>
        <w:rPr/>
        <w:t>Bank</w:t>
      </w:r>
      <w:r>
        <w:rPr>
          <w:spacing w:val="-8"/>
        </w:rPr>
        <w:t> </w:t>
      </w:r>
      <w:r>
        <w:rPr/>
        <w:t>(NCB)</w:t>
      </w:r>
      <w:r>
        <w:rPr>
          <w:spacing w:val="-7"/>
        </w:rPr>
        <w:t> </w:t>
      </w:r>
      <w:r>
        <w:rPr/>
        <w:t>within</w:t>
      </w:r>
      <w:r>
        <w:rPr>
          <w:spacing w:val="-7"/>
        </w:rPr>
        <w:t> </w:t>
      </w:r>
      <w:r>
        <w:rPr/>
        <w:t>the</w:t>
      </w:r>
      <w:r>
        <w:rPr>
          <w:spacing w:val="-7"/>
        </w:rPr>
        <w:t> </w:t>
      </w:r>
      <w:r>
        <w:rPr/>
        <w:t>Eurosys- tem (and one </w:t>
      </w:r>
      <w:r>
        <w:rPr>
          <w:spacing w:val="-3"/>
        </w:rPr>
        <w:t>even </w:t>
      </w:r>
      <w:r>
        <w:rPr/>
        <w:t>from outside it). </w:t>
      </w:r>
      <w:r>
        <w:rPr>
          <w:spacing w:val="-10"/>
        </w:rPr>
        <w:t>We </w:t>
      </w:r>
      <w:r>
        <w:rPr/>
        <w:t>shall not delve into detailed analysis, as there is </w:t>
      </w:r>
      <w:r>
        <w:rPr>
          <w:spacing w:val="-3"/>
        </w:rPr>
        <w:t>some </w:t>
      </w:r>
      <w:r>
        <w:rPr/>
        <w:t>overlap with existing literature that explores, for example, a credit facility among the Eurosys- </w:t>
      </w:r>
      <w:r>
        <w:rPr>
          <w:spacing w:val="-3"/>
        </w:rPr>
        <w:t>tem’s</w:t>
      </w:r>
      <w:r>
        <w:rPr>
          <w:spacing w:val="-6"/>
        </w:rPr>
        <w:t> </w:t>
      </w:r>
      <w:r>
        <w:rPr/>
        <w:t>national</w:t>
      </w:r>
      <w:r>
        <w:rPr>
          <w:spacing w:val="-5"/>
        </w:rPr>
        <w:t> </w:t>
      </w:r>
      <w:r>
        <w:rPr/>
        <w:t>central</w:t>
      </w:r>
      <w:r>
        <w:rPr>
          <w:spacing w:val="-5"/>
        </w:rPr>
        <w:t> </w:t>
      </w:r>
      <w:r>
        <w:rPr/>
        <w:t>banks</w:t>
      </w:r>
      <w:r>
        <w:rPr>
          <w:spacing w:val="-6"/>
        </w:rPr>
        <w:t> </w:t>
      </w:r>
      <w:r>
        <w:rPr/>
        <w:t>(</w:t>
      </w:r>
      <w:hyperlink w:history="true" w:anchor="_bookmark4">
        <w:r>
          <w:rPr>
            <w:color w:val="BF0000"/>
          </w:rPr>
          <w:t>Blake</w:t>
        </w:r>
      </w:hyperlink>
      <w:r>
        <w:rPr/>
        <w:t>,</w:t>
      </w:r>
      <w:r>
        <w:rPr>
          <w:spacing w:val="-5"/>
        </w:rPr>
        <w:t> </w:t>
      </w:r>
      <w:hyperlink w:history="true" w:anchor="_bookmark4">
        <w:r>
          <w:rPr>
            <w:color w:val="BF0000"/>
          </w:rPr>
          <w:t>2023</w:t>
        </w:r>
      </w:hyperlink>
      <w:r>
        <w:rPr/>
        <w:t>;</w:t>
      </w:r>
      <w:r>
        <w:rPr>
          <w:spacing w:val="-5"/>
        </w:rPr>
        <w:t> </w:t>
      </w:r>
      <w:hyperlink w:history="true" w:anchor="_bookmark21">
        <w:r>
          <w:rPr>
            <w:color w:val="BF0000"/>
          </w:rPr>
          <w:t>Ojeda</w:t>
        </w:r>
      </w:hyperlink>
      <w:r>
        <w:rPr/>
        <w:t>,</w:t>
      </w:r>
      <w:r>
        <w:rPr>
          <w:spacing w:val="-6"/>
        </w:rPr>
        <w:t> </w:t>
      </w:r>
      <w:hyperlink w:history="true" w:anchor="_bookmark21">
        <w:r>
          <w:rPr>
            <w:color w:val="BF0000"/>
          </w:rPr>
          <w:t>2024</w:t>
        </w:r>
      </w:hyperlink>
      <w:r>
        <w:rPr/>
        <w:t>;</w:t>
      </w:r>
      <w:r>
        <w:rPr>
          <w:spacing w:val="-5"/>
        </w:rPr>
        <w:t> </w:t>
      </w:r>
      <w:hyperlink w:history="true" w:anchor="_bookmark22">
        <w:r>
          <w:rPr>
            <w:color w:val="BF0000"/>
          </w:rPr>
          <w:t>Perotti</w:t>
        </w:r>
      </w:hyperlink>
      <w:r>
        <w:rPr/>
        <w:t>,</w:t>
      </w:r>
      <w:r>
        <w:rPr>
          <w:spacing w:val="-5"/>
        </w:rPr>
        <w:t> </w:t>
      </w:r>
      <w:hyperlink w:history="true" w:anchor="_bookmark22">
        <w:r>
          <w:rPr>
            <w:color w:val="BF0000"/>
          </w:rPr>
          <w:t>2024</w:t>
        </w:r>
      </w:hyperlink>
      <w:r>
        <w:rPr/>
        <w:t>;</w:t>
      </w:r>
      <w:r>
        <w:rPr>
          <w:spacing w:val="-6"/>
        </w:rPr>
        <w:t> </w:t>
      </w:r>
      <w:hyperlink w:history="true" w:anchor="_bookmark27">
        <w:r>
          <w:rPr>
            <w:color w:val="BF0000"/>
          </w:rPr>
          <w:t>Sinn</w:t>
        </w:r>
      </w:hyperlink>
      <w:r>
        <w:rPr/>
        <w:t>,</w:t>
      </w:r>
      <w:r>
        <w:rPr>
          <w:spacing w:val="-5"/>
        </w:rPr>
        <w:t> </w:t>
      </w:r>
      <w:hyperlink w:history="true" w:anchor="_bookmark27">
        <w:r>
          <w:rPr>
            <w:color w:val="BF0000"/>
          </w:rPr>
          <w:t>2017</w:t>
        </w:r>
      </w:hyperlink>
      <w:r>
        <w:rPr/>
        <w:t>,</w:t>
      </w:r>
      <w:r>
        <w:rPr>
          <w:spacing w:val="-5"/>
        </w:rPr>
        <w:t> </w:t>
      </w:r>
      <w:hyperlink w:history="true" w:anchor="_bookmark28">
        <w:r>
          <w:rPr>
            <w:color w:val="BF0000"/>
          </w:rPr>
          <w:t>2020</w:t>
        </w:r>
      </w:hyperlink>
      <w:r>
        <w:rPr/>
        <w:t>;</w:t>
      </w:r>
      <w:r>
        <w:rPr>
          <w:spacing w:val="-6"/>
        </w:rPr>
        <w:t> </w:t>
      </w:r>
      <w:hyperlink w:history="true" w:anchor="_bookmark29">
        <w:r>
          <w:rPr>
            <w:color w:val="BF0000"/>
          </w:rPr>
          <w:t>Sinn</w:t>
        </w:r>
        <w:r>
          <w:rPr>
            <w:color w:val="BF0000"/>
            <w:spacing w:val="-5"/>
          </w:rPr>
          <w:t> </w:t>
        </w:r>
        <w:r>
          <w:rPr>
            <w:color w:val="BF0000"/>
          </w:rPr>
          <w:t>and</w:t>
        </w:r>
      </w:hyperlink>
      <w:r>
        <w:rPr>
          <w:color w:val="BF0000"/>
        </w:rPr>
        <w:t> </w:t>
      </w:r>
      <w:hyperlink w:history="true" w:anchor="_bookmark29">
        <w:r>
          <w:rPr>
            <w:color w:val="BF0000"/>
            <w:spacing w:val="-20"/>
            <w:w w:val="99"/>
          </w:rPr>
          <w:t>W</w:t>
        </w:r>
        <w:r>
          <w:rPr>
            <w:color w:val="BF0000"/>
            <w:w w:val="99"/>
          </w:rPr>
          <w:t>ollmersh</w:t>
        </w:r>
        <w:r>
          <w:rPr>
            <w:color w:val="BF0000"/>
            <w:spacing w:val="-93"/>
            <w:w w:val="99"/>
          </w:rPr>
          <w:t>a</w:t>
        </w:r>
        <w:r>
          <w:rPr>
            <w:color w:val="BF0000"/>
            <w:spacing w:val="13"/>
            <w:w w:val="99"/>
          </w:rPr>
          <w:t>¨</w:t>
        </w:r>
        <w:r>
          <w:rPr>
            <w:color w:val="BF0000"/>
            <w:w w:val="99"/>
          </w:rPr>
          <w:t>user</w:t>
        </w:r>
      </w:hyperlink>
      <w:r>
        <w:rPr>
          <w:w w:val="99"/>
        </w:rPr>
        <w:t>,</w:t>
      </w:r>
      <w:r>
        <w:rPr>
          <w:spacing w:val="22"/>
        </w:rPr>
        <w:t> </w:t>
      </w:r>
      <w:hyperlink w:history="true" w:anchor="_bookmark29">
        <w:r>
          <w:rPr>
            <w:color w:val="BF0000"/>
            <w:w w:val="99"/>
          </w:rPr>
          <w:t>2012</w:t>
        </w:r>
      </w:hyperlink>
      <w:r>
        <w:rPr>
          <w:w w:val="99"/>
        </w:rPr>
        <w:t>),</w:t>
      </w:r>
      <w:r>
        <w:rPr>
          <w:spacing w:val="27"/>
        </w:rPr>
        <w:t> </w:t>
      </w:r>
      <w:r>
        <w:rPr>
          <w:w w:val="99"/>
        </w:rPr>
        <w:t>o</w:t>
      </w:r>
      <w:r>
        <w:rPr>
          <w:spacing w:val="-10"/>
          <w:w w:val="99"/>
        </w:rPr>
        <w:t>r</w:t>
      </w:r>
      <w:r>
        <w:rPr>
          <w:w w:val="99"/>
        </w:rPr>
        <w:t>,</w:t>
      </w:r>
      <w:r>
        <w:rPr>
          <w:spacing w:val="27"/>
        </w:rPr>
        <w:t> </w:t>
      </w:r>
      <w:r>
        <w:rPr>
          <w:w w:val="99"/>
        </w:rPr>
        <w:t>from</w:t>
      </w:r>
      <w:r>
        <w:rPr>
          <w:spacing w:val="22"/>
        </w:rPr>
        <w:t> </w:t>
      </w:r>
      <w:r>
        <w:rPr>
          <w:w w:val="99"/>
        </w:rPr>
        <w:t>a</w:t>
      </w:r>
      <w:r>
        <w:rPr>
          <w:spacing w:val="22"/>
        </w:rPr>
        <w:t> </w:t>
      </w:r>
      <w:r>
        <w:rPr>
          <w:w w:val="99"/>
        </w:rPr>
        <w:t>l</w:t>
      </w:r>
      <w:r>
        <w:rPr>
          <w:spacing w:val="-4"/>
          <w:w w:val="99"/>
        </w:rPr>
        <w:t>e</w:t>
      </w:r>
      <w:r>
        <w:rPr>
          <w:w w:val="99"/>
        </w:rPr>
        <w:t>gislat</w:t>
      </w:r>
      <w:r>
        <w:rPr>
          <w:spacing w:val="-6"/>
          <w:w w:val="99"/>
        </w:rPr>
        <w:t>i</w:t>
      </w:r>
      <w:r>
        <w:rPr>
          <w:spacing w:val="-4"/>
          <w:w w:val="99"/>
        </w:rPr>
        <w:t>v</w:t>
      </w:r>
      <w:r>
        <w:rPr>
          <w:w w:val="99"/>
        </w:rPr>
        <w:t>e</w:t>
      </w:r>
      <w:r>
        <w:rPr>
          <w:spacing w:val="22"/>
        </w:rPr>
        <w:t> </w:t>
      </w:r>
      <w:r>
        <w:rPr>
          <w:w w:val="99"/>
        </w:rPr>
        <w:t>perspect</w:t>
      </w:r>
      <w:r>
        <w:rPr>
          <w:spacing w:val="-6"/>
          <w:w w:val="99"/>
        </w:rPr>
        <w:t>i</w:t>
      </w:r>
      <w:r>
        <w:rPr>
          <w:spacing w:val="-4"/>
          <w:w w:val="99"/>
        </w:rPr>
        <w:t>v</w:t>
      </w:r>
      <w:r>
        <w:rPr>
          <w:w w:val="99"/>
        </w:rPr>
        <w:t>e,</w:t>
      </w:r>
      <w:r>
        <w:rPr>
          <w:spacing w:val="27"/>
        </w:rPr>
        <w:t> </w:t>
      </w:r>
      <w:r>
        <w:rPr>
          <w:w w:val="99"/>
        </w:rPr>
        <w:t>the</w:t>
      </w:r>
      <w:r>
        <w:rPr>
          <w:spacing w:val="22"/>
        </w:rPr>
        <w:t> </w:t>
      </w:r>
      <w:r>
        <w:rPr>
          <w:w w:val="99"/>
        </w:rPr>
        <w:t>need</w:t>
      </w:r>
      <w:r>
        <w:rPr>
          <w:spacing w:val="22"/>
        </w:rPr>
        <w:t> </w:t>
      </w:r>
      <w:r>
        <w:rPr>
          <w:w w:val="99"/>
        </w:rPr>
        <w:t>for</w:t>
      </w:r>
      <w:r>
        <w:rPr>
          <w:spacing w:val="22"/>
        </w:rPr>
        <w:t> </w:t>
      </w:r>
      <w:r>
        <w:rPr>
          <w:w w:val="99"/>
        </w:rPr>
        <w:t>a</w:t>
      </w:r>
      <w:r>
        <w:rPr>
          <w:spacing w:val="22"/>
        </w:rPr>
        <w:t> </w:t>
      </w:r>
      <w:r>
        <w:rPr>
          <w:w w:val="99"/>
        </w:rPr>
        <w:t>reliable</w:t>
      </w:r>
      <w:r>
        <w:rPr>
          <w:spacing w:val="22"/>
        </w:rPr>
        <w:t> </w:t>
      </w:r>
      <w:r>
        <w:rPr>
          <w:w w:val="99"/>
        </w:rPr>
        <w:t>fram</w:t>
      </w:r>
      <w:r>
        <w:rPr>
          <w:spacing w:val="-6"/>
          <w:w w:val="99"/>
        </w:rPr>
        <w:t>e</w:t>
      </w:r>
      <w:r>
        <w:rPr>
          <w:spacing w:val="-3"/>
          <w:w w:val="99"/>
        </w:rPr>
        <w:t>w</w:t>
      </w:r>
      <w:r>
        <w:rPr>
          <w:w w:val="99"/>
        </w:rPr>
        <w:t>ork</w:t>
      </w:r>
      <w:r>
        <w:rPr>
          <w:spacing w:val="22"/>
        </w:rPr>
        <w:t> </w:t>
      </w:r>
      <w:r>
        <w:rPr>
          <w:w w:val="99"/>
        </w:rPr>
        <w:t>of </w:t>
      </w:r>
      <w:r>
        <w:rPr/>
        <w:t>operations (</w:t>
      </w:r>
      <w:hyperlink w:history="true" w:anchor="_bookmark20">
        <w:r>
          <w:rPr>
            <w:color w:val="BF0000"/>
          </w:rPr>
          <w:t>Ojeda</w:t>
        </w:r>
      </w:hyperlink>
      <w:r>
        <w:rPr/>
        <w:t>, </w:t>
      </w:r>
      <w:hyperlink w:history="true" w:anchor="_bookmark20">
        <w:r>
          <w:rPr>
            <w:color w:val="BF0000"/>
          </w:rPr>
          <w:t>2022</w:t>
        </w:r>
      </w:hyperlink>
      <w:r>
        <w:rPr/>
        <w:t>). These strategies include: Inflating </w:t>
      </w:r>
      <w:r>
        <w:rPr>
          <w:spacing w:val="-4"/>
        </w:rPr>
        <w:t>TARGET </w:t>
      </w:r>
      <w:r>
        <w:rPr/>
        <w:t>balances, exchanging</w:t>
      </w:r>
      <w:r>
        <w:rPr>
          <w:spacing w:val="-21"/>
        </w:rPr>
        <w:t> </w:t>
      </w:r>
      <w:r>
        <w:rPr/>
        <w:t>fake collaterals and then defaulting, diluting self-imposed rules such as debt ceilings and collateral </w:t>
      </w:r>
      <w:r>
        <w:rPr>
          <w:spacing w:val="-5"/>
        </w:rPr>
        <w:t>re- </w:t>
      </w:r>
      <w:r>
        <w:rPr/>
        <w:t>quirements,</w:t>
      </w:r>
      <w:r>
        <w:rPr>
          <w:spacing w:val="-12"/>
        </w:rPr>
        <w:t> </w:t>
      </w:r>
      <w:r>
        <w:rPr/>
        <w:t>money</w:t>
      </w:r>
      <w:r>
        <w:rPr>
          <w:spacing w:val="-12"/>
        </w:rPr>
        <w:t> </w:t>
      </w:r>
      <w:r>
        <w:rPr/>
        <w:t>printing</w:t>
      </w:r>
      <w:r>
        <w:rPr>
          <w:spacing w:val="-12"/>
        </w:rPr>
        <w:t> </w:t>
      </w:r>
      <w:r>
        <w:rPr/>
        <w:t>through</w:t>
      </w:r>
      <w:r>
        <w:rPr>
          <w:spacing w:val="-12"/>
        </w:rPr>
        <w:t> </w:t>
      </w:r>
      <w:r>
        <w:rPr/>
        <w:t>Emergency</w:t>
      </w:r>
      <w:r>
        <w:rPr>
          <w:spacing w:val="-12"/>
        </w:rPr>
        <w:t> </w:t>
      </w:r>
      <w:r>
        <w:rPr/>
        <w:t>Liquidity</w:t>
      </w:r>
      <w:r>
        <w:rPr>
          <w:spacing w:val="-12"/>
        </w:rPr>
        <w:t> </w:t>
      </w:r>
      <w:r>
        <w:rPr/>
        <w:t>Assistance</w:t>
      </w:r>
      <w:r>
        <w:rPr>
          <w:spacing w:val="-12"/>
        </w:rPr>
        <w:t> </w:t>
      </w:r>
      <w:r>
        <w:rPr/>
        <w:t>(ELA),</w:t>
      </w:r>
      <w:r>
        <w:rPr>
          <w:spacing w:val="-12"/>
        </w:rPr>
        <w:t> </w:t>
      </w:r>
      <w:r>
        <w:rPr/>
        <w:t>acquisitions</w:t>
      </w:r>
      <w:r>
        <w:rPr>
          <w:spacing w:val="-13"/>
        </w:rPr>
        <w:t> </w:t>
      </w:r>
      <w:r>
        <w:rPr/>
        <w:t>through Agreement</w:t>
      </w:r>
      <w:r>
        <w:rPr>
          <w:spacing w:val="-9"/>
        </w:rPr>
        <w:t> </w:t>
      </w:r>
      <w:r>
        <w:rPr/>
        <w:t>on</w:t>
      </w:r>
      <w:r>
        <w:rPr>
          <w:spacing w:val="-8"/>
        </w:rPr>
        <w:t> </w:t>
      </w:r>
      <w:r>
        <w:rPr/>
        <w:t>Net</w:t>
      </w:r>
      <w:r>
        <w:rPr>
          <w:spacing w:val="-9"/>
        </w:rPr>
        <w:t> </w:t>
      </w:r>
      <w:r>
        <w:rPr/>
        <w:t>Financial</w:t>
      </w:r>
      <w:r>
        <w:rPr>
          <w:spacing w:val="-8"/>
        </w:rPr>
        <w:t> </w:t>
      </w:r>
      <w:r>
        <w:rPr/>
        <w:t>Assets</w:t>
      </w:r>
      <w:r>
        <w:rPr>
          <w:spacing w:val="-9"/>
        </w:rPr>
        <w:t> </w:t>
      </w:r>
      <w:r>
        <w:rPr>
          <w:spacing w:val="-3"/>
        </w:rPr>
        <w:t>(ANFA),</w:t>
      </w:r>
      <w:r>
        <w:rPr>
          <w:spacing w:val="-8"/>
        </w:rPr>
        <w:t> </w:t>
      </w:r>
      <w:r>
        <w:rPr/>
        <w:t>and</w:t>
      </w:r>
      <w:r>
        <w:rPr>
          <w:spacing w:val="-8"/>
        </w:rPr>
        <w:t> </w:t>
      </w:r>
      <w:r>
        <w:rPr/>
        <w:t>finally,</w:t>
      </w:r>
      <w:r>
        <w:rPr>
          <w:spacing w:val="-8"/>
        </w:rPr>
        <w:t> </w:t>
      </w:r>
      <w:r>
        <w:rPr/>
        <w:t>the</w:t>
      </w:r>
      <w:r>
        <w:rPr>
          <w:spacing w:val="-8"/>
        </w:rPr>
        <w:t> </w:t>
      </w:r>
      <w:r>
        <w:rPr/>
        <w:t>perpetual</w:t>
      </w:r>
      <w:r>
        <w:rPr>
          <w:spacing w:val="-9"/>
        </w:rPr>
        <w:t> </w:t>
      </w:r>
      <w:r>
        <w:rPr/>
        <w:t>(re)issuing</w:t>
      </w:r>
      <w:r>
        <w:rPr>
          <w:spacing w:val="-8"/>
        </w:rPr>
        <w:t> </w:t>
      </w:r>
      <w:r>
        <w:rPr/>
        <w:t>and</w:t>
      </w:r>
      <w:r>
        <w:rPr>
          <w:spacing w:val="-9"/>
        </w:rPr>
        <w:t> </w:t>
      </w:r>
      <w:r>
        <w:rPr/>
        <w:t>chaining</w:t>
      </w:r>
      <w:r>
        <w:rPr>
          <w:spacing w:val="-8"/>
        </w:rPr>
        <w:t> </w:t>
      </w:r>
      <w:r>
        <w:rPr/>
        <w:t>of sovereign bonds as Eurosystem</w:t>
      </w:r>
      <w:r>
        <w:rPr>
          <w:spacing w:val="-5"/>
        </w:rPr>
        <w:t> </w:t>
      </w:r>
      <w:r>
        <w:rPr/>
        <w:t>collateral.</w:t>
      </w:r>
    </w:p>
    <w:p>
      <w:pPr>
        <w:pStyle w:val="BodyText"/>
        <w:rPr>
          <w:sz w:val="28"/>
        </w:rPr>
      </w:pPr>
    </w:p>
    <w:p>
      <w:pPr>
        <w:pStyle w:val="BodyText"/>
        <w:spacing w:before="10"/>
        <w:rPr>
          <w:sz w:val="29"/>
        </w:rPr>
      </w:pPr>
    </w:p>
    <w:p>
      <w:pPr>
        <w:pStyle w:val="ListParagraph"/>
        <w:numPr>
          <w:ilvl w:val="0"/>
          <w:numId w:val="2"/>
        </w:numPr>
        <w:tabs>
          <w:tab w:pos="562" w:val="left" w:leader="none"/>
          <w:tab w:pos="563" w:val="left" w:leader="none"/>
        </w:tabs>
        <w:spacing w:line="240" w:lineRule="auto" w:before="0" w:after="0"/>
        <w:ind w:left="562" w:right="0" w:hanging="443"/>
        <w:jc w:val="left"/>
        <w:rPr>
          <w:b/>
          <w:sz w:val="22"/>
        </w:rPr>
      </w:pPr>
      <w:bookmarkStart w:name="Strategem 1: Inflate TARGET balances" w:id="7"/>
      <w:bookmarkEnd w:id="7"/>
      <w:r>
        <w:rPr/>
      </w:r>
      <w:bookmarkStart w:name="Strategem 1: Inflate TARGET balances" w:id="8"/>
      <w:bookmarkEnd w:id="8"/>
      <w:r>
        <w:rPr>
          <w:b/>
          <w:spacing w:val="-3"/>
          <w:sz w:val="22"/>
        </w:rPr>
        <w:t>STR</w:t>
      </w:r>
      <w:r>
        <w:rPr>
          <w:b/>
          <w:spacing w:val="-3"/>
          <w:sz w:val="22"/>
        </w:rPr>
        <w:t>ATEGEM </w:t>
      </w:r>
      <w:r>
        <w:rPr>
          <w:b/>
          <w:sz w:val="22"/>
        </w:rPr>
        <w:t>1: </w:t>
      </w:r>
      <w:r>
        <w:rPr>
          <w:b/>
          <w:spacing w:val="-3"/>
          <w:sz w:val="22"/>
        </w:rPr>
        <w:t>INFLATE </w:t>
      </w:r>
      <w:r>
        <w:rPr>
          <w:b/>
          <w:spacing w:val="-4"/>
          <w:sz w:val="22"/>
        </w:rPr>
        <w:t>TARGET</w:t>
      </w:r>
      <w:r>
        <w:rPr>
          <w:b/>
          <w:spacing w:val="13"/>
          <w:sz w:val="22"/>
        </w:rPr>
        <w:t> </w:t>
      </w:r>
      <w:r>
        <w:rPr>
          <w:b/>
          <w:sz w:val="22"/>
        </w:rPr>
        <w:t>BALANCES</w:t>
      </w:r>
    </w:p>
    <w:p>
      <w:pPr>
        <w:pStyle w:val="BodyText"/>
        <w:rPr>
          <w:b/>
          <w:sz w:val="40"/>
        </w:rPr>
      </w:pPr>
    </w:p>
    <w:p>
      <w:pPr>
        <w:spacing w:line="364" w:lineRule="auto" w:before="0"/>
        <w:ind w:left="120" w:right="112" w:firstLine="298"/>
        <w:jc w:val="both"/>
        <w:rPr>
          <w:i/>
          <w:sz w:val="24"/>
        </w:rPr>
      </w:pPr>
      <w:r>
        <w:rPr>
          <w:spacing w:val="-10"/>
          <w:sz w:val="24"/>
        </w:rPr>
        <w:t>To </w:t>
      </w:r>
      <w:r>
        <w:rPr>
          <w:sz w:val="24"/>
        </w:rPr>
        <w:t>quote the European Central </w:t>
      </w:r>
      <w:r>
        <w:rPr>
          <w:spacing w:val="-3"/>
          <w:sz w:val="24"/>
        </w:rPr>
        <w:t>Bank’s (ECB’s) </w:t>
      </w:r>
      <w:r>
        <w:rPr>
          <w:sz w:val="24"/>
        </w:rPr>
        <w:t>own publication on </w:t>
      </w:r>
      <w:r>
        <w:rPr>
          <w:spacing w:val="-4"/>
          <w:sz w:val="24"/>
        </w:rPr>
        <w:t>TARGET </w:t>
      </w:r>
      <w:r>
        <w:rPr>
          <w:sz w:val="24"/>
        </w:rPr>
        <w:t>imbalances </w:t>
      </w:r>
      <w:r>
        <w:rPr>
          <w:spacing w:val="-3"/>
          <w:sz w:val="24"/>
        </w:rPr>
        <w:t>(</w:t>
      </w:r>
      <w:hyperlink w:history="true" w:anchor="_bookmark8">
        <w:r>
          <w:rPr>
            <w:color w:val="BF0000"/>
            <w:spacing w:val="-3"/>
            <w:sz w:val="24"/>
          </w:rPr>
          <w:t>Eu-</w:t>
        </w:r>
      </w:hyperlink>
      <w:r>
        <w:rPr>
          <w:color w:val="BF0000"/>
          <w:spacing w:val="-3"/>
          <w:sz w:val="24"/>
        </w:rPr>
        <w:t> </w:t>
      </w:r>
      <w:hyperlink w:history="true" w:anchor="_bookmark8">
        <w:r>
          <w:rPr>
            <w:color w:val="BF0000"/>
            <w:sz w:val="24"/>
          </w:rPr>
          <w:t>ropean Central Bank</w:t>
        </w:r>
      </w:hyperlink>
      <w:r>
        <w:rPr>
          <w:sz w:val="24"/>
        </w:rPr>
        <w:t>, </w:t>
      </w:r>
      <w:hyperlink w:history="true" w:anchor="_bookmark8">
        <w:r>
          <w:rPr>
            <w:color w:val="BF0000"/>
            <w:sz w:val="24"/>
          </w:rPr>
          <w:t>2015</w:t>
        </w:r>
      </w:hyperlink>
      <w:r>
        <w:rPr>
          <w:sz w:val="24"/>
        </w:rPr>
        <w:t>, Box 4, p. 42): </w:t>
      </w:r>
      <w:r>
        <w:rPr>
          <w:i/>
          <w:sz w:val="24"/>
        </w:rPr>
        <w:t>“TARGET balances </w:t>
      </w:r>
      <w:r>
        <w:rPr>
          <w:i/>
          <w:spacing w:val="-3"/>
          <w:sz w:val="24"/>
        </w:rPr>
        <w:t>are </w:t>
      </w:r>
      <w:r>
        <w:rPr>
          <w:i/>
          <w:sz w:val="24"/>
        </w:rPr>
        <w:t>the net claims and liabilities </w:t>
      </w:r>
      <w:r>
        <w:rPr>
          <w:i/>
          <w:w w:val="99"/>
          <w:sz w:val="24"/>
        </w:rPr>
        <w:t>of</w:t>
      </w:r>
      <w:r>
        <w:rPr>
          <w:i/>
          <w:sz w:val="24"/>
        </w:rPr>
        <w:t> </w:t>
      </w:r>
      <w:r>
        <w:rPr>
          <w:i/>
          <w:w w:val="99"/>
          <w:sz w:val="24"/>
        </w:rPr>
        <w:t>the</w:t>
      </w:r>
      <w:r>
        <w:rPr>
          <w:i/>
          <w:sz w:val="24"/>
        </w:rPr>
        <w:t> </w:t>
      </w:r>
      <w:r>
        <w:rPr>
          <w:i/>
          <w:w w:val="99"/>
          <w:sz w:val="24"/>
        </w:rPr>
        <w:t>eu</w:t>
      </w:r>
      <w:r>
        <w:rPr>
          <w:i/>
          <w:spacing w:val="-11"/>
          <w:w w:val="99"/>
          <w:sz w:val="24"/>
        </w:rPr>
        <w:t>r</w:t>
      </w:r>
      <w:r>
        <w:rPr>
          <w:i/>
          <w:w w:val="99"/>
          <w:sz w:val="24"/>
        </w:rPr>
        <w:t>o</w:t>
      </w:r>
      <w:r>
        <w:rPr>
          <w:i/>
          <w:sz w:val="24"/>
        </w:rPr>
        <w:t> </w:t>
      </w:r>
      <w:r>
        <w:rPr>
          <w:i/>
          <w:w w:val="99"/>
          <w:sz w:val="24"/>
        </w:rPr>
        <w:t>a</w:t>
      </w:r>
      <w:r>
        <w:rPr>
          <w:i/>
          <w:spacing w:val="-9"/>
          <w:w w:val="99"/>
          <w:sz w:val="24"/>
        </w:rPr>
        <w:t>r</w:t>
      </w:r>
      <w:r>
        <w:rPr>
          <w:i/>
          <w:w w:val="99"/>
          <w:sz w:val="24"/>
        </w:rPr>
        <w:t>ea</w:t>
      </w:r>
      <w:r>
        <w:rPr>
          <w:i/>
          <w:sz w:val="24"/>
        </w:rPr>
        <w:t> </w:t>
      </w:r>
      <w:r>
        <w:rPr>
          <w:i/>
          <w:w w:val="99"/>
          <w:sz w:val="24"/>
        </w:rPr>
        <w:t>[[National</w:t>
      </w:r>
      <w:r>
        <w:rPr>
          <w:i/>
          <w:sz w:val="24"/>
        </w:rPr>
        <w:t> </w:t>
      </w:r>
      <w:r>
        <w:rPr>
          <w:i/>
          <w:w w:val="99"/>
          <w:sz w:val="24"/>
        </w:rPr>
        <w:t>Cent</w:t>
      </w:r>
      <w:r>
        <w:rPr>
          <w:i/>
          <w:spacing w:val="-4"/>
          <w:w w:val="99"/>
          <w:sz w:val="24"/>
        </w:rPr>
        <w:t>r</w:t>
      </w:r>
      <w:r>
        <w:rPr>
          <w:i/>
          <w:w w:val="99"/>
          <w:sz w:val="24"/>
        </w:rPr>
        <w:t>al</w:t>
      </w:r>
      <w:r>
        <w:rPr>
          <w:i/>
          <w:sz w:val="24"/>
        </w:rPr>
        <w:t> </w:t>
      </w:r>
      <w:r>
        <w:rPr>
          <w:i/>
          <w:w w:val="99"/>
          <w:sz w:val="24"/>
        </w:rPr>
        <w:t>Banks]]</w:t>
      </w:r>
      <w:r>
        <w:rPr>
          <w:i/>
          <w:sz w:val="24"/>
        </w:rPr>
        <w:t> </w:t>
      </w:r>
      <w:r>
        <w:rPr>
          <w:i/>
          <w:w w:val="99"/>
          <w:sz w:val="24"/>
        </w:rPr>
        <w:t>NCBs</w:t>
      </w:r>
      <w:r>
        <w:rPr>
          <w:i/>
          <w:sz w:val="24"/>
        </w:rPr>
        <w:t> </w:t>
      </w:r>
      <w:r>
        <w:rPr>
          <w:i/>
          <w:w w:val="99"/>
          <w:sz w:val="24"/>
        </w:rPr>
        <w:t>vis-</w:t>
      </w:r>
      <w:r>
        <w:rPr>
          <w:i/>
          <w:spacing w:val="-101"/>
          <w:w w:val="99"/>
          <w:sz w:val="24"/>
        </w:rPr>
        <w:t>a</w:t>
      </w:r>
      <w:r>
        <w:rPr>
          <w:i/>
          <w:spacing w:val="20"/>
          <w:w w:val="99"/>
          <w:sz w:val="24"/>
        </w:rPr>
        <w:t>`</w:t>
      </w:r>
      <w:r>
        <w:rPr>
          <w:i/>
          <w:w w:val="99"/>
          <w:sz w:val="24"/>
        </w:rPr>
        <w:t>-vis</w:t>
      </w:r>
      <w:r>
        <w:rPr>
          <w:i/>
          <w:sz w:val="24"/>
        </w:rPr>
        <w:t> </w:t>
      </w:r>
      <w:r>
        <w:rPr>
          <w:i/>
          <w:w w:val="99"/>
          <w:sz w:val="24"/>
        </w:rPr>
        <w:t>the</w:t>
      </w:r>
      <w:r>
        <w:rPr>
          <w:i/>
          <w:sz w:val="24"/>
        </w:rPr>
        <w:t> </w:t>
      </w:r>
      <w:r>
        <w:rPr>
          <w:i/>
          <w:w w:val="99"/>
          <w:sz w:val="24"/>
        </w:rPr>
        <w:t>ECB</w:t>
      </w:r>
      <w:r>
        <w:rPr>
          <w:i/>
          <w:sz w:val="24"/>
        </w:rPr>
        <w:t> </w:t>
      </w:r>
      <w:r>
        <w:rPr>
          <w:i/>
          <w:w w:val="99"/>
          <w:sz w:val="24"/>
        </w:rPr>
        <w:t>whi</w:t>
      </w:r>
      <w:r>
        <w:rPr>
          <w:i/>
          <w:spacing w:val="-4"/>
          <w:w w:val="99"/>
          <w:sz w:val="24"/>
        </w:rPr>
        <w:t>c</w:t>
      </w:r>
      <w:r>
        <w:rPr>
          <w:i/>
          <w:w w:val="99"/>
          <w:sz w:val="24"/>
        </w:rPr>
        <w:t>h</w:t>
      </w:r>
      <w:r>
        <w:rPr>
          <w:i/>
          <w:sz w:val="24"/>
        </w:rPr>
        <w:t> </w:t>
      </w:r>
      <w:r>
        <w:rPr>
          <w:i/>
          <w:w w:val="99"/>
          <w:sz w:val="24"/>
        </w:rPr>
        <w:t>arise</w:t>
      </w:r>
      <w:r>
        <w:rPr>
          <w:i/>
          <w:sz w:val="24"/>
        </w:rPr>
        <w:t> </w:t>
      </w:r>
      <w:r>
        <w:rPr>
          <w:i/>
          <w:w w:val="99"/>
          <w:sz w:val="24"/>
        </w:rPr>
        <w:t>th</w:t>
      </w:r>
      <w:r>
        <w:rPr>
          <w:i/>
          <w:spacing w:val="-11"/>
          <w:w w:val="99"/>
          <w:sz w:val="24"/>
        </w:rPr>
        <w:t>r</w:t>
      </w:r>
      <w:r>
        <w:rPr>
          <w:i/>
          <w:w w:val="99"/>
          <w:sz w:val="24"/>
        </w:rPr>
        <w:t>ough</w:t>
      </w:r>
      <w:r>
        <w:rPr>
          <w:i/>
          <w:sz w:val="24"/>
        </w:rPr>
        <w:t> </w:t>
      </w:r>
      <w:r>
        <w:rPr>
          <w:i/>
          <w:w w:val="99"/>
          <w:sz w:val="24"/>
        </w:rPr>
        <w:t>c</w:t>
      </w:r>
      <w:r>
        <w:rPr>
          <w:i/>
          <w:spacing w:val="-11"/>
          <w:w w:val="99"/>
          <w:sz w:val="24"/>
        </w:rPr>
        <w:t>r</w:t>
      </w:r>
      <w:r>
        <w:rPr>
          <w:i/>
          <w:w w:val="99"/>
          <w:sz w:val="24"/>
        </w:rPr>
        <w:t>oss- </w:t>
      </w:r>
      <w:r>
        <w:rPr>
          <w:i/>
          <w:sz w:val="24"/>
        </w:rPr>
        <w:t>border payments settled in central bank money of the respective national banking sectors or the NCBs themselves and </w:t>
      </w:r>
      <w:r>
        <w:rPr>
          <w:i/>
          <w:spacing w:val="-3"/>
          <w:sz w:val="24"/>
        </w:rPr>
        <w:t>are </w:t>
      </w:r>
      <w:r>
        <w:rPr>
          <w:i/>
          <w:sz w:val="24"/>
        </w:rPr>
        <w:t>executed via the common </w:t>
      </w:r>
      <w:r>
        <w:rPr>
          <w:i/>
          <w:spacing w:val="-3"/>
          <w:sz w:val="24"/>
        </w:rPr>
        <w:t>euro area </w:t>
      </w:r>
      <w:r>
        <w:rPr>
          <w:i/>
          <w:sz w:val="24"/>
        </w:rPr>
        <w:t>payment platform known as </w:t>
      </w:r>
      <w:r>
        <w:rPr>
          <w:i/>
          <w:spacing w:val="-3"/>
          <w:sz w:val="24"/>
        </w:rPr>
        <w:t>TAR- </w:t>
      </w:r>
      <w:r>
        <w:rPr>
          <w:i/>
          <w:spacing w:val="-5"/>
          <w:sz w:val="24"/>
        </w:rPr>
        <w:t>GET.</w:t>
      </w:r>
    </w:p>
    <w:p>
      <w:pPr>
        <w:spacing w:line="364" w:lineRule="auto" w:before="24"/>
        <w:ind w:left="120" w:right="112" w:firstLine="298"/>
        <w:jc w:val="both"/>
        <w:rPr>
          <w:i/>
          <w:sz w:val="24"/>
        </w:rPr>
      </w:pPr>
      <w:r>
        <w:rPr>
          <w:i/>
          <w:sz w:val="24"/>
        </w:rPr>
        <w:t>When</w:t>
      </w:r>
      <w:r>
        <w:rPr>
          <w:i/>
          <w:spacing w:val="-9"/>
          <w:sz w:val="24"/>
        </w:rPr>
        <w:t> </w:t>
      </w:r>
      <w:r>
        <w:rPr>
          <w:i/>
          <w:sz w:val="24"/>
        </w:rPr>
        <w:t>a</w:t>
      </w:r>
      <w:r>
        <w:rPr>
          <w:i/>
          <w:spacing w:val="-9"/>
          <w:sz w:val="24"/>
        </w:rPr>
        <w:t> </w:t>
      </w:r>
      <w:r>
        <w:rPr>
          <w:i/>
          <w:sz w:val="24"/>
        </w:rPr>
        <w:t>bank</w:t>
      </w:r>
      <w:r>
        <w:rPr>
          <w:i/>
          <w:spacing w:val="-9"/>
          <w:sz w:val="24"/>
        </w:rPr>
        <w:t> </w:t>
      </w:r>
      <w:r>
        <w:rPr>
          <w:i/>
          <w:sz w:val="24"/>
        </w:rPr>
        <w:t>makes</w:t>
      </w:r>
      <w:r>
        <w:rPr>
          <w:i/>
          <w:spacing w:val="-9"/>
          <w:sz w:val="24"/>
        </w:rPr>
        <w:t> </w:t>
      </w:r>
      <w:r>
        <w:rPr>
          <w:i/>
          <w:sz w:val="24"/>
        </w:rPr>
        <w:t>a</w:t>
      </w:r>
      <w:r>
        <w:rPr>
          <w:i/>
          <w:spacing w:val="-10"/>
          <w:sz w:val="24"/>
        </w:rPr>
        <w:t> </w:t>
      </w:r>
      <w:r>
        <w:rPr>
          <w:i/>
          <w:sz w:val="24"/>
        </w:rPr>
        <w:t>payment</w:t>
      </w:r>
      <w:r>
        <w:rPr>
          <w:i/>
          <w:spacing w:val="-9"/>
          <w:sz w:val="24"/>
        </w:rPr>
        <w:t> </w:t>
      </w:r>
      <w:r>
        <w:rPr>
          <w:i/>
          <w:sz w:val="24"/>
        </w:rPr>
        <w:t>to</w:t>
      </w:r>
      <w:r>
        <w:rPr>
          <w:i/>
          <w:spacing w:val="-9"/>
          <w:sz w:val="24"/>
        </w:rPr>
        <w:t> </w:t>
      </w:r>
      <w:r>
        <w:rPr>
          <w:i/>
          <w:sz w:val="24"/>
        </w:rPr>
        <w:t>another</w:t>
      </w:r>
      <w:r>
        <w:rPr>
          <w:i/>
          <w:spacing w:val="-9"/>
          <w:sz w:val="24"/>
        </w:rPr>
        <w:t> </w:t>
      </w:r>
      <w:r>
        <w:rPr>
          <w:i/>
          <w:sz w:val="24"/>
        </w:rPr>
        <w:t>bank</w:t>
      </w:r>
      <w:r>
        <w:rPr>
          <w:i/>
          <w:spacing w:val="-9"/>
          <w:sz w:val="24"/>
        </w:rPr>
        <w:t> </w:t>
      </w:r>
      <w:r>
        <w:rPr>
          <w:i/>
          <w:sz w:val="24"/>
        </w:rPr>
        <w:t>via</w:t>
      </w:r>
      <w:r>
        <w:rPr>
          <w:i/>
          <w:spacing w:val="-9"/>
          <w:sz w:val="24"/>
        </w:rPr>
        <w:t> </w:t>
      </w:r>
      <w:r>
        <w:rPr>
          <w:i/>
          <w:spacing w:val="-5"/>
          <w:sz w:val="24"/>
        </w:rPr>
        <w:t>TARGET,</w:t>
      </w:r>
      <w:r>
        <w:rPr>
          <w:i/>
          <w:spacing w:val="-9"/>
          <w:sz w:val="24"/>
        </w:rPr>
        <w:t> </w:t>
      </w:r>
      <w:r>
        <w:rPr>
          <w:i/>
          <w:sz w:val="24"/>
        </w:rPr>
        <w:t>the</w:t>
      </w:r>
      <w:r>
        <w:rPr>
          <w:i/>
          <w:spacing w:val="-9"/>
          <w:sz w:val="24"/>
        </w:rPr>
        <w:t> </w:t>
      </w:r>
      <w:r>
        <w:rPr>
          <w:i/>
          <w:sz w:val="24"/>
        </w:rPr>
        <w:t>current</w:t>
      </w:r>
      <w:r>
        <w:rPr>
          <w:i/>
          <w:spacing w:val="-9"/>
          <w:sz w:val="24"/>
        </w:rPr>
        <w:t> </w:t>
      </w:r>
      <w:r>
        <w:rPr>
          <w:i/>
          <w:sz w:val="24"/>
        </w:rPr>
        <w:t>account</w:t>
      </w:r>
      <w:r>
        <w:rPr>
          <w:i/>
          <w:spacing w:val="-9"/>
          <w:sz w:val="24"/>
        </w:rPr>
        <w:t> </w:t>
      </w:r>
      <w:r>
        <w:rPr>
          <w:i/>
          <w:sz w:val="24"/>
        </w:rPr>
        <w:t>of</w:t>
      </w:r>
      <w:r>
        <w:rPr>
          <w:i/>
          <w:spacing w:val="-9"/>
          <w:sz w:val="24"/>
        </w:rPr>
        <w:t> </w:t>
      </w:r>
      <w:r>
        <w:rPr>
          <w:i/>
          <w:sz w:val="24"/>
        </w:rPr>
        <w:t>the</w:t>
      </w:r>
      <w:r>
        <w:rPr>
          <w:i/>
          <w:spacing w:val="-9"/>
          <w:sz w:val="24"/>
        </w:rPr>
        <w:t> </w:t>
      </w:r>
      <w:r>
        <w:rPr>
          <w:i/>
          <w:spacing w:val="-4"/>
          <w:sz w:val="24"/>
        </w:rPr>
        <w:t>payer’s </w:t>
      </w:r>
      <w:r>
        <w:rPr>
          <w:i/>
          <w:sz w:val="24"/>
        </w:rPr>
        <w:t>bank at its NCB is debited and the current account of the recipient bank at its NCB is credited. If both</w:t>
      </w:r>
      <w:r>
        <w:rPr>
          <w:i/>
          <w:spacing w:val="6"/>
          <w:sz w:val="24"/>
        </w:rPr>
        <w:t> </w:t>
      </w:r>
      <w:r>
        <w:rPr>
          <w:i/>
          <w:sz w:val="24"/>
        </w:rPr>
        <w:t>banks</w:t>
      </w:r>
      <w:r>
        <w:rPr>
          <w:i/>
          <w:spacing w:val="6"/>
          <w:sz w:val="24"/>
        </w:rPr>
        <w:t> </w:t>
      </w:r>
      <w:r>
        <w:rPr>
          <w:i/>
          <w:sz w:val="24"/>
        </w:rPr>
        <w:t>hold</w:t>
      </w:r>
      <w:r>
        <w:rPr>
          <w:i/>
          <w:spacing w:val="7"/>
          <w:sz w:val="24"/>
        </w:rPr>
        <w:t> </w:t>
      </w:r>
      <w:r>
        <w:rPr>
          <w:i/>
          <w:sz w:val="24"/>
        </w:rPr>
        <w:t>their</w:t>
      </w:r>
      <w:r>
        <w:rPr>
          <w:i/>
          <w:spacing w:val="6"/>
          <w:sz w:val="24"/>
        </w:rPr>
        <w:t> </w:t>
      </w:r>
      <w:r>
        <w:rPr>
          <w:i/>
          <w:sz w:val="24"/>
        </w:rPr>
        <w:t>current</w:t>
      </w:r>
      <w:r>
        <w:rPr>
          <w:i/>
          <w:spacing w:val="6"/>
          <w:sz w:val="24"/>
        </w:rPr>
        <w:t> </w:t>
      </w:r>
      <w:r>
        <w:rPr>
          <w:i/>
          <w:sz w:val="24"/>
        </w:rPr>
        <w:t>accounts</w:t>
      </w:r>
      <w:r>
        <w:rPr>
          <w:i/>
          <w:spacing w:val="7"/>
          <w:sz w:val="24"/>
        </w:rPr>
        <w:t> </w:t>
      </w:r>
      <w:r>
        <w:rPr>
          <w:i/>
          <w:sz w:val="24"/>
        </w:rPr>
        <w:t>at</w:t>
      </w:r>
      <w:r>
        <w:rPr>
          <w:i/>
          <w:spacing w:val="6"/>
          <w:sz w:val="24"/>
        </w:rPr>
        <w:t> </w:t>
      </w:r>
      <w:r>
        <w:rPr>
          <w:i/>
          <w:sz w:val="24"/>
        </w:rPr>
        <w:t>the</w:t>
      </w:r>
      <w:r>
        <w:rPr>
          <w:i/>
          <w:spacing w:val="6"/>
          <w:sz w:val="24"/>
        </w:rPr>
        <w:t> </w:t>
      </w:r>
      <w:r>
        <w:rPr>
          <w:i/>
          <w:sz w:val="24"/>
        </w:rPr>
        <w:t>same</w:t>
      </w:r>
      <w:r>
        <w:rPr>
          <w:i/>
          <w:spacing w:val="7"/>
          <w:sz w:val="24"/>
        </w:rPr>
        <w:t> </w:t>
      </w:r>
      <w:r>
        <w:rPr>
          <w:i/>
          <w:sz w:val="24"/>
        </w:rPr>
        <w:t>NCB</w:t>
      </w:r>
      <w:r>
        <w:rPr>
          <w:i/>
          <w:spacing w:val="6"/>
          <w:sz w:val="24"/>
        </w:rPr>
        <w:t> </w:t>
      </w:r>
      <w:r>
        <w:rPr>
          <w:i/>
          <w:sz w:val="24"/>
        </w:rPr>
        <w:t>there</w:t>
      </w:r>
      <w:r>
        <w:rPr>
          <w:i/>
          <w:spacing w:val="6"/>
          <w:sz w:val="24"/>
        </w:rPr>
        <w:t> </w:t>
      </w:r>
      <w:r>
        <w:rPr>
          <w:i/>
          <w:sz w:val="24"/>
        </w:rPr>
        <w:t>is</w:t>
      </w:r>
      <w:r>
        <w:rPr>
          <w:i/>
          <w:spacing w:val="7"/>
          <w:sz w:val="24"/>
        </w:rPr>
        <w:t> </w:t>
      </w:r>
      <w:r>
        <w:rPr>
          <w:i/>
          <w:sz w:val="24"/>
        </w:rPr>
        <w:t>no</w:t>
      </w:r>
      <w:r>
        <w:rPr>
          <w:i/>
          <w:spacing w:val="6"/>
          <w:sz w:val="24"/>
        </w:rPr>
        <w:t> </w:t>
      </w:r>
      <w:r>
        <w:rPr>
          <w:i/>
          <w:sz w:val="24"/>
        </w:rPr>
        <w:t>net</w:t>
      </w:r>
      <w:r>
        <w:rPr>
          <w:i/>
          <w:spacing w:val="6"/>
          <w:sz w:val="24"/>
        </w:rPr>
        <w:t> </w:t>
      </w:r>
      <w:r>
        <w:rPr>
          <w:i/>
          <w:sz w:val="24"/>
        </w:rPr>
        <w:t>impact</w:t>
      </w:r>
      <w:r>
        <w:rPr>
          <w:i/>
          <w:spacing w:val="7"/>
          <w:sz w:val="24"/>
        </w:rPr>
        <w:t> </w:t>
      </w:r>
      <w:r>
        <w:rPr>
          <w:i/>
          <w:sz w:val="24"/>
        </w:rPr>
        <w:t>on</w:t>
      </w:r>
      <w:r>
        <w:rPr>
          <w:i/>
          <w:spacing w:val="6"/>
          <w:sz w:val="24"/>
        </w:rPr>
        <w:t> </w:t>
      </w:r>
      <w:r>
        <w:rPr>
          <w:i/>
          <w:sz w:val="24"/>
        </w:rPr>
        <w:t>the</w:t>
      </w:r>
      <w:r>
        <w:rPr>
          <w:i/>
          <w:spacing w:val="6"/>
          <w:sz w:val="24"/>
        </w:rPr>
        <w:t> </w:t>
      </w:r>
      <w:r>
        <w:rPr>
          <w:i/>
          <w:spacing w:val="-3"/>
          <w:sz w:val="24"/>
        </w:rPr>
        <w:t>aggregate</w:t>
      </w:r>
    </w:p>
    <w:p>
      <w:pPr>
        <w:spacing w:after="0" w:line="364" w:lineRule="auto"/>
        <w:jc w:val="both"/>
        <w:rPr>
          <w:sz w:val="24"/>
        </w:rPr>
        <w:sectPr>
          <w:pgSz w:w="12240" w:h="15840"/>
          <w:pgMar w:header="0" w:footer="563" w:top="1340" w:bottom="760" w:left="1320" w:right="1360"/>
        </w:sectPr>
      </w:pPr>
    </w:p>
    <w:p>
      <w:pPr>
        <w:spacing w:line="364" w:lineRule="auto" w:before="75"/>
        <w:ind w:left="120" w:right="112" w:firstLine="0"/>
        <w:jc w:val="both"/>
        <w:rPr>
          <w:i/>
          <w:sz w:val="24"/>
        </w:rPr>
      </w:pPr>
      <w:r>
        <w:rPr>
          <w:i/>
          <w:sz w:val="24"/>
        </w:rPr>
        <w:t>account of banks at the NCB and there </w:t>
      </w:r>
      <w:r>
        <w:rPr>
          <w:i/>
          <w:spacing w:val="-3"/>
          <w:sz w:val="24"/>
        </w:rPr>
        <w:t>are </w:t>
      </w:r>
      <w:r>
        <w:rPr>
          <w:i/>
          <w:sz w:val="24"/>
        </w:rPr>
        <w:t>no implications for TARGET balances. </w:t>
      </w:r>
      <w:r>
        <w:rPr>
          <w:i/>
          <w:spacing w:val="-4"/>
          <w:sz w:val="24"/>
        </w:rPr>
        <w:t>However, </w:t>
      </w:r>
      <w:r>
        <w:rPr>
          <w:i/>
          <w:spacing w:val="-7"/>
          <w:sz w:val="24"/>
        </w:rPr>
        <w:t>in </w:t>
      </w:r>
      <w:r>
        <w:rPr>
          <w:i/>
          <w:sz w:val="24"/>
        </w:rPr>
        <w:t>the case of cross-border transactions, the NCB of the paying bank sees a reduction in that banks account at the NCB, and the NCB of the recipient bank sees an increase in the recipient </w:t>
      </w:r>
      <w:r>
        <w:rPr>
          <w:i/>
          <w:spacing w:val="-5"/>
          <w:sz w:val="24"/>
        </w:rPr>
        <w:t>bank’s </w:t>
      </w:r>
      <w:r>
        <w:rPr>
          <w:i/>
          <w:sz w:val="24"/>
        </w:rPr>
        <w:t>account.</w:t>
      </w:r>
      <w:r>
        <w:rPr>
          <w:i/>
          <w:spacing w:val="2"/>
          <w:sz w:val="24"/>
        </w:rPr>
        <w:t> </w:t>
      </w:r>
      <w:r>
        <w:rPr>
          <w:i/>
          <w:sz w:val="24"/>
        </w:rPr>
        <w:t>Such</w:t>
      </w:r>
      <w:r>
        <w:rPr>
          <w:i/>
          <w:spacing w:val="-18"/>
          <w:sz w:val="24"/>
        </w:rPr>
        <w:t> </w:t>
      </w:r>
      <w:r>
        <w:rPr>
          <w:i/>
          <w:sz w:val="24"/>
        </w:rPr>
        <w:t>positions</w:t>
      </w:r>
      <w:r>
        <w:rPr>
          <w:i/>
          <w:spacing w:val="-19"/>
          <w:sz w:val="24"/>
        </w:rPr>
        <w:t> </w:t>
      </w:r>
      <w:r>
        <w:rPr>
          <w:i/>
          <w:spacing w:val="-3"/>
          <w:sz w:val="24"/>
        </w:rPr>
        <w:t>are</w:t>
      </w:r>
      <w:r>
        <w:rPr>
          <w:i/>
          <w:spacing w:val="-18"/>
          <w:sz w:val="24"/>
        </w:rPr>
        <w:t> </w:t>
      </w:r>
      <w:r>
        <w:rPr>
          <w:i/>
          <w:sz w:val="24"/>
        </w:rPr>
        <w:t>balanced</w:t>
      </w:r>
      <w:r>
        <w:rPr>
          <w:i/>
          <w:spacing w:val="-18"/>
          <w:sz w:val="24"/>
        </w:rPr>
        <w:t> </w:t>
      </w:r>
      <w:r>
        <w:rPr>
          <w:i/>
          <w:sz w:val="24"/>
        </w:rPr>
        <w:t>by</w:t>
      </w:r>
      <w:r>
        <w:rPr>
          <w:i/>
          <w:spacing w:val="-19"/>
          <w:sz w:val="24"/>
        </w:rPr>
        <w:t> </w:t>
      </w:r>
      <w:r>
        <w:rPr>
          <w:i/>
          <w:sz w:val="24"/>
        </w:rPr>
        <w:t>a</w:t>
      </w:r>
      <w:r>
        <w:rPr>
          <w:i/>
          <w:spacing w:val="-18"/>
          <w:sz w:val="24"/>
        </w:rPr>
        <w:t> </w:t>
      </w:r>
      <w:r>
        <w:rPr>
          <w:i/>
          <w:sz w:val="24"/>
        </w:rPr>
        <w:t>TARGET</w:t>
      </w:r>
      <w:r>
        <w:rPr>
          <w:i/>
          <w:spacing w:val="-18"/>
          <w:sz w:val="24"/>
        </w:rPr>
        <w:t> </w:t>
      </w:r>
      <w:r>
        <w:rPr>
          <w:i/>
          <w:sz w:val="24"/>
        </w:rPr>
        <w:t>liability</w:t>
      </w:r>
      <w:r>
        <w:rPr>
          <w:i/>
          <w:spacing w:val="-18"/>
          <w:sz w:val="24"/>
        </w:rPr>
        <w:t> </w:t>
      </w:r>
      <w:r>
        <w:rPr>
          <w:i/>
          <w:sz w:val="24"/>
        </w:rPr>
        <w:t>for</w:t>
      </w:r>
      <w:r>
        <w:rPr>
          <w:i/>
          <w:spacing w:val="-19"/>
          <w:sz w:val="24"/>
        </w:rPr>
        <w:t> </w:t>
      </w:r>
      <w:r>
        <w:rPr>
          <w:i/>
          <w:sz w:val="24"/>
        </w:rPr>
        <w:t>the</w:t>
      </w:r>
      <w:r>
        <w:rPr>
          <w:i/>
          <w:spacing w:val="-18"/>
          <w:sz w:val="24"/>
        </w:rPr>
        <w:t> </w:t>
      </w:r>
      <w:r>
        <w:rPr>
          <w:i/>
          <w:sz w:val="24"/>
        </w:rPr>
        <w:t>first</w:t>
      </w:r>
      <w:r>
        <w:rPr>
          <w:i/>
          <w:spacing w:val="-18"/>
          <w:sz w:val="24"/>
        </w:rPr>
        <w:t> </w:t>
      </w:r>
      <w:r>
        <w:rPr>
          <w:i/>
          <w:sz w:val="24"/>
        </w:rPr>
        <w:t>NCB</w:t>
      </w:r>
      <w:r>
        <w:rPr>
          <w:i/>
          <w:spacing w:val="-19"/>
          <w:sz w:val="24"/>
        </w:rPr>
        <w:t> </w:t>
      </w:r>
      <w:r>
        <w:rPr>
          <w:i/>
          <w:sz w:val="24"/>
        </w:rPr>
        <w:t>and</w:t>
      </w:r>
      <w:r>
        <w:rPr>
          <w:i/>
          <w:spacing w:val="-18"/>
          <w:sz w:val="24"/>
        </w:rPr>
        <w:t> </w:t>
      </w:r>
      <w:r>
        <w:rPr>
          <w:i/>
          <w:sz w:val="24"/>
        </w:rPr>
        <w:t>a</w:t>
      </w:r>
      <w:r>
        <w:rPr>
          <w:i/>
          <w:spacing w:val="-18"/>
          <w:sz w:val="24"/>
        </w:rPr>
        <w:t> </w:t>
      </w:r>
      <w:r>
        <w:rPr>
          <w:i/>
          <w:sz w:val="24"/>
        </w:rPr>
        <w:t>TARGET</w:t>
      </w:r>
      <w:r>
        <w:rPr>
          <w:i/>
          <w:spacing w:val="-19"/>
          <w:sz w:val="24"/>
        </w:rPr>
        <w:t> </w:t>
      </w:r>
      <w:r>
        <w:rPr>
          <w:i/>
          <w:spacing w:val="-3"/>
          <w:sz w:val="24"/>
        </w:rPr>
        <w:t>claim </w:t>
      </w:r>
      <w:r>
        <w:rPr>
          <w:i/>
          <w:sz w:val="24"/>
        </w:rPr>
        <w:t>for the second NCB. TARGET liabilities and claims also result </w:t>
      </w:r>
      <w:r>
        <w:rPr>
          <w:i/>
          <w:spacing w:val="-3"/>
          <w:sz w:val="24"/>
        </w:rPr>
        <w:t>from </w:t>
      </w:r>
      <w:r>
        <w:rPr>
          <w:i/>
          <w:sz w:val="24"/>
        </w:rPr>
        <w:t>cross-border transactions</w:t>
      </w:r>
      <w:r>
        <w:rPr>
          <w:i/>
          <w:spacing w:val="-43"/>
          <w:sz w:val="24"/>
        </w:rPr>
        <w:t> </w:t>
      </w:r>
      <w:r>
        <w:rPr>
          <w:i/>
          <w:sz w:val="24"/>
        </w:rPr>
        <w:t>by NCBs themselves, such as the purchase or sale of securities held for investment purposes.  </w:t>
      </w:r>
      <w:r>
        <w:rPr>
          <w:i/>
          <w:spacing w:val="-6"/>
          <w:sz w:val="24"/>
        </w:rPr>
        <w:t>At  </w:t>
      </w:r>
      <w:r>
        <w:rPr>
          <w:i/>
          <w:sz w:val="24"/>
        </w:rPr>
        <w:t>the end of each </w:t>
      </w:r>
      <w:r>
        <w:rPr>
          <w:i/>
          <w:spacing w:val="-4"/>
          <w:sz w:val="24"/>
        </w:rPr>
        <w:t>day, </w:t>
      </w:r>
      <w:r>
        <w:rPr>
          <w:i/>
          <w:sz w:val="24"/>
        </w:rPr>
        <w:t>such intra-Eurosystem claims and liabilities </w:t>
      </w:r>
      <w:r>
        <w:rPr>
          <w:i/>
          <w:spacing w:val="-3"/>
          <w:sz w:val="24"/>
        </w:rPr>
        <w:t>are aggregated </w:t>
      </w:r>
      <w:r>
        <w:rPr>
          <w:i/>
          <w:sz w:val="24"/>
        </w:rPr>
        <w:t>and netted out </w:t>
      </w:r>
      <w:r>
        <w:rPr>
          <w:i/>
          <w:w w:val="99"/>
          <w:sz w:val="24"/>
        </w:rPr>
        <w:t>th</w:t>
      </w:r>
      <w:r>
        <w:rPr>
          <w:i/>
          <w:spacing w:val="-11"/>
          <w:w w:val="99"/>
          <w:sz w:val="24"/>
        </w:rPr>
        <w:t>r</w:t>
      </w:r>
      <w:r>
        <w:rPr>
          <w:i/>
          <w:w w:val="99"/>
          <w:sz w:val="24"/>
        </w:rPr>
        <w:t>oughout</w:t>
      </w:r>
      <w:r>
        <w:rPr>
          <w:i/>
          <w:spacing w:val="-4"/>
          <w:sz w:val="24"/>
        </w:rPr>
        <w:t> </w:t>
      </w:r>
      <w:r>
        <w:rPr>
          <w:i/>
          <w:w w:val="99"/>
          <w:sz w:val="24"/>
        </w:rPr>
        <w:t>the</w:t>
      </w:r>
      <w:r>
        <w:rPr>
          <w:i/>
          <w:spacing w:val="-4"/>
          <w:sz w:val="24"/>
        </w:rPr>
        <w:t> </w:t>
      </w:r>
      <w:r>
        <w:rPr>
          <w:i/>
          <w:w w:val="99"/>
          <w:sz w:val="24"/>
        </w:rPr>
        <w:t>Eu</w:t>
      </w:r>
      <w:r>
        <w:rPr>
          <w:i/>
          <w:spacing w:val="-11"/>
          <w:w w:val="99"/>
          <w:sz w:val="24"/>
        </w:rPr>
        <w:t>r</w:t>
      </w:r>
      <w:r>
        <w:rPr>
          <w:i/>
          <w:w w:val="99"/>
          <w:sz w:val="24"/>
        </w:rPr>
        <w:t>o</w:t>
      </w:r>
      <w:r>
        <w:rPr>
          <w:i/>
          <w:spacing w:val="-1"/>
          <w:w w:val="99"/>
          <w:sz w:val="24"/>
        </w:rPr>
        <w:t>s</w:t>
      </w:r>
      <w:r>
        <w:rPr>
          <w:i/>
          <w:w w:val="99"/>
          <w:sz w:val="24"/>
        </w:rPr>
        <w:t>ystem.</w:t>
      </w:r>
      <w:r>
        <w:rPr>
          <w:i/>
          <w:spacing w:val="13"/>
          <w:sz w:val="24"/>
        </w:rPr>
        <w:t> </w:t>
      </w:r>
      <w:r>
        <w:rPr>
          <w:i/>
          <w:w w:val="99"/>
          <w:sz w:val="24"/>
        </w:rPr>
        <w:t>This</w:t>
      </w:r>
      <w:r>
        <w:rPr>
          <w:i/>
          <w:spacing w:val="-4"/>
          <w:sz w:val="24"/>
        </w:rPr>
        <w:t> </w:t>
      </w:r>
      <w:r>
        <w:rPr>
          <w:i/>
          <w:w w:val="99"/>
          <w:sz w:val="24"/>
        </w:rPr>
        <w:t>leaves</w:t>
      </w:r>
      <w:r>
        <w:rPr>
          <w:i/>
          <w:spacing w:val="-4"/>
          <w:sz w:val="24"/>
        </w:rPr>
        <w:t> </w:t>
      </w:r>
      <w:r>
        <w:rPr>
          <w:i/>
          <w:w w:val="99"/>
          <w:sz w:val="24"/>
        </w:rPr>
        <w:t>ea</w:t>
      </w:r>
      <w:r>
        <w:rPr>
          <w:i/>
          <w:spacing w:val="-4"/>
          <w:w w:val="99"/>
          <w:sz w:val="24"/>
        </w:rPr>
        <w:t>c</w:t>
      </w:r>
      <w:r>
        <w:rPr>
          <w:i/>
          <w:w w:val="99"/>
          <w:sz w:val="24"/>
        </w:rPr>
        <w:t>h</w:t>
      </w:r>
      <w:r>
        <w:rPr>
          <w:i/>
          <w:spacing w:val="-4"/>
          <w:sz w:val="24"/>
        </w:rPr>
        <w:t> </w:t>
      </w:r>
      <w:r>
        <w:rPr>
          <w:i/>
          <w:w w:val="99"/>
          <w:sz w:val="24"/>
        </w:rPr>
        <w:t>NCB</w:t>
      </w:r>
      <w:r>
        <w:rPr>
          <w:i/>
          <w:spacing w:val="-4"/>
          <w:sz w:val="24"/>
        </w:rPr>
        <w:t> </w:t>
      </w:r>
      <w:r>
        <w:rPr>
          <w:i/>
          <w:w w:val="99"/>
          <w:sz w:val="24"/>
        </w:rPr>
        <w:t>with</w:t>
      </w:r>
      <w:r>
        <w:rPr>
          <w:i/>
          <w:spacing w:val="-4"/>
          <w:sz w:val="24"/>
        </w:rPr>
        <w:t> </w:t>
      </w:r>
      <w:r>
        <w:rPr>
          <w:i/>
          <w:w w:val="99"/>
          <w:sz w:val="24"/>
        </w:rPr>
        <w:t>a</w:t>
      </w:r>
      <w:r>
        <w:rPr>
          <w:i/>
          <w:spacing w:val="-4"/>
          <w:sz w:val="24"/>
        </w:rPr>
        <w:t> </w:t>
      </w:r>
      <w:r>
        <w:rPr>
          <w:i/>
          <w:w w:val="99"/>
          <w:sz w:val="24"/>
        </w:rPr>
        <w:t>single</w:t>
      </w:r>
      <w:r>
        <w:rPr>
          <w:i/>
          <w:spacing w:val="-4"/>
          <w:sz w:val="24"/>
        </w:rPr>
        <w:t> </w:t>
      </w:r>
      <w:r>
        <w:rPr>
          <w:i/>
          <w:w w:val="99"/>
          <w:sz w:val="24"/>
        </w:rPr>
        <w:t>net</w:t>
      </w:r>
      <w:r>
        <w:rPr>
          <w:i/>
          <w:spacing w:val="-4"/>
          <w:sz w:val="24"/>
        </w:rPr>
        <w:t> </w:t>
      </w:r>
      <w:r>
        <w:rPr>
          <w:i/>
          <w:w w:val="99"/>
          <w:sz w:val="24"/>
        </w:rPr>
        <w:t>bilate</w:t>
      </w:r>
      <w:r>
        <w:rPr>
          <w:i/>
          <w:spacing w:val="-4"/>
          <w:w w:val="99"/>
          <w:sz w:val="24"/>
        </w:rPr>
        <w:t>r</w:t>
      </w:r>
      <w:r>
        <w:rPr>
          <w:i/>
          <w:w w:val="99"/>
          <w:sz w:val="24"/>
        </w:rPr>
        <w:t>al</w:t>
      </w:r>
      <w:r>
        <w:rPr>
          <w:i/>
          <w:spacing w:val="-4"/>
          <w:sz w:val="24"/>
        </w:rPr>
        <w:t> </w:t>
      </w:r>
      <w:r>
        <w:rPr>
          <w:i/>
          <w:w w:val="99"/>
          <w:sz w:val="24"/>
        </w:rPr>
        <w:t>po</w:t>
      </w:r>
      <w:r>
        <w:rPr>
          <w:i/>
          <w:spacing w:val="-1"/>
          <w:w w:val="99"/>
          <w:sz w:val="24"/>
        </w:rPr>
        <w:t>s</w:t>
      </w:r>
      <w:r>
        <w:rPr>
          <w:i/>
          <w:w w:val="99"/>
          <w:sz w:val="24"/>
        </w:rPr>
        <w:t>ition</w:t>
      </w:r>
      <w:r>
        <w:rPr>
          <w:i/>
          <w:spacing w:val="-4"/>
          <w:sz w:val="24"/>
        </w:rPr>
        <w:t> </w:t>
      </w:r>
      <w:r>
        <w:rPr>
          <w:i/>
          <w:w w:val="99"/>
          <w:sz w:val="24"/>
        </w:rPr>
        <w:t>vis-</w:t>
      </w:r>
      <w:r>
        <w:rPr>
          <w:i/>
          <w:spacing w:val="-101"/>
          <w:w w:val="99"/>
          <w:sz w:val="24"/>
        </w:rPr>
        <w:t>a</w:t>
      </w:r>
      <w:r>
        <w:rPr>
          <w:i/>
          <w:spacing w:val="20"/>
          <w:w w:val="99"/>
          <w:sz w:val="24"/>
        </w:rPr>
        <w:t>`</w:t>
      </w:r>
      <w:r>
        <w:rPr>
          <w:i/>
          <w:w w:val="99"/>
          <w:sz w:val="24"/>
        </w:rPr>
        <w:t>-vis</w:t>
      </w:r>
      <w:r>
        <w:rPr>
          <w:i/>
          <w:spacing w:val="-4"/>
          <w:sz w:val="24"/>
        </w:rPr>
        <w:t> </w:t>
      </w:r>
      <w:r>
        <w:rPr>
          <w:i/>
          <w:w w:val="99"/>
          <w:sz w:val="24"/>
        </w:rPr>
        <w:t>the </w:t>
      </w:r>
      <w:r>
        <w:rPr>
          <w:i/>
          <w:sz w:val="24"/>
        </w:rPr>
        <w:t>ECB,</w:t>
      </w:r>
      <w:r>
        <w:rPr>
          <w:i/>
          <w:spacing w:val="-7"/>
          <w:sz w:val="24"/>
        </w:rPr>
        <w:t> </w:t>
      </w:r>
      <w:r>
        <w:rPr>
          <w:i/>
          <w:sz w:val="24"/>
        </w:rPr>
        <w:t>in</w:t>
      </w:r>
      <w:r>
        <w:rPr>
          <w:i/>
          <w:spacing w:val="-7"/>
          <w:sz w:val="24"/>
        </w:rPr>
        <w:t> </w:t>
      </w:r>
      <w:r>
        <w:rPr>
          <w:i/>
          <w:sz w:val="24"/>
        </w:rPr>
        <w:t>the</w:t>
      </w:r>
      <w:r>
        <w:rPr>
          <w:i/>
          <w:spacing w:val="-7"/>
          <w:sz w:val="24"/>
        </w:rPr>
        <w:t> </w:t>
      </w:r>
      <w:r>
        <w:rPr>
          <w:i/>
          <w:sz w:val="24"/>
        </w:rPr>
        <w:t>form</w:t>
      </w:r>
      <w:r>
        <w:rPr>
          <w:i/>
          <w:spacing w:val="-7"/>
          <w:sz w:val="24"/>
        </w:rPr>
        <w:t> </w:t>
      </w:r>
      <w:r>
        <w:rPr>
          <w:i/>
          <w:sz w:val="24"/>
        </w:rPr>
        <w:t>of</w:t>
      </w:r>
      <w:r>
        <w:rPr>
          <w:i/>
          <w:spacing w:val="-7"/>
          <w:sz w:val="24"/>
        </w:rPr>
        <w:t> </w:t>
      </w:r>
      <w:r>
        <w:rPr>
          <w:i/>
          <w:sz w:val="24"/>
        </w:rPr>
        <w:t>a</w:t>
      </w:r>
      <w:r>
        <w:rPr>
          <w:i/>
          <w:spacing w:val="-7"/>
          <w:sz w:val="24"/>
        </w:rPr>
        <w:t> </w:t>
      </w:r>
      <w:r>
        <w:rPr>
          <w:i/>
          <w:sz w:val="24"/>
        </w:rPr>
        <w:t>positive</w:t>
      </w:r>
      <w:r>
        <w:rPr>
          <w:i/>
          <w:spacing w:val="-6"/>
          <w:sz w:val="24"/>
        </w:rPr>
        <w:t> </w:t>
      </w:r>
      <w:r>
        <w:rPr>
          <w:i/>
          <w:sz w:val="24"/>
        </w:rPr>
        <w:t>or</w:t>
      </w:r>
      <w:r>
        <w:rPr>
          <w:i/>
          <w:spacing w:val="-7"/>
          <w:sz w:val="24"/>
        </w:rPr>
        <w:t> </w:t>
      </w:r>
      <w:r>
        <w:rPr>
          <w:i/>
          <w:sz w:val="24"/>
        </w:rPr>
        <w:t>negative</w:t>
      </w:r>
      <w:r>
        <w:rPr>
          <w:i/>
          <w:spacing w:val="-7"/>
          <w:sz w:val="24"/>
        </w:rPr>
        <w:t> </w:t>
      </w:r>
      <w:r>
        <w:rPr>
          <w:i/>
          <w:sz w:val="24"/>
        </w:rPr>
        <w:t>TARGET</w:t>
      </w:r>
      <w:r>
        <w:rPr>
          <w:i/>
          <w:spacing w:val="-7"/>
          <w:sz w:val="24"/>
        </w:rPr>
        <w:t> </w:t>
      </w:r>
      <w:r>
        <w:rPr>
          <w:i/>
          <w:sz w:val="24"/>
        </w:rPr>
        <w:t>balance.</w:t>
      </w:r>
      <w:r>
        <w:rPr>
          <w:i/>
          <w:spacing w:val="7"/>
          <w:sz w:val="24"/>
        </w:rPr>
        <w:t> </w:t>
      </w:r>
      <w:r>
        <w:rPr>
          <w:i/>
          <w:sz w:val="24"/>
        </w:rPr>
        <w:t>By</w:t>
      </w:r>
      <w:r>
        <w:rPr>
          <w:i/>
          <w:spacing w:val="-7"/>
          <w:sz w:val="24"/>
        </w:rPr>
        <w:t> </w:t>
      </w:r>
      <w:r>
        <w:rPr>
          <w:i/>
          <w:sz w:val="24"/>
        </w:rPr>
        <w:t>design,</w:t>
      </w:r>
      <w:r>
        <w:rPr>
          <w:i/>
          <w:spacing w:val="-7"/>
          <w:sz w:val="24"/>
        </w:rPr>
        <w:t> </w:t>
      </w:r>
      <w:r>
        <w:rPr>
          <w:i/>
          <w:sz w:val="24"/>
        </w:rPr>
        <w:t>all</w:t>
      </w:r>
      <w:r>
        <w:rPr>
          <w:i/>
          <w:spacing w:val="-6"/>
          <w:sz w:val="24"/>
        </w:rPr>
        <w:t> </w:t>
      </w:r>
      <w:r>
        <w:rPr>
          <w:i/>
          <w:sz w:val="24"/>
        </w:rPr>
        <w:t>the</w:t>
      </w:r>
      <w:r>
        <w:rPr>
          <w:i/>
          <w:spacing w:val="-7"/>
          <w:sz w:val="24"/>
        </w:rPr>
        <w:t> </w:t>
      </w:r>
      <w:r>
        <w:rPr>
          <w:i/>
          <w:sz w:val="24"/>
        </w:rPr>
        <w:t>TARGET</w:t>
      </w:r>
      <w:r>
        <w:rPr>
          <w:i/>
          <w:spacing w:val="-7"/>
          <w:sz w:val="24"/>
        </w:rPr>
        <w:t> </w:t>
      </w:r>
      <w:r>
        <w:rPr>
          <w:i/>
          <w:sz w:val="24"/>
        </w:rPr>
        <w:t>balances (including the ECB’s balance) add up to</w:t>
      </w:r>
      <w:r>
        <w:rPr>
          <w:i/>
          <w:spacing w:val="-9"/>
          <w:sz w:val="24"/>
        </w:rPr>
        <w:t> </w:t>
      </w:r>
      <w:r>
        <w:rPr>
          <w:i/>
          <w:spacing w:val="-8"/>
          <w:sz w:val="24"/>
        </w:rPr>
        <w:t>zero.”</w:t>
      </w:r>
    </w:p>
    <w:p>
      <w:pPr>
        <w:pStyle w:val="BodyText"/>
        <w:spacing w:line="364" w:lineRule="auto" w:before="19"/>
        <w:ind w:left="120" w:right="112" w:firstLine="298"/>
        <w:jc w:val="both"/>
      </w:pPr>
      <w:r>
        <w:rPr/>
        <w:t>Essentially, </w:t>
      </w:r>
      <w:r>
        <w:rPr>
          <w:spacing w:val="-4"/>
        </w:rPr>
        <w:t>TARGET </w:t>
      </w:r>
      <w:r>
        <w:rPr/>
        <w:t>imbalances function as an automatic credit facility among the Eurosys- </w:t>
      </w:r>
      <w:r>
        <w:rPr>
          <w:spacing w:val="-3"/>
        </w:rPr>
        <w:t>tem’s</w:t>
      </w:r>
      <w:r>
        <w:rPr>
          <w:spacing w:val="-9"/>
        </w:rPr>
        <w:t> </w:t>
      </w:r>
      <w:r>
        <w:rPr/>
        <w:t>national</w:t>
      </w:r>
      <w:r>
        <w:rPr>
          <w:spacing w:val="-8"/>
        </w:rPr>
        <w:t> </w:t>
      </w:r>
      <w:r>
        <w:rPr/>
        <w:t>central</w:t>
      </w:r>
      <w:r>
        <w:rPr>
          <w:spacing w:val="-8"/>
        </w:rPr>
        <w:t> </w:t>
      </w:r>
      <w:r>
        <w:rPr/>
        <w:t>banks</w:t>
      </w:r>
      <w:r>
        <w:rPr>
          <w:spacing w:val="-9"/>
        </w:rPr>
        <w:t> </w:t>
      </w:r>
      <w:r>
        <w:rPr/>
        <w:t>(NCBs),</w:t>
      </w:r>
      <w:r>
        <w:rPr>
          <w:spacing w:val="-7"/>
        </w:rPr>
        <w:t> </w:t>
      </w:r>
      <w:r>
        <w:rPr/>
        <w:t>distinguished</w:t>
      </w:r>
      <w:r>
        <w:rPr>
          <w:spacing w:val="-8"/>
        </w:rPr>
        <w:t> </w:t>
      </w:r>
      <w:r>
        <w:rPr/>
        <w:t>by</w:t>
      </w:r>
      <w:r>
        <w:rPr>
          <w:spacing w:val="-9"/>
        </w:rPr>
        <w:t> </w:t>
      </w:r>
      <w:r>
        <w:rPr/>
        <w:t>the</w:t>
      </w:r>
      <w:r>
        <w:rPr>
          <w:spacing w:val="-8"/>
        </w:rPr>
        <w:t> </w:t>
      </w:r>
      <w:r>
        <w:rPr/>
        <w:t>following</w:t>
      </w:r>
      <w:r>
        <w:rPr>
          <w:spacing w:val="-8"/>
        </w:rPr>
        <w:t> </w:t>
      </w:r>
      <w:r>
        <w:rPr/>
        <w:t>features</w:t>
      </w:r>
      <w:r>
        <w:rPr>
          <w:spacing w:val="-9"/>
        </w:rPr>
        <w:t> </w:t>
      </w:r>
      <w:r>
        <w:rPr/>
        <w:t>(</w:t>
      </w:r>
      <w:hyperlink w:history="true" w:anchor="_bookmark4">
        <w:r>
          <w:rPr>
            <w:color w:val="BF0000"/>
          </w:rPr>
          <w:t>Blake</w:t>
        </w:r>
      </w:hyperlink>
      <w:r>
        <w:rPr/>
        <w:t>,</w:t>
      </w:r>
      <w:r>
        <w:rPr>
          <w:spacing w:val="-8"/>
        </w:rPr>
        <w:t> </w:t>
      </w:r>
      <w:hyperlink w:history="true" w:anchor="_bookmark4">
        <w:r>
          <w:rPr>
            <w:color w:val="BF0000"/>
          </w:rPr>
          <w:t>2023</w:t>
        </w:r>
      </w:hyperlink>
      <w:r>
        <w:rPr/>
        <w:t>;</w:t>
      </w:r>
      <w:r>
        <w:rPr>
          <w:spacing w:val="-8"/>
        </w:rPr>
        <w:t> </w:t>
      </w:r>
      <w:hyperlink w:history="true" w:anchor="_bookmark21">
        <w:r>
          <w:rPr>
            <w:color w:val="BF0000"/>
          </w:rPr>
          <w:t>Ojeda</w:t>
        </w:r>
      </w:hyperlink>
      <w:r>
        <w:rPr/>
        <w:t>, </w:t>
      </w:r>
      <w:hyperlink w:history="true" w:anchor="_bookmark21">
        <w:r>
          <w:rPr>
            <w:color w:val="BF0000"/>
            <w:w w:val="99"/>
          </w:rPr>
          <w:t>2024</w:t>
        </w:r>
      </w:hyperlink>
      <w:r>
        <w:rPr>
          <w:w w:val="99"/>
        </w:rPr>
        <w:t>;</w:t>
      </w:r>
      <w:r>
        <w:rPr>
          <w:spacing w:val="2"/>
        </w:rPr>
        <w:t> </w:t>
      </w:r>
      <w:hyperlink w:history="true" w:anchor="_bookmark22">
        <w:r>
          <w:rPr>
            <w:color w:val="BF0000"/>
            <w:w w:val="99"/>
          </w:rPr>
          <w:t>Perotti</w:t>
        </w:r>
      </w:hyperlink>
      <w:r>
        <w:rPr>
          <w:w w:val="99"/>
        </w:rPr>
        <w:t>,</w:t>
      </w:r>
      <w:r>
        <w:rPr>
          <w:spacing w:val="2"/>
        </w:rPr>
        <w:t> </w:t>
      </w:r>
      <w:hyperlink w:history="true" w:anchor="_bookmark22">
        <w:r>
          <w:rPr>
            <w:color w:val="BF0000"/>
            <w:w w:val="99"/>
          </w:rPr>
          <w:t>2024</w:t>
        </w:r>
      </w:hyperlink>
      <w:r>
        <w:rPr>
          <w:w w:val="99"/>
        </w:rPr>
        <w:t>;</w:t>
      </w:r>
      <w:r>
        <w:rPr>
          <w:spacing w:val="2"/>
        </w:rPr>
        <w:t> </w:t>
      </w:r>
      <w:hyperlink w:history="true" w:anchor="_bookmark27">
        <w:r>
          <w:rPr>
            <w:color w:val="BF0000"/>
            <w:w w:val="99"/>
          </w:rPr>
          <w:t>Sinn</w:t>
        </w:r>
      </w:hyperlink>
      <w:r>
        <w:rPr>
          <w:w w:val="99"/>
        </w:rPr>
        <w:t>,</w:t>
      </w:r>
      <w:r>
        <w:rPr>
          <w:spacing w:val="2"/>
        </w:rPr>
        <w:t> </w:t>
      </w:r>
      <w:hyperlink w:history="true" w:anchor="_bookmark27">
        <w:r>
          <w:rPr>
            <w:color w:val="BF0000"/>
            <w:w w:val="99"/>
          </w:rPr>
          <w:t>2017</w:t>
        </w:r>
      </w:hyperlink>
      <w:r>
        <w:rPr>
          <w:w w:val="99"/>
        </w:rPr>
        <w:t>,</w:t>
      </w:r>
      <w:r>
        <w:rPr>
          <w:spacing w:val="2"/>
        </w:rPr>
        <w:t> </w:t>
      </w:r>
      <w:hyperlink w:history="true" w:anchor="_bookmark28">
        <w:r>
          <w:rPr>
            <w:color w:val="BF0000"/>
            <w:w w:val="99"/>
          </w:rPr>
          <w:t>2020</w:t>
        </w:r>
      </w:hyperlink>
      <w:r>
        <w:rPr>
          <w:w w:val="99"/>
        </w:rPr>
        <w:t>;</w:t>
      </w:r>
      <w:r>
        <w:rPr>
          <w:spacing w:val="2"/>
        </w:rPr>
        <w:t> </w:t>
      </w:r>
      <w:hyperlink w:history="true" w:anchor="_bookmark29">
        <w:r>
          <w:rPr>
            <w:color w:val="BF0000"/>
            <w:w w:val="99"/>
          </w:rPr>
          <w:t>Sinn</w:t>
        </w:r>
        <w:r>
          <w:rPr>
            <w:color w:val="BF0000"/>
            <w:spacing w:val="2"/>
          </w:rPr>
          <w:t> </w:t>
        </w:r>
        <w:r>
          <w:rPr>
            <w:color w:val="BF0000"/>
            <w:w w:val="99"/>
          </w:rPr>
          <w:t>and</w:t>
        </w:r>
        <w:r>
          <w:rPr>
            <w:color w:val="BF0000"/>
            <w:spacing w:val="2"/>
          </w:rPr>
          <w:t> </w:t>
        </w:r>
        <w:r>
          <w:rPr>
            <w:color w:val="BF0000"/>
            <w:spacing w:val="-20"/>
            <w:w w:val="99"/>
          </w:rPr>
          <w:t>W</w:t>
        </w:r>
        <w:r>
          <w:rPr>
            <w:color w:val="BF0000"/>
            <w:w w:val="99"/>
          </w:rPr>
          <w:t>ollmers</w:t>
        </w:r>
        <w:r>
          <w:rPr>
            <w:color w:val="BF0000"/>
            <w:spacing w:val="-1"/>
            <w:w w:val="99"/>
          </w:rPr>
          <w:t>h</w:t>
        </w:r>
        <w:r>
          <w:rPr>
            <w:color w:val="BF0000"/>
            <w:spacing w:val="-93"/>
            <w:w w:val="99"/>
          </w:rPr>
          <w:t>a</w:t>
        </w:r>
        <w:r>
          <w:rPr>
            <w:color w:val="BF0000"/>
            <w:spacing w:val="13"/>
            <w:w w:val="99"/>
          </w:rPr>
          <w:t>¨</w:t>
        </w:r>
        <w:r>
          <w:rPr>
            <w:color w:val="BF0000"/>
            <w:w w:val="99"/>
          </w:rPr>
          <w:t>user</w:t>
        </w:r>
      </w:hyperlink>
      <w:r>
        <w:rPr>
          <w:w w:val="99"/>
        </w:rPr>
        <w:t>,</w:t>
      </w:r>
      <w:r>
        <w:rPr>
          <w:spacing w:val="2"/>
        </w:rPr>
        <w:t> </w:t>
      </w:r>
      <w:hyperlink w:history="true" w:anchor="_bookmark29">
        <w:r>
          <w:rPr>
            <w:color w:val="BF0000"/>
            <w:w w:val="99"/>
          </w:rPr>
          <w:t>2012</w:t>
        </w:r>
      </w:hyperlink>
      <w:r>
        <w:rPr>
          <w:w w:val="99"/>
        </w:rPr>
        <w:t>):</w:t>
      </w:r>
      <w:r>
        <w:rPr>
          <w:spacing w:val="19"/>
        </w:rPr>
        <w:t> </w:t>
      </w:r>
      <w:r>
        <w:rPr>
          <w:w w:val="99"/>
        </w:rPr>
        <w:t>(i)</w:t>
      </w:r>
      <w:r>
        <w:rPr>
          <w:spacing w:val="2"/>
        </w:rPr>
        <w:t> </w:t>
      </w:r>
      <w:r>
        <w:rPr>
          <w:w w:val="99"/>
        </w:rPr>
        <w:t>no</w:t>
      </w:r>
      <w:r>
        <w:rPr>
          <w:spacing w:val="2"/>
        </w:rPr>
        <w:t> </w:t>
      </w:r>
      <w:r>
        <w:rPr>
          <w:w w:val="99"/>
        </w:rPr>
        <w:t>collateral</w:t>
      </w:r>
      <w:r>
        <w:rPr>
          <w:spacing w:val="2"/>
        </w:rPr>
        <w:t> </w:t>
      </w:r>
      <w:r>
        <w:rPr>
          <w:w w:val="99"/>
        </w:rPr>
        <w:t>require- </w:t>
      </w:r>
      <w:r>
        <w:rPr/>
        <w:t>ments, (ii) zero interest rates, (iii) no need for approval from any authority such as the </w:t>
      </w:r>
      <w:r>
        <w:rPr>
          <w:spacing w:val="-3"/>
        </w:rPr>
        <w:t>ECB’s </w:t>
      </w:r>
      <w:r>
        <w:rPr/>
        <w:t>Governing Council or the Executive Board, (iv) unlimited duration, unlike the US Federal </w:t>
      </w:r>
      <w:r>
        <w:rPr>
          <w:spacing w:val="-4"/>
        </w:rPr>
        <w:t>Re-</w:t>
      </w:r>
      <w:r>
        <w:rPr>
          <w:spacing w:val="52"/>
        </w:rPr>
        <w:t> </w:t>
      </w:r>
      <w:r>
        <w:rPr/>
        <w:t>serve System’s Interdistrict Settlement Accounts, which require an annual settlement through </w:t>
      </w:r>
      <w:r>
        <w:rPr>
          <w:spacing w:val="-4"/>
        </w:rPr>
        <w:t>the </w:t>
      </w:r>
      <w:r>
        <w:rPr/>
        <w:t>transfer of primarily US Treasury Securities, and previously Gold Certificates and Special </w:t>
      </w:r>
      <w:r>
        <w:rPr>
          <w:spacing w:val="-4"/>
        </w:rPr>
        <w:t>Draw- </w:t>
      </w:r>
      <w:r>
        <w:rPr/>
        <w:t>ing Rights, and (v) no caps or</w:t>
      </w:r>
      <w:r>
        <w:rPr>
          <w:spacing w:val="-8"/>
        </w:rPr>
        <w:t> </w:t>
      </w:r>
      <w:r>
        <w:rPr/>
        <w:t>limit.</w:t>
      </w:r>
    </w:p>
    <w:p>
      <w:pPr>
        <w:pStyle w:val="BodyText"/>
        <w:spacing w:line="364" w:lineRule="auto" w:before="22"/>
        <w:ind w:left="120" w:right="112" w:firstLine="298"/>
        <w:jc w:val="both"/>
      </w:pPr>
      <w:r>
        <w:rPr/>
        <w:t>Currently,</w:t>
      </w:r>
      <w:r>
        <w:rPr>
          <w:spacing w:val="-13"/>
        </w:rPr>
        <w:t> </w:t>
      </w:r>
      <w:r>
        <w:rPr/>
        <w:t>the</w:t>
      </w:r>
      <w:r>
        <w:rPr>
          <w:spacing w:val="-14"/>
        </w:rPr>
        <w:t> </w:t>
      </w:r>
      <w:r>
        <w:rPr/>
        <w:t>consequences</w:t>
      </w:r>
      <w:r>
        <w:rPr>
          <w:spacing w:val="-14"/>
        </w:rPr>
        <w:t> </w:t>
      </w:r>
      <w:r>
        <w:rPr/>
        <w:t>of</w:t>
      </w:r>
      <w:r>
        <w:rPr>
          <w:spacing w:val="-14"/>
        </w:rPr>
        <w:t> </w:t>
      </w:r>
      <w:r>
        <w:rPr/>
        <w:t>a</w:t>
      </w:r>
      <w:r>
        <w:rPr>
          <w:spacing w:val="-14"/>
        </w:rPr>
        <w:t> </w:t>
      </w:r>
      <w:r>
        <w:rPr/>
        <w:t>default</w:t>
      </w:r>
      <w:r>
        <w:rPr>
          <w:spacing w:val="-15"/>
        </w:rPr>
        <w:t> </w:t>
      </w:r>
      <w:r>
        <w:rPr/>
        <w:t>by</w:t>
      </w:r>
      <w:r>
        <w:rPr>
          <w:spacing w:val="-14"/>
        </w:rPr>
        <w:t> </w:t>
      </w:r>
      <w:r>
        <w:rPr/>
        <w:t>one</w:t>
      </w:r>
      <w:r>
        <w:rPr>
          <w:spacing w:val="-14"/>
        </w:rPr>
        <w:t> </w:t>
      </w:r>
      <w:r>
        <w:rPr/>
        <w:t>of</w:t>
      </w:r>
      <w:r>
        <w:rPr>
          <w:spacing w:val="-14"/>
        </w:rPr>
        <w:t> </w:t>
      </w:r>
      <w:r>
        <w:rPr/>
        <w:t>the</w:t>
      </w:r>
      <w:r>
        <w:rPr>
          <w:spacing w:val="-14"/>
        </w:rPr>
        <w:t> </w:t>
      </w:r>
      <w:r>
        <w:rPr/>
        <w:t>participating</w:t>
      </w:r>
      <w:r>
        <w:rPr>
          <w:spacing w:val="-14"/>
        </w:rPr>
        <w:t> </w:t>
      </w:r>
      <w:r>
        <w:rPr/>
        <w:t>national</w:t>
      </w:r>
      <w:r>
        <w:rPr>
          <w:spacing w:val="-15"/>
        </w:rPr>
        <w:t> </w:t>
      </w:r>
      <w:r>
        <w:rPr/>
        <w:t>banks</w:t>
      </w:r>
      <w:r>
        <w:rPr>
          <w:spacing w:val="-14"/>
        </w:rPr>
        <w:t> </w:t>
      </w:r>
      <w:r>
        <w:rPr/>
        <w:t>on</w:t>
      </w:r>
      <w:r>
        <w:rPr>
          <w:spacing w:val="-14"/>
        </w:rPr>
        <w:t> </w:t>
      </w:r>
      <w:r>
        <w:rPr/>
        <w:t>this</w:t>
      </w:r>
      <w:r>
        <w:rPr>
          <w:spacing w:val="-14"/>
        </w:rPr>
        <w:t> </w:t>
      </w:r>
      <w:r>
        <w:rPr/>
        <w:t>credit facility are undefined. The </w:t>
      </w:r>
      <w:r>
        <w:rPr>
          <w:spacing w:val="-3"/>
        </w:rPr>
        <w:t>ECB’s </w:t>
      </w:r>
      <w:r>
        <w:rPr/>
        <w:t>statements do not address the possibility of default, instead</w:t>
      </w:r>
      <w:r>
        <w:rPr>
          <w:spacing w:val="-28"/>
        </w:rPr>
        <w:t> </w:t>
      </w:r>
      <w:r>
        <w:rPr/>
        <w:t>im- plying that imbalances are resolved through mutual, collectivized credit lines among Eurosystem </w:t>
      </w:r>
      <w:r>
        <w:rPr>
          <w:w w:val="99"/>
        </w:rPr>
        <w:t>member</w:t>
      </w:r>
      <w:r>
        <w:rPr>
          <w:spacing w:val="-11"/>
        </w:rPr>
        <w:t> </w:t>
      </w:r>
      <w:r>
        <w:rPr>
          <w:w w:val="99"/>
        </w:rPr>
        <w:t>countries.</w:t>
      </w:r>
      <w:r>
        <w:rPr>
          <w:spacing w:val="10"/>
        </w:rPr>
        <w:t> </w:t>
      </w:r>
      <w:r>
        <w:rPr>
          <w:w w:val="99"/>
        </w:rPr>
        <w:t>This</w:t>
      </w:r>
      <w:r>
        <w:rPr>
          <w:spacing w:val="-11"/>
        </w:rPr>
        <w:t> </w:t>
      </w:r>
      <w:r>
        <w:rPr>
          <w:w w:val="99"/>
        </w:rPr>
        <w:t>means</w:t>
      </w:r>
      <w:r>
        <w:rPr>
          <w:spacing w:val="-11"/>
        </w:rPr>
        <w:t> </w:t>
      </w:r>
      <w:r>
        <w:rPr>
          <w:w w:val="99"/>
        </w:rPr>
        <w:t>that,</w:t>
      </w:r>
      <w:r>
        <w:rPr>
          <w:spacing w:val="-9"/>
        </w:rPr>
        <w:t> </w:t>
      </w:r>
      <w:r>
        <w:rPr>
          <w:w w:val="99"/>
        </w:rPr>
        <w:t>for</w:t>
      </w:r>
      <w:r>
        <w:rPr>
          <w:spacing w:val="-11"/>
        </w:rPr>
        <w:t> </w:t>
      </w:r>
      <w:r>
        <w:rPr>
          <w:spacing w:val="-4"/>
          <w:w w:val="99"/>
        </w:rPr>
        <w:t>e</w:t>
      </w:r>
      <w:r>
        <w:rPr>
          <w:w w:val="99"/>
        </w:rPr>
        <w:t>xample,</w:t>
      </w:r>
      <w:r>
        <w:rPr>
          <w:spacing w:val="-9"/>
        </w:rPr>
        <w:t> </w:t>
      </w:r>
      <w:r>
        <w:rPr>
          <w:w w:val="99"/>
        </w:rPr>
        <w:t>if</w:t>
      </w:r>
      <w:r>
        <w:rPr>
          <w:spacing w:val="-11"/>
        </w:rPr>
        <w:t> </w:t>
      </w:r>
      <w:r>
        <w:rPr>
          <w:w w:val="99"/>
        </w:rPr>
        <w:t>the</w:t>
      </w:r>
      <w:r>
        <w:rPr>
          <w:spacing w:val="-11"/>
        </w:rPr>
        <w:t> </w:t>
      </w:r>
      <w:r>
        <w:rPr>
          <w:w w:val="99"/>
        </w:rPr>
        <w:t>Banco</w:t>
      </w:r>
      <w:r>
        <w:rPr>
          <w:spacing w:val="-11"/>
        </w:rPr>
        <w:t> </w:t>
      </w:r>
      <w:r>
        <w:rPr>
          <w:w w:val="99"/>
        </w:rPr>
        <w:t>de</w:t>
      </w:r>
      <w:r>
        <w:rPr>
          <w:spacing w:val="-11"/>
        </w:rPr>
        <w:t> </w:t>
      </w:r>
      <w:r>
        <w:rPr>
          <w:w w:val="99"/>
        </w:rPr>
        <w:t>Espa</w:t>
      </w:r>
      <w:r>
        <w:rPr>
          <w:spacing w:val="-100"/>
          <w:w w:val="99"/>
        </w:rPr>
        <w:t>n</w:t>
      </w:r>
      <w:r>
        <w:rPr>
          <w:spacing w:val="19"/>
          <w:w w:val="99"/>
        </w:rPr>
        <w:t>˜</w:t>
      </w:r>
      <w:r>
        <w:rPr>
          <w:w w:val="99"/>
        </w:rPr>
        <w:t>a</w:t>
      </w:r>
      <w:r>
        <w:rPr>
          <w:spacing w:val="-11"/>
        </w:rPr>
        <w:t> </w:t>
      </w:r>
      <w:r>
        <w:rPr>
          <w:w w:val="99"/>
        </w:rPr>
        <w:t>were</w:t>
      </w:r>
      <w:r>
        <w:rPr>
          <w:spacing w:val="-11"/>
        </w:rPr>
        <w:t> </w:t>
      </w:r>
      <w:r>
        <w:rPr>
          <w:w w:val="99"/>
        </w:rPr>
        <w:t>to</w:t>
      </w:r>
      <w:r>
        <w:rPr>
          <w:spacing w:val="-11"/>
        </w:rPr>
        <w:t> </w:t>
      </w:r>
      <w:r>
        <w:rPr>
          <w:w w:val="99"/>
        </w:rPr>
        <w:t>de</w:t>
      </w:r>
      <w:r>
        <w:rPr>
          <w:spacing w:val="-3"/>
          <w:w w:val="99"/>
        </w:rPr>
        <w:t>f</w:t>
      </w:r>
      <w:r>
        <w:rPr>
          <w:w w:val="99"/>
        </w:rPr>
        <w:t>ault</w:t>
      </w:r>
      <w:r>
        <w:rPr>
          <w:spacing w:val="-11"/>
        </w:rPr>
        <w:t> </w:t>
      </w:r>
      <w:r>
        <w:rPr>
          <w:w w:val="99"/>
        </w:rPr>
        <w:t>(partially) </w:t>
      </w:r>
      <w:r>
        <w:rPr/>
        <w:t>on this debt, the Bundesbank or the entire Eurosystem would need to absorb the losses, with the extent</w:t>
      </w:r>
      <w:r>
        <w:rPr>
          <w:spacing w:val="-15"/>
        </w:rPr>
        <w:t> </w:t>
      </w:r>
      <w:r>
        <w:rPr/>
        <w:t>of</w:t>
      </w:r>
      <w:r>
        <w:rPr>
          <w:spacing w:val="-14"/>
        </w:rPr>
        <w:t> </w:t>
      </w:r>
      <w:r>
        <w:rPr/>
        <w:t>the</w:t>
      </w:r>
      <w:r>
        <w:rPr>
          <w:spacing w:val="-14"/>
        </w:rPr>
        <w:t> </w:t>
      </w:r>
      <w:r>
        <w:rPr/>
        <w:t>absorption</w:t>
      </w:r>
      <w:r>
        <w:rPr>
          <w:spacing w:val="-14"/>
        </w:rPr>
        <w:t> </w:t>
      </w:r>
      <w:r>
        <w:rPr/>
        <w:t>(from</w:t>
      </w:r>
      <w:r>
        <w:rPr>
          <w:spacing w:val="-15"/>
        </w:rPr>
        <w:t> </w:t>
      </w:r>
      <w:r>
        <w:rPr/>
        <w:t>all</w:t>
      </w:r>
      <w:r>
        <w:rPr>
          <w:spacing w:val="-14"/>
        </w:rPr>
        <w:t> </w:t>
      </w:r>
      <w:r>
        <w:rPr/>
        <w:t>to</w:t>
      </w:r>
      <w:r>
        <w:rPr>
          <w:spacing w:val="-14"/>
        </w:rPr>
        <w:t> </w:t>
      </w:r>
      <w:r>
        <w:rPr/>
        <w:t>none)</w:t>
      </w:r>
      <w:r>
        <w:rPr>
          <w:spacing w:val="-14"/>
        </w:rPr>
        <w:t> </w:t>
      </w:r>
      <w:r>
        <w:rPr/>
        <w:t>unknown</w:t>
      </w:r>
      <w:r>
        <w:rPr>
          <w:spacing w:val="-15"/>
        </w:rPr>
        <w:t> </w:t>
      </w:r>
      <w:r>
        <w:rPr/>
        <w:t>at</w:t>
      </w:r>
      <w:r>
        <w:rPr>
          <w:spacing w:val="-14"/>
        </w:rPr>
        <w:t> </w:t>
      </w:r>
      <w:r>
        <w:rPr/>
        <w:t>present.</w:t>
      </w:r>
      <w:r>
        <w:rPr>
          <w:spacing w:val="6"/>
        </w:rPr>
        <w:t> </w:t>
      </w:r>
      <w:r>
        <w:rPr/>
        <w:t>It</w:t>
      </w:r>
      <w:r>
        <w:rPr>
          <w:spacing w:val="-15"/>
        </w:rPr>
        <w:t> </w:t>
      </w:r>
      <w:r>
        <w:rPr/>
        <w:t>is</w:t>
      </w:r>
      <w:r>
        <w:rPr>
          <w:spacing w:val="-14"/>
        </w:rPr>
        <w:t> </w:t>
      </w:r>
      <w:r>
        <w:rPr/>
        <w:t>highly</w:t>
      </w:r>
      <w:r>
        <w:rPr>
          <w:spacing w:val="-14"/>
        </w:rPr>
        <w:t> </w:t>
      </w:r>
      <w:r>
        <w:rPr/>
        <w:t>probable</w:t>
      </w:r>
      <w:r>
        <w:rPr>
          <w:spacing w:val="-14"/>
        </w:rPr>
        <w:t> </w:t>
      </w:r>
      <w:r>
        <w:rPr/>
        <w:t>that</w:t>
      </w:r>
      <w:r>
        <w:rPr>
          <w:spacing w:val="-15"/>
        </w:rPr>
        <w:t> </w:t>
      </w:r>
      <w:r>
        <w:rPr/>
        <w:t>significant political pressures will influence the resolution of such a</w:t>
      </w:r>
      <w:r>
        <w:rPr>
          <w:spacing w:val="-15"/>
        </w:rPr>
        <w:t> </w:t>
      </w:r>
      <w:r>
        <w:rPr/>
        <w:t>situation.</w:t>
      </w:r>
    </w:p>
    <w:p>
      <w:pPr>
        <w:pStyle w:val="BodyText"/>
        <w:spacing w:line="298" w:lineRule="exact"/>
        <w:ind w:left="418"/>
        <w:jc w:val="both"/>
      </w:pPr>
      <w:r>
        <w:rPr>
          <w:w w:val="99"/>
        </w:rPr>
        <w:t>On</w:t>
      </w:r>
      <w:r>
        <w:rPr>
          <w:spacing w:val="-14"/>
        </w:rPr>
        <w:t> </w:t>
      </w:r>
      <w:r>
        <w:rPr>
          <w:w w:val="99"/>
        </w:rPr>
        <w:t>request</w:t>
      </w:r>
      <w:r>
        <w:rPr>
          <w:spacing w:val="-14"/>
        </w:rPr>
        <w:t> </w:t>
      </w:r>
      <w:r>
        <w:rPr>
          <w:w w:val="99"/>
        </w:rPr>
        <w:t>the</w:t>
      </w:r>
      <w:r>
        <w:rPr>
          <w:spacing w:val="-14"/>
        </w:rPr>
        <w:t> </w:t>
      </w:r>
      <w:r>
        <w:rPr>
          <w:w w:val="99"/>
        </w:rPr>
        <w:t>Austrian</w:t>
      </w:r>
      <w:r>
        <w:rPr>
          <w:spacing w:val="-14"/>
        </w:rPr>
        <w:t> </w:t>
      </w:r>
      <w:r>
        <w:rPr>
          <w:spacing w:val="-127"/>
          <w:w w:val="99"/>
        </w:rPr>
        <w:t>O</w:t>
      </w:r>
      <w:r>
        <w:rPr>
          <w:w w:val="99"/>
          <w:position w:val="6"/>
        </w:rPr>
        <w:t>¨</w:t>
      </w:r>
      <w:r>
        <w:rPr>
          <w:spacing w:val="-14"/>
          <w:position w:val="6"/>
        </w:rPr>
        <w:t> </w:t>
      </w:r>
      <w:r>
        <w:rPr>
          <w:w w:val="99"/>
        </w:rPr>
        <w:t>NB,</w:t>
      </w:r>
      <w:r>
        <w:rPr>
          <w:spacing w:val="-14"/>
        </w:rPr>
        <w:t> </w:t>
      </w:r>
      <w:r>
        <w:rPr>
          <w:w w:val="99"/>
        </w:rPr>
        <w:t>one</w:t>
      </w:r>
      <w:r>
        <w:rPr>
          <w:spacing w:val="-14"/>
        </w:rPr>
        <w:t> </w:t>
      </w:r>
      <w:r>
        <w:rPr>
          <w:w w:val="99"/>
        </w:rPr>
        <w:t>of</w:t>
      </w:r>
      <w:r>
        <w:rPr>
          <w:spacing w:val="-14"/>
        </w:rPr>
        <w:t> </w:t>
      </w:r>
      <w:r>
        <w:rPr>
          <w:w w:val="99"/>
        </w:rPr>
        <w:t>the</w:t>
      </w:r>
      <w:r>
        <w:rPr>
          <w:spacing w:val="-14"/>
        </w:rPr>
        <w:t> </w:t>
      </w:r>
      <w:r>
        <w:rPr>
          <w:w w:val="99"/>
        </w:rPr>
        <w:t>national</w:t>
      </w:r>
      <w:r>
        <w:rPr>
          <w:spacing w:val="-14"/>
        </w:rPr>
        <w:t> </w:t>
      </w:r>
      <w:r>
        <w:rPr>
          <w:w w:val="99"/>
        </w:rPr>
        <w:t>banks</w:t>
      </w:r>
      <w:r>
        <w:rPr>
          <w:spacing w:val="-14"/>
        </w:rPr>
        <w:t> </w:t>
      </w:r>
      <w:r>
        <w:rPr>
          <w:w w:val="99"/>
        </w:rPr>
        <w:t>of</w:t>
      </w:r>
      <w:r>
        <w:rPr>
          <w:spacing w:val="-14"/>
        </w:rPr>
        <w:t> </w:t>
      </w:r>
      <w:r>
        <w:rPr>
          <w:w w:val="99"/>
        </w:rPr>
        <w:t>the</w:t>
      </w:r>
      <w:r>
        <w:rPr>
          <w:spacing w:val="-14"/>
        </w:rPr>
        <w:t> </w:t>
      </w:r>
      <w:r>
        <w:rPr>
          <w:w w:val="99"/>
        </w:rPr>
        <w:t>Eurosystem,</w:t>
      </w:r>
      <w:r>
        <w:rPr>
          <w:spacing w:val="-11"/>
        </w:rPr>
        <w:t> </w:t>
      </w:r>
      <w:r>
        <w:rPr>
          <w:w w:val="99"/>
        </w:rPr>
        <w:t>issued</w:t>
      </w:r>
      <w:r>
        <w:rPr>
          <w:spacing w:val="-14"/>
        </w:rPr>
        <w:t> </w:t>
      </w:r>
      <w:r>
        <w:rPr>
          <w:w w:val="99"/>
        </w:rPr>
        <w:t>the</w:t>
      </w:r>
      <w:r>
        <w:rPr>
          <w:spacing w:val="-14"/>
        </w:rPr>
        <w:t> </w:t>
      </w:r>
      <w:r>
        <w:rPr>
          <w:w w:val="99"/>
        </w:rPr>
        <w:t>foll</w:t>
      </w:r>
      <w:r>
        <w:rPr>
          <w:spacing w:val="-6"/>
          <w:w w:val="99"/>
        </w:rPr>
        <w:t>o</w:t>
      </w:r>
      <w:r>
        <w:rPr>
          <w:w w:val="99"/>
        </w:rPr>
        <w:t>wing</w:t>
      </w:r>
    </w:p>
    <w:p>
      <w:pPr>
        <w:spacing w:line="364" w:lineRule="auto" w:before="142"/>
        <w:ind w:left="120" w:right="112" w:firstLine="0"/>
        <w:jc w:val="both"/>
        <w:rPr>
          <w:i/>
          <w:sz w:val="24"/>
        </w:rPr>
      </w:pPr>
      <w:r>
        <w:rPr>
          <w:sz w:val="24"/>
        </w:rPr>
        <w:t>statement (in German, translation by deepl.com) (</w:t>
      </w:r>
      <w:hyperlink w:history="true" w:anchor="_bookmark1">
        <w:r>
          <w:rPr>
            <w:color w:val="BF0000"/>
            <w:sz w:val="24"/>
          </w:rPr>
          <w:t>Ackerler</w:t>
        </w:r>
      </w:hyperlink>
      <w:r>
        <w:rPr>
          <w:sz w:val="24"/>
        </w:rPr>
        <w:t>, </w:t>
      </w:r>
      <w:hyperlink w:history="true" w:anchor="_bookmark1">
        <w:r>
          <w:rPr>
            <w:color w:val="BF0000"/>
            <w:sz w:val="24"/>
          </w:rPr>
          <w:t>2024</w:t>
        </w:r>
      </w:hyperlink>
      <w:r>
        <w:rPr>
          <w:sz w:val="24"/>
        </w:rPr>
        <w:t>): </w:t>
      </w:r>
      <w:r>
        <w:rPr>
          <w:i/>
          <w:sz w:val="24"/>
        </w:rPr>
        <w:t>“There is no list of TARGET </w:t>
      </w:r>
      <w:r>
        <w:rPr>
          <w:i/>
          <w:sz w:val="24"/>
        </w:rPr>
        <w:t>balances between individual countries. The ECB acts as the central settlement centre for the central banks participating in </w:t>
      </w:r>
      <w:r>
        <w:rPr>
          <w:i/>
          <w:spacing w:val="-4"/>
          <w:sz w:val="24"/>
        </w:rPr>
        <w:t>TARGET; </w:t>
      </w:r>
      <w:r>
        <w:rPr>
          <w:i/>
          <w:sz w:val="24"/>
        </w:rPr>
        <w:t>at the end of the </w:t>
      </w:r>
      <w:r>
        <w:rPr>
          <w:i/>
          <w:spacing w:val="-4"/>
          <w:sz w:val="24"/>
        </w:rPr>
        <w:t>day, </w:t>
      </w:r>
      <w:r>
        <w:rPr>
          <w:i/>
          <w:sz w:val="24"/>
        </w:rPr>
        <w:t>the resulting claims and liabilities between the national central banks </w:t>
      </w:r>
      <w:r>
        <w:rPr>
          <w:i/>
          <w:spacing w:val="-3"/>
          <w:sz w:val="24"/>
        </w:rPr>
        <w:t>are </w:t>
      </w:r>
      <w:r>
        <w:rPr>
          <w:i/>
          <w:sz w:val="24"/>
        </w:rPr>
        <w:t>netted out to form a claim on or liability to the </w:t>
      </w:r>
      <w:r>
        <w:rPr>
          <w:i/>
          <w:spacing w:val="-10"/>
          <w:sz w:val="24"/>
        </w:rPr>
        <w:t>ECB.” </w:t>
      </w:r>
      <w:r>
        <w:rPr>
          <w:sz w:val="24"/>
        </w:rPr>
        <w:t>This was corroborated by a statement of the ECB (</w:t>
      </w:r>
      <w:hyperlink w:history="true" w:anchor="_bookmark24">
        <w:r>
          <w:rPr>
            <w:color w:val="BF0000"/>
            <w:sz w:val="24"/>
          </w:rPr>
          <w:t>Putignano</w:t>
        </w:r>
      </w:hyperlink>
      <w:r>
        <w:rPr>
          <w:sz w:val="24"/>
        </w:rPr>
        <w:t>, </w:t>
      </w:r>
      <w:hyperlink w:history="true" w:anchor="_bookmark24">
        <w:r>
          <w:rPr>
            <w:color w:val="BF0000"/>
            <w:sz w:val="24"/>
          </w:rPr>
          <w:t>2024</w:t>
        </w:r>
      </w:hyperlink>
      <w:r>
        <w:rPr>
          <w:sz w:val="24"/>
        </w:rPr>
        <w:t>): </w:t>
      </w:r>
      <w:r>
        <w:rPr>
          <w:i/>
          <w:sz w:val="24"/>
        </w:rPr>
        <w:t>“Please note that TARGET </w:t>
      </w:r>
      <w:r>
        <w:rPr>
          <w:i/>
          <w:sz w:val="24"/>
        </w:rPr>
        <w:t>balances </w:t>
      </w:r>
      <w:r>
        <w:rPr>
          <w:i/>
          <w:spacing w:val="-3"/>
          <w:sz w:val="24"/>
        </w:rPr>
        <w:t>are </w:t>
      </w:r>
      <w:r>
        <w:rPr>
          <w:i/>
          <w:sz w:val="24"/>
        </w:rPr>
        <w:t>computed automatically at the end of the day in TARGET Services.  </w:t>
      </w:r>
      <w:r>
        <w:rPr>
          <w:i/>
          <w:spacing w:val="8"/>
          <w:sz w:val="24"/>
        </w:rPr>
        <w:t> </w:t>
      </w:r>
      <w:r>
        <w:rPr>
          <w:i/>
          <w:sz w:val="24"/>
        </w:rPr>
        <w:t>Unfortunately,</w:t>
      </w:r>
    </w:p>
    <w:p>
      <w:pPr>
        <w:spacing w:after="0" w:line="364" w:lineRule="auto"/>
        <w:jc w:val="both"/>
        <w:rPr>
          <w:sz w:val="24"/>
        </w:rPr>
        <w:sectPr>
          <w:pgSz w:w="12240" w:h="15840"/>
          <w:pgMar w:header="0" w:footer="563" w:top="1340" w:bottom="760" w:left="1320" w:right="1360"/>
        </w:sectPr>
      </w:pPr>
    </w:p>
    <w:p>
      <w:pPr>
        <w:spacing w:line="364" w:lineRule="auto" w:before="75"/>
        <w:ind w:left="120" w:right="112" w:firstLine="0"/>
        <w:jc w:val="both"/>
        <w:rPr>
          <w:i/>
          <w:sz w:val="24"/>
        </w:rPr>
      </w:pPr>
      <w:r>
        <w:rPr>
          <w:i/>
          <w:sz w:val="24"/>
        </w:rPr>
        <w:t>the data you </w:t>
      </w:r>
      <w:r>
        <w:rPr>
          <w:i/>
          <w:spacing w:val="-3"/>
          <w:sz w:val="24"/>
        </w:rPr>
        <w:t>are </w:t>
      </w:r>
      <w:r>
        <w:rPr>
          <w:i/>
          <w:sz w:val="24"/>
        </w:rPr>
        <w:t>enquiring </w:t>
      </w:r>
      <w:r>
        <w:rPr>
          <w:i/>
          <w:spacing w:val="-7"/>
          <w:sz w:val="24"/>
        </w:rPr>
        <w:t>for, </w:t>
      </w:r>
      <w:r>
        <w:rPr>
          <w:i/>
          <w:sz w:val="24"/>
        </w:rPr>
        <w:t>i.e. the balance position of each National Central Bank (NCB) </w:t>
      </w:r>
      <w:r>
        <w:rPr>
          <w:i/>
          <w:w w:val="99"/>
          <w:sz w:val="24"/>
        </w:rPr>
        <w:t>vis-</w:t>
      </w:r>
      <w:r>
        <w:rPr>
          <w:i/>
          <w:spacing w:val="-101"/>
          <w:w w:val="99"/>
          <w:sz w:val="24"/>
        </w:rPr>
        <w:t>a</w:t>
      </w:r>
      <w:r>
        <w:rPr>
          <w:i/>
          <w:spacing w:val="20"/>
          <w:w w:val="99"/>
          <w:sz w:val="24"/>
        </w:rPr>
        <w:t>`</w:t>
      </w:r>
      <w:r>
        <w:rPr>
          <w:i/>
          <w:w w:val="99"/>
          <w:sz w:val="24"/>
        </w:rPr>
        <w:t>-vis</w:t>
      </w:r>
      <w:r>
        <w:rPr>
          <w:i/>
          <w:sz w:val="24"/>
        </w:rPr>
        <w:t> </w:t>
      </w:r>
      <w:r>
        <w:rPr>
          <w:i/>
          <w:w w:val="99"/>
          <w:sz w:val="24"/>
        </w:rPr>
        <w:t>all</w:t>
      </w:r>
      <w:r>
        <w:rPr>
          <w:i/>
          <w:sz w:val="24"/>
        </w:rPr>
        <w:t> </w:t>
      </w:r>
      <w:r>
        <w:rPr>
          <w:i/>
          <w:w w:val="99"/>
          <w:sz w:val="24"/>
        </w:rPr>
        <w:t>other</w:t>
      </w:r>
      <w:r>
        <w:rPr>
          <w:i/>
          <w:sz w:val="24"/>
        </w:rPr>
        <w:t> </w:t>
      </w:r>
      <w:r>
        <w:rPr>
          <w:i/>
          <w:w w:val="99"/>
          <w:sz w:val="24"/>
        </w:rPr>
        <w:t>NCBs,</w:t>
      </w:r>
      <w:r>
        <w:rPr>
          <w:i/>
          <w:sz w:val="24"/>
        </w:rPr>
        <w:t> </w:t>
      </w:r>
      <w:r>
        <w:rPr>
          <w:i/>
          <w:w w:val="99"/>
          <w:sz w:val="24"/>
        </w:rPr>
        <w:t>is</w:t>
      </w:r>
      <w:r>
        <w:rPr>
          <w:i/>
          <w:sz w:val="24"/>
        </w:rPr>
        <w:t> </w:t>
      </w:r>
      <w:r>
        <w:rPr>
          <w:i/>
          <w:w w:val="99"/>
          <w:sz w:val="24"/>
        </w:rPr>
        <w:t>not</w:t>
      </w:r>
      <w:r>
        <w:rPr>
          <w:i/>
          <w:sz w:val="24"/>
        </w:rPr>
        <w:t> </w:t>
      </w:r>
      <w:r>
        <w:rPr>
          <w:i/>
          <w:w w:val="99"/>
          <w:sz w:val="24"/>
        </w:rPr>
        <w:t>availabl</w:t>
      </w:r>
      <w:r>
        <w:rPr>
          <w:i/>
          <w:spacing w:val="-4"/>
          <w:w w:val="99"/>
          <w:sz w:val="24"/>
        </w:rPr>
        <w:t>e</w:t>
      </w:r>
      <w:r>
        <w:rPr>
          <w:i/>
          <w:spacing w:val="-34"/>
          <w:w w:val="99"/>
          <w:sz w:val="24"/>
        </w:rPr>
        <w:t>.</w:t>
      </w:r>
      <w:r>
        <w:rPr>
          <w:i/>
          <w:w w:val="99"/>
          <w:sz w:val="24"/>
        </w:rPr>
        <w:t>”</w:t>
      </w:r>
    </w:p>
    <w:p>
      <w:pPr>
        <w:pStyle w:val="BodyText"/>
        <w:spacing w:line="364" w:lineRule="auto" w:before="58"/>
        <w:ind w:left="119" w:right="112" w:firstLine="298"/>
        <w:jc w:val="both"/>
      </w:pPr>
      <w:r>
        <w:rPr>
          <w:spacing w:val="-10"/>
        </w:rPr>
        <w:t>We </w:t>
      </w:r>
      <w:r>
        <w:rPr/>
        <w:t>conclude that, at the end of each </w:t>
      </w:r>
      <w:r>
        <w:rPr>
          <w:spacing w:val="-4"/>
        </w:rPr>
        <w:t>day, </w:t>
      </w:r>
      <w:r>
        <w:rPr/>
        <w:t>the </w:t>
      </w:r>
      <w:r>
        <w:rPr>
          <w:spacing w:val="-4"/>
        </w:rPr>
        <w:t>TARGET </w:t>
      </w:r>
      <w:r>
        <w:rPr/>
        <w:t>balances are ‘collectivized’ or netted among</w:t>
      </w:r>
      <w:r>
        <w:rPr>
          <w:spacing w:val="-11"/>
        </w:rPr>
        <w:t> </w:t>
      </w:r>
      <w:r>
        <w:rPr/>
        <w:t>all</w:t>
      </w:r>
      <w:r>
        <w:rPr>
          <w:spacing w:val="-10"/>
        </w:rPr>
        <w:t> </w:t>
      </w:r>
      <w:r>
        <w:rPr/>
        <w:t>members</w:t>
      </w:r>
      <w:r>
        <w:rPr>
          <w:spacing w:val="-11"/>
        </w:rPr>
        <w:t> </w:t>
      </w:r>
      <w:r>
        <w:rPr/>
        <w:t>of</w:t>
      </w:r>
      <w:r>
        <w:rPr>
          <w:spacing w:val="-11"/>
        </w:rPr>
        <w:t> </w:t>
      </w:r>
      <w:r>
        <w:rPr/>
        <w:t>the</w:t>
      </w:r>
      <w:r>
        <w:rPr>
          <w:spacing w:val="-10"/>
        </w:rPr>
        <w:t> </w:t>
      </w:r>
      <w:r>
        <w:rPr/>
        <w:t>Eurosystem,</w:t>
      </w:r>
      <w:r>
        <w:rPr>
          <w:spacing w:val="-9"/>
        </w:rPr>
        <w:t> </w:t>
      </w:r>
      <w:r>
        <w:rPr/>
        <w:t>and</w:t>
      </w:r>
      <w:r>
        <w:rPr>
          <w:spacing w:val="-10"/>
        </w:rPr>
        <w:t> </w:t>
      </w:r>
      <w:r>
        <w:rPr/>
        <w:t>no</w:t>
      </w:r>
      <w:r>
        <w:rPr>
          <w:spacing w:val="-11"/>
        </w:rPr>
        <w:t> </w:t>
      </w:r>
      <w:r>
        <w:rPr/>
        <w:t>official</w:t>
      </w:r>
      <w:r>
        <w:rPr>
          <w:spacing w:val="-10"/>
        </w:rPr>
        <w:t> </w:t>
      </w:r>
      <w:r>
        <w:rPr/>
        <w:t>record</w:t>
      </w:r>
      <w:r>
        <w:rPr>
          <w:spacing w:val="-11"/>
        </w:rPr>
        <w:t> </w:t>
      </w:r>
      <w:r>
        <w:rPr/>
        <w:t>exists</w:t>
      </w:r>
      <w:r>
        <w:rPr>
          <w:spacing w:val="-10"/>
        </w:rPr>
        <w:t> </w:t>
      </w:r>
      <w:r>
        <w:rPr/>
        <w:t>to</w:t>
      </w:r>
      <w:r>
        <w:rPr>
          <w:spacing w:val="-11"/>
        </w:rPr>
        <w:t> </w:t>
      </w:r>
      <w:r>
        <w:rPr/>
        <w:t>delineate</w:t>
      </w:r>
      <w:r>
        <w:rPr>
          <w:spacing w:val="-10"/>
        </w:rPr>
        <w:t> </w:t>
      </w:r>
      <w:r>
        <w:rPr/>
        <w:t>and</w:t>
      </w:r>
      <w:r>
        <w:rPr>
          <w:spacing w:val="-11"/>
        </w:rPr>
        <w:t> </w:t>
      </w:r>
      <w:r>
        <w:rPr/>
        <w:t>analyze</w:t>
      </w:r>
      <w:r>
        <w:rPr>
          <w:spacing w:val="-10"/>
        </w:rPr>
        <w:t> </w:t>
      </w:r>
      <w:r>
        <w:rPr/>
        <w:t>them, such as a skew-symmetric matrix with vanishing diagonal entries, showing the balances of each individual NCB against every other</w:t>
      </w:r>
      <w:r>
        <w:rPr>
          <w:spacing w:val="-7"/>
        </w:rPr>
        <w:t> </w:t>
      </w:r>
      <w:r>
        <w:rPr/>
        <w:t>NCB.</w:t>
      </w:r>
    </w:p>
    <w:p>
      <w:pPr>
        <w:pStyle w:val="BodyText"/>
        <w:spacing w:line="364" w:lineRule="auto" w:before="56"/>
        <w:ind w:left="119" w:right="112" w:firstLine="298"/>
        <w:jc w:val="both"/>
      </w:pPr>
      <w:r>
        <w:rPr/>
        <w:t>The current reporting procedure for </w:t>
      </w:r>
      <w:r>
        <w:rPr>
          <w:spacing w:val="-4"/>
        </w:rPr>
        <w:t>TARGET </w:t>
      </w:r>
      <w:r>
        <w:rPr/>
        <w:t>balances has significant implications for the</w:t>
      </w:r>
      <w:r>
        <w:rPr>
          <w:spacing w:val="-25"/>
        </w:rPr>
        <w:t> </w:t>
      </w:r>
      <w:r>
        <w:rPr>
          <w:spacing w:val="-4"/>
        </w:rPr>
        <w:t>po- </w:t>
      </w:r>
      <w:r>
        <w:rPr/>
        <w:t>tential collapse of the Eurosystem and the subsequent debt settlement among its member states. The procedure is inadequate and irreversible, as it does not permit the tracking of individual</w:t>
      </w:r>
      <w:r>
        <w:rPr>
          <w:spacing w:val="49"/>
        </w:rPr>
        <w:t> </w:t>
      </w:r>
      <w:r>
        <w:rPr/>
        <w:t>bal-</w:t>
      </w:r>
    </w:p>
    <w:p>
      <w:pPr>
        <w:pStyle w:val="BodyText"/>
        <w:spacing w:line="273" w:lineRule="exact"/>
        <w:ind w:left="119"/>
        <w:jc w:val="both"/>
      </w:pPr>
      <w:r>
        <w:rPr>
          <w:w w:val="99"/>
        </w:rPr>
        <w:t>ances</w:t>
      </w:r>
      <w:r>
        <w:rPr>
          <w:spacing w:val="1"/>
        </w:rPr>
        <w:t> </w:t>
      </w:r>
      <w:r>
        <w:rPr>
          <w:w w:val="99"/>
        </w:rPr>
        <w:t>between</w:t>
      </w:r>
      <w:r>
        <w:rPr>
          <w:spacing w:val="1"/>
        </w:rPr>
        <w:t> </w:t>
      </w:r>
      <w:r>
        <w:rPr>
          <w:w w:val="99"/>
        </w:rPr>
        <w:t>National</w:t>
      </w:r>
      <w:r>
        <w:rPr>
          <w:spacing w:val="1"/>
        </w:rPr>
        <w:t> </w:t>
      </w:r>
      <w:r>
        <w:rPr>
          <w:w w:val="99"/>
        </w:rPr>
        <w:t>Central</w:t>
      </w:r>
      <w:r>
        <w:rPr>
          <w:spacing w:val="1"/>
        </w:rPr>
        <w:t> </w:t>
      </w:r>
      <w:r>
        <w:rPr>
          <w:w w:val="99"/>
        </w:rPr>
        <w:t>Banks</w:t>
      </w:r>
      <w:r>
        <w:rPr>
          <w:spacing w:val="1"/>
        </w:rPr>
        <w:t> </w:t>
      </w:r>
      <w:r>
        <w:rPr>
          <w:w w:val="99"/>
        </w:rPr>
        <w:t>(NCBs).</w:t>
      </w:r>
      <w:r>
        <w:rPr>
          <w:spacing w:val="19"/>
        </w:rPr>
        <w:t> </w:t>
      </w:r>
      <w:r>
        <w:rPr>
          <w:spacing w:val="-20"/>
          <w:w w:val="99"/>
        </w:rPr>
        <w:t>T</w:t>
      </w:r>
      <w:r>
        <w:rPr>
          <w:w w:val="99"/>
        </w:rPr>
        <w:t>o</w:t>
      </w:r>
      <w:r>
        <w:rPr>
          <w:spacing w:val="1"/>
        </w:rPr>
        <w:t> </w:t>
      </w:r>
      <w:r>
        <w:rPr>
          <w:w w:val="99"/>
        </w:rPr>
        <w:t>illustrate</w:t>
      </w:r>
      <w:r>
        <w:rPr>
          <w:spacing w:val="1"/>
        </w:rPr>
        <w:t> </w:t>
      </w:r>
      <w:r>
        <w:rPr>
          <w:w w:val="99"/>
        </w:rPr>
        <w:t>this,</w:t>
      </w:r>
      <w:r>
        <w:rPr>
          <w:spacing w:val="1"/>
        </w:rPr>
        <w:t> </w:t>
      </w:r>
      <w:r>
        <w:rPr>
          <w:w w:val="99"/>
        </w:rPr>
        <w:t>consider</w:t>
      </w:r>
      <w:r>
        <w:rPr>
          <w:spacing w:val="1"/>
        </w:rPr>
        <w:t> </w:t>
      </w:r>
      <w:r>
        <w:rPr>
          <w:w w:val="99"/>
        </w:rPr>
        <w:t>Austria</w:t>
      </w:r>
      <w:r>
        <w:rPr>
          <w:spacing w:val="-14"/>
          <w:w w:val="99"/>
        </w:rPr>
        <w:t>’</w:t>
      </w:r>
      <w:r>
        <w:rPr>
          <w:w w:val="99"/>
        </w:rPr>
        <w:t>s</w:t>
      </w:r>
      <w:r>
        <w:rPr>
          <w:spacing w:val="1"/>
        </w:rPr>
        <w:t> </w:t>
      </w:r>
      <w:r>
        <w:rPr>
          <w:spacing w:val="-127"/>
          <w:w w:val="99"/>
        </w:rPr>
        <w:t>O</w:t>
      </w:r>
      <w:r>
        <w:rPr>
          <w:w w:val="99"/>
          <w:position w:val="6"/>
        </w:rPr>
        <w:t>¨</w:t>
      </w:r>
      <w:r>
        <w:rPr>
          <w:spacing w:val="-14"/>
          <w:position w:val="6"/>
        </w:rPr>
        <w:t> </w:t>
      </w:r>
      <w:r>
        <w:rPr>
          <w:w w:val="99"/>
        </w:rPr>
        <w:t>NB,</w:t>
      </w:r>
      <w:r>
        <w:rPr>
          <w:spacing w:val="1"/>
        </w:rPr>
        <w:t> </w:t>
      </w:r>
      <w:r>
        <w:rPr>
          <w:w w:val="99"/>
        </w:rPr>
        <w:t>which</w:t>
      </w:r>
    </w:p>
    <w:p>
      <w:pPr>
        <w:pStyle w:val="BodyText"/>
        <w:spacing w:line="418" w:lineRule="exact" w:before="32"/>
        <w:ind w:left="119" w:right="112"/>
        <w:jc w:val="both"/>
      </w:pPr>
      <w:r>
        <w:rPr/>
        <w:t>has a current negative TARGET balance of approximately </w:t>
      </w:r>
      <w:r>
        <w:rPr>
          <w:rFonts w:ascii="Lucida Sans Unicode" w:hAnsi="Lucida Sans Unicode"/>
        </w:rPr>
        <w:t>−</w:t>
      </w:r>
      <w:r>
        <w:rPr/>
        <w:t>65 billion (outstanding) Euro (</w:t>
      </w:r>
      <w:hyperlink w:history="true" w:anchor="_bookmark12">
        <w:r>
          <w:rPr>
            <w:color w:val="BF0000"/>
          </w:rPr>
          <w:t>Eu-</w:t>
        </w:r>
      </w:hyperlink>
      <w:r>
        <w:rPr>
          <w:color w:val="BF0000"/>
        </w:rPr>
        <w:t> </w:t>
      </w:r>
      <w:hyperlink w:history="true" w:anchor="_bookmark12">
        <w:r>
          <w:rPr>
            <w:color w:val="BF0000"/>
          </w:rPr>
          <w:t>ropean Central Bank</w:t>
        </w:r>
      </w:hyperlink>
      <w:r>
        <w:rPr/>
        <w:t>, </w:t>
      </w:r>
      <w:hyperlink w:history="true" w:anchor="_bookmark12">
        <w:r>
          <w:rPr>
            <w:color w:val="BF0000"/>
          </w:rPr>
          <w:t>2024</w:t>
        </w:r>
      </w:hyperlink>
      <w:r>
        <w:rPr/>
        <w:t>). This balance could have resulted from various (a continuity of) transactions, such as lending 100 billion to Italy and borrowing 165 billion from Germany, or al- ternatively borrowing 30 billion from Italy, lending 100 billion to Germany, and borrowing 135 billion from France. However, the current system does not allow for the identification of these specific transactions, and no official records are maintained.</w:t>
      </w:r>
    </w:p>
    <w:p>
      <w:pPr>
        <w:pStyle w:val="BodyText"/>
        <w:spacing w:line="364" w:lineRule="auto" w:before="173"/>
        <w:ind w:left="119" w:right="112" w:firstLine="298"/>
        <w:jc w:val="both"/>
      </w:pPr>
      <w:r>
        <w:rPr/>
        <w:t>Formally, the quantitative flows of inter-NCB Target balances can be represented by a skew- symmetric matrix with zero diagonal elements, where the entry </w:t>
      </w:r>
      <w:r>
        <w:rPr>
          <w:i/>
        </w:rPr>
        <w:t>T</w:t>
      </w:r>
      <w:r>
        <w:rPr>
          <w:i/>
          <w:vertAlign w:val="subscript"/>
        </w:rPr>
        <w:t>i</w:t>
      </w:r>
      <w:r>
        <w:rPr>
          <w:i/>
          <w:vertAlign w:val="baseline"/>
        </w:rPr>
        <w:t> </w:t>
      </w:r>
      <w:r>
        <w:rPr>
          <w:i/>
          <w:vertAlign w:val="subscript"/>
        </w:rPr>
        <w:t>j</w:t>
      </w:r>
      <w:r>
        <w:rPr>
          <w:i/>
          <w:vertAlign w:val="baseline"/>
        </w:rPr>
        <w:t> </w:t>
      </w:r>
      <w:r>
        <w:rPr>
          <w:vertAlign w:val="baseline"/>
        </w:rPr>
        <w:t>in the </w:t>
      </w:r>
      <w:r>
        <w:rPr>
          <w:i/>
          <w:vertAlign w:val="baseline"/>
        </w:rPr>
        <w:t>i</w:t>
      </w:r>
      <w:r>
        <w:rPr>
          <w:vertAlign w:val="baseline"/>
        </w:rPr>
        <w:t>th row and </w:t>
      </w:r>
      <w:r>
        <w:rPr>
          <w:i/>
          <w:vertAlign w:val="baseline"/>
        </w:rPr>
        <w:t>j</w:t>
      </w:r>
      <w:r>
        <w:rPr>
          <w:vertAlign w:val="baseline"/>
        </w:rPr>
        <w:t>th column represents the respective TARGET balance of the </w:t>
      </w:r>
      <w:r>
        <w:rPr>
          <w:i/>
          <w:vertAlign w:val="baseline"/>
        </w:rPr>
        <w:t>i</w:t>
      </w:r>
      <w:r>
        <w:rPr>
          <w:vertAlign w:val="baseline"/>
        </w:rPr>
        <w:t>th NCB with respect to the </w:t>
      </w:r>
      <w:r>
        <w:rPr>
          <w:i/>
          <w:vertAlign w:val="baseline"/>
        </w:rPr>
        <w:t>j</w:t>
      </w:r>
      <w:r>
        <w:rPr>
          <w:vertAlign w:val="baseline"/>
        </w:rPr>
        <w:t>th NCB:</w:t>
      </w:r>
    </w:p>
    <w:p>
      <w:pPr>
        <w:pStyle w:val="BodyText"/>
        <w:tabs>
          <w:tab w:pos="1279" w:val="left" w:leader="none"/>
          <w:tab w:pos="1888" w:val="left" w:leader="none"/>
          <w:tab w:pos="2405" w:val="left" w:leader="none"/>
        </w:tabs>
        <w:spacing w:before="122"/>
        <w:ind w:left="367"/>
        <w:jc w:val="center"/>
        <w:rPr>
          <w:rFonts w:ascii="Arial" w:hAnsi="Arial"/>
        </w:rPr>
      </w:pPr>
      <w:r>
        <w:rPr/>
        <w:pict>
          <v:shape style="position:absolute;margin-left:217.682999pt;margin-top:59.212269pt;width:320.6pt;height:57.8pt;mso-position-horizontal-relative:page;mso-position-vertical-relative:paragraph;z-index:-15958016" type="#_x0000_t202" filled="false" stroked="false">
            <v:textbox inset="0,0,0,0">
              <w:txbxContent>
                <w:p>
                  <w:pPr>
                    <w:tabs>
                      <w:tab w:pos="2069" w:val="left" w:leader="none"/>
                      <w:tab w:pos="2493" w:val="left" w:leader="none"/>
                      <w:tab w:pos="6132" w:val="left" w:leader="none"/>
                    </w:tabs>
                    <w:spacing w:line="218" w:lineRule="auto" w:before="0"/>
                    <w:ind w:left="0" w:right="0" w:firstLine="0"/>
                    <w:jc w:val="left"/>
                    <w:rPr>
                      <w:sz w:val="24"/>
                    </w:rPr>
                  </w:pPr>
                  <w:r>
                    <w:rPr>
                      <w:i/>
                      <w:position w:val="2"/>
                      <w:sz w:val="24"/>
                    </w:rPr>
                    <w:t>T  </w:t>
                  </w:r>
                  <w:r>
                    <w:rPr>
                      <w:rFonts w:ascii="Tahoma" w:hAnsi="Tahoma"/>
                      <w:position w:val="2"/>
                      <w:sz w:val="24"/>
                    </w:rPr>
                    <w:t>=</w:t>
                  </w:r>
                  <w:r>
                    <w:rPr>
                      <w:rFonts w:ascii="Tahoma" w:hAnsi="Tahoma"/>
                      <w:spacing w:val="-38"/>
                      <w:position w:val="2"/>
                      <w:sz w:val="24"/>
                    </w:rPr>
                    <w:t> </w:t>
                  </w:r>
                  <w:r>
                    <w:rPr>
                      <w:rFonts w:ascii="Arial" w:hAnsi="Arial"/>
                      <w:spacing w:val="-4"/>
                      <w:position w:val="-20"/>
                      <w:sz w:val="24"/>
                    </w:rPr>
                    <w:t></w:t>
                  </w:r>
                  <w:r>
                    <w:rPr>
                      <w:rFonts w:ascii="Lucida Sans Unicode" w:hAnsi="Lucida Sans Unicode"/>
                      <w:spacing w:val="-4"/>
                      <w:sz w:val="24"/>
                    </w:rPr>
                    <w:t>−</w:t>
                  </w:r>
                  <w:r>
                    <w:rPr>
                      <w:i/>
                      <w:spacing w:val="-4"/>
                      <w:sz w:val="24"/>
                    </w:rPr>
                    <w:t>T</w:t>
                  </w:r>
                  <w:r>
                    <w:rPr>
                      <w:spacing w:val="-4"/>
                      <w:sz w:val="24"/>
                      <w:vertAlign w:val="subscript"/>
                    </w:rPr>
                    <w:t>13</w:t>
                  </w:r>
                  <w:r>
                    <w:rPr>
                      <w:spacing w:val="-4"/>
                      <w:sz w:val="24"/>
                      <w:vertAlign w:val="baseline"/>
                    </w:rPr>
                    <w:t> </w:t>
                  </w:r>
                  <w:r>
                    <w:rPr>
                      <w:spacing w:val="33"/>
                      <w:sz w:val="24"/>
                      <w:vertAlign w:val="baseline"/>
                    </w:rPr>
                    <w:t> </w:t>
                  </w:r>
                  <w:r>
                    <w:rPr>
                      <w:rFonts w:ascii="Lucida Sans Unicode" w:hAnsi="Lucida Sans Unicode"/>
                      <w:spacing w:val="-5"/>
                      <w:sz w:val="24"/>
                      <w:vertAlign w:val="baseline"/>
                    </w:rPr>
                    <w:t>−</w:t>
                  </w:r>
                  <w:r>
                    <w:rPr>
                      <w:i/>
                      <w:spacing w:val="-5"/>
                      <w:sz w:val="24"/>
                      <w:vertAlign w:val="baseline"/>
                    </w:rPr>
                    <w:t>T</w:t>
                  </w:r>
                  <w:r>
                    <w:rPr>
                      <w:spacing w:val="-5"/>
                      <w:sz w:val="24"/>
                      <w:vertAlign w:val="subscript"/>
                    </w:rPr>
                    <w:t>23</w:t>
                  </w:r>
                  <w:r>
                    <w:rPr>
                      <w:spacing w:val="-5"/>
                      <w:sz w:val="24"/>
                      <w:vertAlign w:val="baseline"/>
                    </w:rPr>
                    <w:tab/>
                  </w:r>
                  <w:r>
                    <w:rPr>
                      <w:sz w:val="24"/>
                      <w:vertAlign w:val="baseline"/>
                    </w:rPr>
                    <w:t>0</w:t>
                    <w:tab/>
                  </w:r>
                  <w:r>
                    <w:rPr>
                      <w:rFonts w:ascii="Lucida Sans Unicode" w:hAnsi="Lucida Sans Unicode"/>
                      <w:w w:val="85"/>
                      <w:sz w:val="24"/>
                      <w:vertAlign w:val="baseline"/>
                    </w:rPr>
                    <w:t>· ·</w:t>
                  </w:r>
                  <w:r>
                    <w:rPr>
                      <w:rFonts w:ascii="Lucida Sans Unicode" w:hAnsi="Lucida Sans Unicode"/>
                      <w:spacing w:val="-56"/>
                      <w:w w:val="85"/>
                      <w:sz w:val="24"/>
                      <w:vertAlign w:val="baseline"/>
                    </w:rPr>
                    <w:t> </w:t>
                  </w:r>
                  <w:r>
                    <w:rPr>
                      <w:rFonts w:ascii="Lucida Sans Unicode" w:hAnsi="Lucida Sans Unicode"/>
                      <w:w w:val="85"/>
                      <w:sz w:val="24"/>
                      <w:vertAlign w:val="baseline"/>
                    </w:rPr>
                    <w:t>· </w:t>
                  </w:r>
                  <w:r>
                    <w:rPr>
                      <w:i/>
                      <w:spacing w:val="-3"/>
                      <w:sz w:val="24"/>
                      <w:vertAlign w:val="baseline"/>
                    </w:rPr>
                    <w:t>T</w:t>
                  </w:r>
                  <w:r>
                    <w:rPr>
                      <w:spacing w:val="-3"/>
                      <w:sz w:val="24"/>
                      <w:vertAlign w:val="subscript"/>
                    </w:rPr>
                    <w:t>3</w:t>
                  </w:r>
                  <w:r>
                    <w:rPr>
                      <w:i/>
                      <w:spacing w:val="-3"/>
                      <w:sz w:val="24"/>
                      <w:vertAlign w:val="subscript"/>
                    </w:rPr>
                    <w:t>n</w:t>
                  </w:r>
                  <w:r>
                    <w:rPr>
                      <w:rFonts w:ascii="Arial" w:hAnsi="Arial"/>
                      <w:spacing w:val="-3"/>
                      <w:position w:val="-20"/>
                      <w:sz w:val="24"/>
                      <w:vertAlign w:val="baseline"/>
                    </w:rPr>
                    <w:t></w:t>
                  </w:r>
                  <w:r>
                    <w:rPr>
                      <w:rFonts w:ascii="Arial" w:hAnsi="Arial"/>
                      <w:spacing w:val="-48"/>
                      <w:position w:val="-20"/>
                      <w:sz w:val="24"/>
                      <w:vertAlign w:val="baseline"/>
                    </w:rPr>
                    <w:t> </w:t>
                  </w:r>
                  <w:r>
                    <w:rPr>
                      <w:rFonts w:ascii="Verdana" w:hAnsi="Verdana"/>
                      <w:i/>
                      <w:position w:val="2"/>
                      <w:sz w:val="24"/>
                      <w:vertAlign w:val="baseline"/>
                    </w:rPr>
                    <w:t>.</w:t>
                    <w:tab/>
                  </w:r>
                  <w:r>
                    <w:rPr>
                      <w:spacing w:val="-7"/>
                      <w:position w:val="2"/>
                      <w:sz w:val="24"/>
                      <w:vertAlign w:val="baseline"/>
                    </w:rPr>
                    <w:t>(1)</w:t>
                  </w:r>
                </w:p>
              </w:txbxContent>
            </v:textbox>
            <w10:wrap type="none"/>
          </v:shape>
        </w:pict>
      </w:r>
      <w:r>
        <w:rPr/>
        <w:pict>
          <v:shape style="position:absolute;margin-left:250.912003pt;margin-top:39.23127pt;width:126.1pt;height:22.55pt;mso-position-horizontal-relative:page;mso-position-vertical-relative:paragraph;z-index:15729664" type="#_x0000_t202" filled="false" stroked="false">
            <v:textbox inset="0,0,0,0">
              <w:txbxContent>
                <w:p>
                  <w:pPr>
                    <w:pStyle w:val="BodyText"/>
                    <w:tabs>
                      <w:tab w:pos="794" w:val="left" w:leader="none"/>
                      <w:tab w:pos="1312" w:val="left" w:leader="none"/>
                      <w:tab w:pos="1828" w:val="left" w:leader="none"/>
                    </w:tabs>
                    <w:spacing w:line="327" w:lineRule="exact"/>
                    <w:rPr>
                      <w:i/>
                    </w:rPr>
                  </w:pPr>
                  <w:r>
                    <w:rPr>
                      <w:rFonts w:ascii="Lucida Sans Unicode" w:hAnsi="Lucida Sans Unicode"/>
                      <w:spacing w:val="-5"/>
                    </w:rPr>
                    <w:t>−</w:t>
                  </w:r>
                  <w:r>
                    <w:rPr>
                      <w:i/>
                      <w:spacing w:val="-5"/>
                    </w:rPr>
                    <w:t>T</w:t>
                  </w:r>
                  <w:r>
                    <w:rPr>
                      <w:spacing w:val="-5"/>
                      <w:vertAlign w:val="subscript"/>
                    </w:rPr>
                    <w:t>12</w:t>
                  </w:r>
                  <w:r>
                    <w:rPr>
                      <w:spacing w:val="-5"/>
                      <w:vertAlign w:val="baseline"/>
                    </w:rPr>
                    <w:tab/>
                  </w:r>
                  <w:r>
                    <w:rPr>
                      <w:vertAlign w:val="baseline"/>
                    </w:rPr>
                    <w:t>0</w:t>
                    <w:tab/>
                  </w:r>
                  <w:r>
                    <w:rPr>
                      <w:i/>
                      <w:spacing w:val="-6"/>
                      <w:vertAlign w:val="baseline"/>
                    </w:rPr>
                    <w:t>T</w:t>
                  </w:r>
                  <w:r>
                    <w:rPr>
                      <w:spacing w:val="-6"/>
                      <w:vertAlign w:val="subscript"/>
                    </w:rPr>
                    <w:t>23</w:t>
                  </w:r>
                  <w:r>
                    <w:rPr>
                      <w:spacing w:val="-6"/>
                      <w:vertAlign w:val="baseline"/>
                    </w:rPr>
                    <w:tab/>
                  </w:r>
                  <w:r>
                    <w:rPr>
                      <w:rFonts w:ascii="Lucida Sans Unicode" w:hAnsi="Lucida Sans Unicode"/>
                      <w:w w:val="80"/>
                      <w:vertAlign w:val="baseline"/>
                    </w:rPr>
                    <w:t>·</w:t>
                  </w:r>
                  <w:r>
                    <w:rPr>
                      <w:rFonts w:ascii="Lucida Sans Unicode" w:hAnsi="Lucida Sans Unicode"/>
                      <w:spacing w:val="-51"/>
                      <w:w w:val="80"/>
                      <w:vertAlign w:val="baseline"/>
                    </w:rPr>
                    <w:t> </w:t>
                  </w:r>
                  <w:r>
                    <w:rPr>
                      <w:rFonts w:ascii="Lucida Sans Unicode" w:hAnsi="Lucida Sans Unicode"/>
                      <w:w w:val="80"/>
                      <w:vertAlign w:val="baseline"/>
                    </w:rPr>
                    <w:t>·</w:t>
                  </w:r>
                  <w:r>
                    <w:rPr>
                      <w:rFonts w:ascii="Lucida Sans Unicode" w:hAnsi="Lucida Sans Unicode"/>
                      <w:spacing w:val="-50"/>
                      <w:w w:val="80"/>
                      <w:vertAlign w:val="baseline"/>
                    </w:rPr>
                    <w:t> </w:t>
                  </w:r>
                  <w:r>
                    <w:rPr>
                      <w:rFonts w:ascii="Lucida Sans Unicode" w:hAnsi="Lucida Sans Unicode"/>
                      <w:w w:val="80"/>
                      <w:vertAlign w:val="baseline"/>
                    </w:rPr>
                    <w:t>·</w:t>
                  </w:r>
                  <w:r>
                    <w:rPr>
                      <w:rFonts w:ascii="Lucida Sans Unicode" w:hAnsi="Lucida Sans Unicode"/>
                      <w:spacing w:val="-3"/>
                      <w:w w:val="80"/>
                      <w:vertAlign w:val="baseline"/>
                    </w:rPr>
                    <w:t> </w:t>
                  </w:r>
                  <w:r>
                    <w:rPr>
                      <w:i/>
                      <w:spacing w:val="-12"/>
                      <w:w w:val="95"/>
                      <w:vertAlign w:val="baseline"/>
                    </w:rPr>
                    <w:t>T</w:t>
                  </w:r>
                  <w:r>
                    <w:rPr>
                      <w:spacing w:val="-12"/>
                      <w:w w:val="95"/>
                      <w:vertAlign w:val="subscript"/>
                    </w:rPr>
                    <w:t>2</w:t>
                  </w:r>
                  <w:r>
                    <w:rPr>
                      <w:i/>
                      <w:spacing w:val="-12"/>
                      <w:w w:val="95"/>
                      <w:vertAlign w:val="subscript"/>
                    </w:rPr>
                    <w:t>n</w:t>
                  </w:r>
                </w:p>
              </w:txbxContent>
            </v:textbox>
            <w10:wrap type="none"/>
          </v:shape>
        </w:pict>
      </w:r>
      <w:r>
        <w:rPr>
          <w:rFonts w:ascii="Arial" w:hAnsi="Arial"/>
          <w:spacing w:val="-210"/>
          <w:w w:val="116"/>
          <w:position w:val="-17"/>
        </w:rPr>
        <w:t></w:t>
      </w:r>
      <w:r>
        <w:rPr>
          <w:rFonts w:ascii="Arial" w:hAnsi="Arial"/>
          <w:w w:val="116"/>
          <w:position w:val="24"/>
        </w:rPr>
        <w:t></w:t>
      </w:r>
      <w:r>
        <w:rPr>
          <w:rFonts w:ascii="Arial" w:hAnsi="Arial"/>
          <w:position w:val="24"/>
        </w:rPr>
        <w:t>  </w:t>
      </w:r>
      <w:r>
        <w:rPr>
          <w:rFonts w:ascii="Arial" w:hAnsi="Arial"/>
          <w:spacing w:val="-15"/>
          <w:position w:val="24"/>
        </w:rPr>
        <w:t> </w:t>
      </w:r>
      <w:r>
        <w:rPr>
          <w:w w:val="99"/>
        </w:rPr>
        <w:t>0</w:t>
      </w:r>
      <w:r>
        <w:rPr/>
        <w:tab/>
      </w:r>
      <w:r>
        <w:rPr>
          <w:i/>
          <w:spacing w:val="-18"/>
          <w:w w:val="99"/>
        </w:rPr>
        <w:t>T</w:t>
      </w:r>
      <w:r>
        <w:rPr>
          <w:w w:val="111"/>
          <w:vertAlign w:val="subscript"/>
        </w:rPr>
        <w:t>12</w:t>
      </w:r>
      <w:r>
        <w:rPr>
          <w:vertAlign w:val="baseline"/>
        </w:rPr>
        <w:tab/>
      </w:r>
      <w:r>
        <w:rPr>
          <w:i/>
          <w:spacing w:val="-18"/>
          <w:w w:val="99"/>
          <w:vertAlign w:val="baseline"/>
        </w:rPr>
        <w:t>T</w:t>
      </w:r>
      <w:r>
        <w:rPr>
          <w:w w:val="111"/>
          <w:vertAlign w:val="subscript"/>
        </w:rPr>
        <w:t>13</w:t>
      </w:r>
      <w:r>
        <w:rPr>
          <w:vertAlign w:val="baseline"/>
        </w:rPr>
        <w:tab/>
      </w:r>
      <w:r>
        <w:rPr>
          <w:rFonts w:ascii="Lucida Sans Unicode" w:hAnsi="Lucida Sans Unicode"/>
          <w:w w:val="43"/>
          <w:vertAlign w:val="baseline"/>
        </w:rPr>
        <w:t>·</w:t>
      </w:r>
      <w:r>
        <w:rPr>
          <w:rFonts w:ascii="Lucida Sans Unicode" w:hAnsi="Lucida Sans Unicode"/>
          <w:spacing w:val="-50"/>
          <w:vertAlign w:val="baseline"/>
        </w:rPr>
        <w:t> </w:t>
      </w:r>
      <w:r>
        <w:rPr>
          <w:rFonts w:ascii="Lucida Sans Unicode" w:hAnsi="Lucida Sans Unicode"/>
          <w:w w:val="43"/>
          <w:vertAlign w:val="baseline"/>
        </w:rPr>
        <w:t>·</w:t>
      </w:r>
      <w:r>
        <w:rPr>
          <w:rFonts w:ascii="Lucida Sans Unicode" w:hAnsi="Lucida Sans Unicode"/>
          <w:spacing w:val="-50"/>
          <w:vertAlign w:val="baseline"/>
        </w:rPr>
        <w:t> </w:t>
      </w:r>
      <w:r>
        <w:rPr>
          <w:rFonts w:ascii="Lucida Sans Unicode" w:hAnsi="Lucida Sans Unicode"/>
          <w:w w:val="43"/>
          <w:vertAlign w:val="baseline"/>
        </w:rPr>
        <w:t>·</w:t>
      </w:r>
      <w:r>
        <w:rPr>
          <w:rFonts w:ascii="Lucida Sans Unicode" w:hAnsi="Lucida Sans Unicode"/>
          <w:vertAlign w:val="baseline"/>
        </w:rPr>
        <w:t> </w:t>
      </w:r>
      <w:r>
        <w:rPr>
          <w:rFonts w:ascii="Lucida Sans Unicode" w:hAnsi="Lucida Sans Unicode"/>
          <w:spacing w:val="-6"/>
          <w:vertAlign w:val="baseline"/>
        </w:rPr>
        <w:t> </w:t>
      </w:r>
      <w:r>
        <w:rPr>
          <w:i/>
          <w:spacing w:val="-18"/>
          <w:w w:val="99"/>
          <w:vertAlign w:val="baseline"/>
        </w:rPr>
        <w:t>T</w:t>
      </w:r>
      <w:r>
        <w:rPr>
          <w:w w:val="111"/>
          <w:vertAlign w:val="subscript"/>
        </w:rPr>
        <w:t>1</w:t>
      </w:r>
      <w:r>
        <w:rPr>
          <w:i/>
          <w:spacing w:val="9"/>
          <w:w w:val="111"/>
          <w:vertAlign w:val="subscript"/>
        </w:rPr>
        <w:t>n</w:t>
      </w:r>
      <w:r>
        <w:rPr>
          <w:rFonts w:ascii="Arial" w:hAnsi="Arial"/>
          <w:spacing w:val="-210"/>
          <w:w w:val="116"/>
          <w:position w:val="24"/>
          <w:vertAlign w:val="baseline"/>
        </w:rPr>
        <w:t></w:t>
      </w:r>
      <w:r>
        <w:rPr>
          <w:rFonts w:ascii="Arial" w:hAnsi="Arial"/>
          <w:w w:val="116"/>
          <w:position w:val="-17"/>
          <w:vertAlign w:val="baseline"/>
        </w:rPr>
        <w:t></w:t>
      </w:r>
    </w:p>
    <w:p>
      <w:pPr>
        <w:pStyle w:val="BodyText"/>
        <w:rPr>
          <w:rFonts w:ascii="Arial"/>
          <w:sz w:val="20"/>
        </w:rPr>
      </w:pPr>
    </w:p>
    <w:p>
      <w:pPr>
        <w:pStyle w:val="BodyText"/>
        <w:rPr>
          <w:rFonts w:ascii="Arial"/>
          <w:sz w:val="20"/>
        </w:rPr>
      </w:pPr>
    </w:p>
    <w:p>
      <w:pPr>
        <w:spacing w:after="0"/>
        <w:rPr>
          <w:rFonts w:ascii="Arial"/>
          <w:sz w:val="20"/>
        </w:rPr>
        <w:sectPr>
          <w:pgSz w:w="12240" w:h="15840"/>
          <w:pgMar w:header="0" w:footer="563" w:top="1340" w:bottom="760" w:left="1320" w:right="1360"/>
        </w:sectPr>
      </w:pPr>
    </w:p>
    <w:p>
      <w:pPr>
        <w:pStyle w:val="BodyText"/>
        <w:tabs>
          <w:tab w:pos="424" w:val="left" w:leader="none"/>
        </w:tabs>
        <w:spacing w:before="273"/>
        <w:jc w:val="right"/>
      </w:pPr>
      <w:r>
        <w:rPr>
          <w:rFonts w:ascii="Arial" w:hAnsi="Arial"/>
          <w:spacing w:val="-210"/>
          <w:w w:val="116"/>
          <w:position w:val="-14"/>
        </w:rPr>
        <w:t></w:t>
      </w:r>
      <w:r>
        <w:rPr>
          <w:rFonts w:ascii="Arial" w:hAnsi="Arial"/>
          <w:w w:val="116"/>
        </w:rPr>
        <w:t></w:t>
      </w:r>
      <w:r>
        <w:rPr>
          <w:rFonts w:ascii="Arial" w:hAnsi="Arial"/>
        </w:rPr>
        <w:tab/>
      </w:r>
      <w:r>
        <w:rPr>
          <w:w w:val="99"/>
          <w:position w:val="-7"/>
        </w:rPr>
        <w:t>.</w:t>
      </w:r>
    </w:p>
    <w:p>
      <w:pPr>
        <w:pStyle w:val="BodyText"/>
        <w:tabs>
          <w:tab w:pos="1119" w:val="left" w:leader="none"/>
          <w:tab w:pos="1513" w:val="left" w:leader="none"/>
        </w:tabs>
        <w:spacing w:before="311"/>
        <w:ind w:left="509"/>
        <w:rPr>
          <w:rFonts w:ascii="Lucida Sans Unicode" w:hAnsi="Lucida Sans Unicode"/>
        </w:rPr>
      </w:pPr>
      <w:r>
        <w:rPr/>
        <w:br w:type="column"/>
      </w:r>
      <w:r>
        <w:rPr>
          <w:w w:val="90"/>
        </w:rPr>
        <w:t>.</w:t>
        <w:tab/>
        <w:t>.</w:t>
        <w:tab/>
      </w:r>
      <w:r>
        <w:rPr>
          <w:rFonts w:ascii="Lucida Sans Unicode" w:hAnsi="Lucida Sans Unicode"/>
          <w:w w:val="50"/>
        </w:rPr>
        <w:t>·</w:t>
      </w:r>
      <w:r>
        <w:rPr>
          <w:rFonts w:ascii="Lucida Sans Unicode" w:hAnsi="Lucida Sans Unicode"/>
          <w:spacing w:val="-23"/>
          <w:w w:val="50"/>
        </w:rPr>
        <w:t> </w:t>
      </w:r>
      <w:r>
        <w:rPr>
          <w:rFonts w:ascii="Lucida Sans Unicode" w:hAnsi="Lucida Sans Unicode"/>
          <w:w w:val="50"/>
        </w:rPr>
        <w:t>·</w:t>
      </w:r>
      <w:r>
        <w:rPr>
          <w:rFonts w:ascii="Lucida Sans Unicode" w:hAnsi="Lucida Sans Unicode"/>
          <w:spacing w:val="-22"/>
          <w:w w:val="50"/>
        </w:rPr>
        <w:t> </w:t>
      </w:r>
      <w:r>
        <w:rPr>
          <w:rFonts w:ascii="Lucida Sans Unicode" w:hAnsi="Lucida Sans Unicode"/>
          <w:spacing w:val="-18"/>
          <w:w w:val="50"/>
        </w:rPr>
        <w:t>·</w:t>
      </w:r>
    </w:p>
    <w:p>
      <w:pPr>
        <w:pStyle w:val="BodyText"/>
        <w:spacing w:before="273"/>
        <w:ind w:left="228"/>
        <w:rPr>
          <w:rFonts w:ascii="Arial" w:hAnsi="Arial"/>
        </w:rPr>
      </w:pPr>
      <w:r>
        <w:rPr/>
        <w:br w:type="column"/>
      </w:r>
      <w:r>
        <w:rPr>
          <w:w w:val="99"/>
          <w:position w:val="-7"/>
        </w:rPr>
        <w:t>.</w:t>
      </w:r>
      <w:r>
        <w:rPr>
          <w:position w:val="-7"/>
        </w:rPr>
        <w:t> </w:t>
      </w:r>
      <w:r>
        <w:rPr>
          <w:spacing w:val="2"/>
          <w:position w:val="-7"/>
        </w:rPr>
        <w:t> </w:t>
      </w:r>
      <w:r>
        <w:rPr>
          <w:rFonts w:ascii="Arial" w:hAnsi="Arial"/>
          <w:spacing w:val="-210"/>
          <w:w w:val="116"/>
        </w:rPr>
        <w:t></w:t>
      </w:r>
      <w:r>
        <w:rPr>
          <w:rFonts w:ascii="Arial" w:hAnsi="Arial"/>
          <w:w w:val="116"/>
          <w:position w:val="-14"/>
        </w:rPr>
        <w:t></w:t>
      </w:r>
    </w:p>
    <w:p>
      <w:pPr>
        <w:spacing w:after="0"/>
        <w:rPr>
          <w:rFonts w:ascii="Arial" w:hAnsi="Arial"/>
        </w:rPr>
        <w:sectPr>
          <w:type w:val="continuous"/>
          <w:pgSz w:w="12240" w:h="15840"/>
          <w:pgMar w:top="1280" w:bottom="760" w:left="1320" w:right="1360"/>
          <w:cols w:num="3" w:equalWidth="0">
            <w:col w:w="3974" w:space="40"/>
            <w:col w:w="1766" w:space="39"/>
            <w:col w:w="3741"/>
          </w:cols>
        </w:sectPr>
      </w:pPr>
    </w:p>
    <w:p>
      <w:pPr>
        <w:tabs>
          <w:tab w:pos="2594" w:val="left" w:leader="none"/>
        </w:tabs>
        <w:spacing w:before="31"/>
        <w:ind w:left="275" w:right="0" w:firstLine="0"/>
        <w:jc w:val="center"/>
        <w:rPr>
          <w:sz w:val="24"/>
        </w:rPr>
      </w:pPr>
      <w:r>
        <w:rPr>
          <w:rFonts w:ascii="Lucida Sans Unicode" w:hAnsi="Lucida Sans Unicode"/>
          <w:spacing w:val="-5"/>
          <w:w w:val="95"/>
          <w:sz w:val="24"/>
        </w:rPr>
        <w:t>−</w:t>
      </w:r>
      <w:r>
        <w:rPr>
          <w:i/>
          <w:spacing w:val="-5"/>
          <w:w w:val="95"/>
          <w:sz w:val="24"/>
        </w:rPr>
        <w:t>T</w:t>
      </w:r>
      <w:r>
        <w:rPr>
          <w:spacing w:val="-5"/>
          <w:w w:val="95"/>
          <w:sz w:val="24"/>
          <w:vertAlign w:val="subscript"/>
        </w:rPr>
        <w:t>1</w:t>
      </w:r>
      <w:r>
        <w:rPr>
          <w:i/>
          <w:spacing w:val="-5"/>
          <w:w w:val="95"/>
          <w:sz w:val="24"/>
          <w:vertAlign w:val="subscript"/>
        </w:rPr>
        <w:t>n</w:t>
      </w:r>
      <w:r>
        <w:rPr>
          <w:i/>
          <w:spacing w:val="-5"/>
          <w:w w:val="95"/>
          <w:sz w:val="24"/>
          <w:vertAlign w:val="baseline"/>
        </w:rPr>
        <w:t>  </w:t>
      </w:r>
      <w:r>
        <w:rPr>
          <w:rFonts w:ascii="Lucida Sans Unicode" w:hAnsi="Lucida Sans Unicode"/>
          <w:spacing w:val="-5"/>
          <w:w w:val="95"/>
          <w:sz w:val="24"/>
          <w:vertAlign w:val="baseline"/>
        </w:rPr>
        <w:t>−</w:t>
      </w:r>
      <w:r>
        <w:rPr>
          <w:i/>
          <w:spacing w:val="-5"/>
          <w:w w:val="95"/>
          <w:sz w:val="24"/>
          <w:vertAlign w:val="baseline"/>
        </w:rPr>
        <w:t>T</w:t>
      </w:r>
      <w:r>
        <w:rPr>
          <w:spacing w:val="-5"/>
          <w:w w:val="95"/>
          <w:sz w:val="24"/>
          <w:vertAlign w:val="subscript"/>
        </w:rPr>
        <w:t>2</w:t>
      </w:r>
      <w:r>
        <w:rPr>
          <w:i/>
          <w:spacing w:val="-5"/>
          <w:w w:val="95"/>
          <w:sz w:val="24"/>
          <w:vertAlign w:val="subscript"/>
        </w:rPr>
        <w:t>n</w:t>
      </w:r>
      <w:r>
        <w:rPr>
          <w:i/>
          <w:spacing w:val="-5"/>
          <w:w w:val="95"/>
          <w:sz w:val="24"/>
          <w:vertAlign w:val="baseline"/>
        </w:rPr>
        <w:t>  </w:t>
      </w:r>
      <w:r>
        <w:rPr>
          <w:rFonts w:ascii="Lucida Sans Unicode" w:hAnsi="Lucida Sans Unicode"/>
          <w:spacing w:val="-5"/>
          <w:w w:val="95"/>
          <w:sz w:val="24"/>
          <w:vertAlign w:val="baseline"/>
        </w:rPr>
        <w:t>−</w:t>
      </w:r>
      <w:r>
        <w:rPr>
          <w:i/>
          <w:spacing w:val="-5"/>
          <w:w w:val="95"/>
          <w:sz w:val="24"/>
          <w:vertAlign w:val="baseline"/>
        </w:rPr>
        <w:t>T</w:t>
      </w:r>
      <w:r>
        <w:rPr>
          <w:spacing w:val="-5"/>
          <w:w w:val="95"/>
          <w:sz w:val="24"/>
          <w:vertAlign w:val="subscript"/>
        </w:rPr>
        <w:t>3</w:t>
      </w:r>
      <w:r>
        <w:rPr>
          <w:i/>
          <w:spacing w:val="-5"/>
          <w:w w:val="95"/>
          <w:sz w:val="24"/>
          <w:vertAlign w:val="subscript"/>
        </w:rPr>
        <w:t>n</w:t>
      </w:r>
      <w:r>
        <w:rPr>
          <w:i/>
          <w:spacing w:val="-5"/>
          <w:w w:val="95"/>
          <w:sz w:val="24"/>
          <w:vertAlign w:val="baseline"/>
        </w:rPr>
        <w:t>  </w:t>
      </w:r>
      <w:r>
        <w:rPr>
          <w:rFonts w:ascii="Lucida Sans Unicode" w:hAnsi="Lucida Sans Unicode"/>
          <w:w w:val="80"/>
          <w:sz w:val="24"/>
          <w:vertAlign w:val="baseline"/>
        </w:rPr>
        <w:t>·</w:t>
      </w:r>
      <w:r>
        <w:rPr>
          <w:rFonts w:ascii="Lucida Sans Unicode" w:hAnsi="Lucida Sans Unicode"/>
          <w:spacing w:val="8"/>
          <w:w w:val="80"/>
          <w:sz w:val="24"/>
          <w:vertAlign w:val="baseline"/>
        </w:rPr>
        <w:t> </w:t>
      </w:r>
      <w:r>
        <w:rPr>
          <w:rFonts w:ascii="Lucida Sans Unicode" w:hAnsi="Lucida Sans Unicode"/>
          <w:w w:val="80"/>
          <w:sz w:val="24"/>
          <w:vertAlign w:val="baseline"/>
        </w:rPr>
        <w:t>·</w:t>
      </w:r>
      <w:r>
        <w:rPr>
          <w:rFonts w:ascii="Lucida Sans Unicode" w:hAnsi="Lucida Sans Unicode"/>
          <w:spacing w:val="-37"/>
          <w:w w:val="80"/>
          <w:sz w:val="24"/>
          <w:vertAlign w:val="baseline"/>
        </w:rPr>
        <w:t> </w:t>
      </w:r>
      <w:r>
        <w:rPr>
          <w:rFonts w:ascii="Lucida Sans Unicode" w:hAnsi="Lucida Sans Unicode"/>
          <w:w w:val="80"/>
          <w:sz w:val="24"/>
          <w:vertAlign w:val="baseline"/>
        </w:rPr>
        <w:t>·</w:t>
        <w:tab/>
      </w:r>
      <w:r>
        <w:rPr>
          <w:w w:val="95"/>
          <w:sz w:val="24"/>
          <w:vertAlign w:val="baseline"/>
        </w:rPr>
        <w:t>0</w:t>
      </w:r>
    </w:p>
    <w:p>
      <w:pPr>
        <w:pStyle w:val="BodyText"/>
        <w:spacing w:line="418" w:lineRule="exact" w:before="288"/>
        <w:ind w:left="119" w:right="112"/>
        <w:jc w:val="both"/>
      </w:pPr>
      <w:r>
        <w:rPr/>
        <w:t>This representation excludes balances of the ECB and the Extra Euro Area (outside of the </w:t>
      </w:r>
      <w:r>
        <w:rPr>
          <w:spacing w:val="-3"/>
        </w:rPr>
        <w:t>EU), </w:t>
      </w:r>
      <w:r>
        <w:rPr/>
        <w:t>whose</w:t>
      </w:r>
      <w:r>
        <w:rPr>
          <w:spacing w:val="-12"/>
        </w:rPr>
        <w:t> </w:t>
      </w:r>
      <w:r>
        <w:rPr/>
        <w:t>inclusion</w:t>
      </w:r>
      <w:r>
        <w:rPr>
          <w:spacing w:val="-12"/>
        </w:rPr>
        <w:t> </w:t>
      </w:r>
      <w:r>
        <w:rPr/>
        <w:t>is</w:t>
      </w:r>
      <w:r>
        <w:rPr>
          <w:spacing w:val="-12"/>
        </w:rPr>
        <w:t> </w:t>
      </w:r>
      <w:r>
        <w:rPr/>
        <w:t>straightforward.</w:t>
      </w:r>
      <w:r>
        <w:rPr>
          <w:spacing w:val="7"/>
        </w:rPr>
        <w:t> </w:t>
      </w:r>
      <w:r>
        <w:rPr/>
        <w:t>There</w:t>
      </w:r>
      <w:r>
        <w:rPr>
          <w:spacing w:val="-12"/>
        </w:rPr>
        <w:t> </w:t>
      </w:r>
      <w:r>
        <w:rPr/>
        <w:t>are</w:t>
      </w:r>
      <w:r>
        <w:rPr>
          <w:spacing w:val="-11"/>
        </w:rPr>
        <w:t> </w:t>
      </w:r>
      <w:r>
        <w:rPr/>
        <w:t>currently</w:t>
      </w:r>
      <w:r>
        <w:rPr>
          <w:spacing w:val="-12"/>
        </w:rPr>
        <w:t> </w:t>
      </w:r>
      <w:r>
        <w:rPr/>
        <w:t>20</w:t>
      </w:r>
      <w:r>
        <w:rPr>
          <w:spacing w:val="-12"/>
        </w:rPr>
        <w:t> </w:t>
      </w:r>
      <w:r>
        <w:rPr/>
        <w:t>NCBs</w:t>
      </w:r>
      <w:r>
        <w:rPr>
          <w:spacing w:val="-12"/>
        </w:rPr>
        <w:t> </w:t>
      </w:r>
      <w:r>
        <w:rPr/>
        <w:t>in</w:t>
      </w:r>
      <w:r>
        <w:rPr>
          <w:spacing w:val="-12"/>
        </w:rPr>
        <w:t> </w:t>
      </w:r>
      <w:r>
        <w:rPr/>
        <w:t>the</w:t>
      </w:r>
      <w:r>
        <w:rPr>
          <w:spacing w:val="-12"/>
        </w:rPr>
        <w:t> </w:t>
      </w:r>
      <w:r>
        <w:rPr/>
        <w:t>Eurosystem</w:t>
      </w:r>
      <w:r>
        <w:rPr>
          <w:spacing w:val="-11"/>
        </w:rPr>
        <w:t> </w:t>
      </w:r>
      <w:r>
        <w:rPr/>
        <w:t>(excluding</w:t>
      </w:r>
      <w:r>
        <w:rPr>
          <w:spacing w:val="-12"/>
        </w:rPr>
        <w:t> </w:t>
      </w:r>
      <w:r>
        <w:rPr/>
        <w:t>the ECB), so </w:t>
      </w:r>
      <w:r>
        <w:rPr>
          <w:i/>
        </w:rPr>
        <w:t>n </w:t>
      </w:r>
      <w:r>
        <w:rPr>
          <w:rFonts w:ascii="Tahoma" w:hAnsi="Tahoma"/>
        </w:rPr>
        <w:t>= </w:t>
      </w:r>
      <w:r>
        <w:rPr/>
        <w:t>20. Including the ECB and the Extra Euro Area would result in </w:t>
      </w:r>
      <w:r>
        <w:rPr>
          <w:i/>
        </w:rPr>
        <w:t>n </w:t>
      </w:r>
      <w:r>
        <w:rPr>
          <w:rFonts w:ascii="Tahoma" w:hAnsi="Tahoma"/>
        </w:rPr>
        <w:t>= </w:t>
      </w:r>
      <w:r>
        <w:rPr/>
        <w:t>21 and </w:t>
      </w:r>
      <w:r>
        <w:rPr>
          <w:i/>
        </w:rPr>
        <w:t>n </w:t>
      </w:r>
      <w:r>
        <w:rPr>
          <w:rFonts w:ascii="Tahoma" w:hAnsi="Tahoma"/>
        </w:rPr>
        <w:t>=</w:t>
      </w:r>
      <w:r>
        <w:rPr>
          <w:rFonts w:ascii="Tahoma" w:hAnsi="Tahoma"/>
          <w:spacing w:val="-32"/>
        </w:rPr>
        <w:t> </w:t>
      </w:r>
      <w:r>
        <w:rPr/>
        <w:t>22, respectively. The number of independent inter-NCB </w:t>
      </w:r>
      <w:r>
        <w:rPr>
          <w:spacing w:val="-4"/>
        </w:rPr>
        <w:t>TARGET </w:t>
      </w:r>
      <w:r>
        <w:rPr/>
        <w:t>balances per day is </w:t>
      </w:r>
      <w:r>
        <w:rPr>
          <w:rFonts w:ascii="Tahoma" w:hAnsi="Tahoma"/>
        </w:rPr>
        <w:t>(</w:t>
      </w:r>
      <w:r>
        <w:rPr>
          <w:i/>
        </w:rPr>
        <w:t>n</w:t>
      </w:r>
      <w:r>
        <w:rPr>
          <w:vertAlign w:val="superscript"/>
        </w:rPr>
        <w:t>2</w:t>
      </w:r>
      <w:r>
        <w:rPr>
          <w:vertAlign w:val="baseline"/>
        </w:rPr>
        <w:t> </w:t>
      </w:r>
      <w:r>
        <w:rPr>
          <w:rFonts w:ascii="Lucida Sans Unicode" w:hAnsi="Lucida Sans Unicode"/>
          <w:vertAlign w:val="baseline"/>
        </w:rPr>
        <w:t>− </w:t>
      </w:r>
      <w:r>
        <w:rPr>
          <w:i/>
          <w:vertAlign w:val="baseline"/>
        </w:rPr>
        <w:t>n</w:t>
      </w:r>
      <w:r>
        <w:rPr>
          <w:rFonts w:ascii="Tahoma" w:hAnsi="Tahoma"/>
          <w:vertAlign w:val="baseline"/>
        </w:rPr>
        <w:t>)</w:t>
      </w:r>
      <w:r>
        <w:rPr>
          <w:rFonts w:ascii="Verdana" w:hAnsi="Verdana"/>
          <w:i/>
          <w:vertAlign w:val="baseline"/>
        </w:rPr>
        <w:t>/</w:t>
      </w:r>
      <w:r>
        <w:rPr>
          <w:vertAlign w:val="baseline"/>
        </w:rPr>
        <w:t>2 </w:t>
      </w:r>
      <w:r>
        <w:rPr>
          <w:rFonts w:ascii="Tahoma" w:hAnsi="Tahoma"/>
          <w:vertAlign w:val="baseline"/>
        </w:rPr>
        <w:t>= </w:t>
      </w:r>
      <w:r>
        <w:rPr>
          <w:i/>
          <w:vertAlign w:val="baseline"/>
        </w:rPr>
        <w:t>n</w:t>
      </w:r>
      <w:r>
        <w:rPr>
          <w:rFonts w:ascii="Tahoma" w:hAnsi="Tahoma"/>
          <w:vertAlign w:val="baseline"/>
        </w:rPr>
        <w:t>(</w:t>
      </w:r>
      <w:r>
        <w:rPr>
          <w:i/>
          <w:vertAlign w:val="baseline"/>
        </w:rPr>
        <w:t>n</w:t>
      </w:r>
      <w:r>
        <w:rPr>
          <w:i/>
          <w:spacing w:val="-27"/>
          <w:vertAlign w:val="baseline"/>
        </w:rPr>
        <w:t> </w:t>
      </w:r>
      <w:r>
        <w:rPr>
          <w:rFonts w:ascii="Lucida Sans Unicode" w:hAnsi="Lucida Sans Unicode"/>
          <w:vertAlign w:val="baseline"/>
        </w:rPr>
        <w:t>−</w:t>
      </w:r>
      <w:r>
        <w:rPr>
          <w:rFonts w:ascii="Lucida Sans Unicode" w:hAnsi="Lucida Sans Unicode"/>
          <w:spacing w:val="-43"/>
          <w:vertAlign w:val="baseline"/>
        </w:rPr>
        <w:t> </w:t>
      </w:r>
      <w:r>
        <w:rPr>
          <w:vertAlign w:val="baseline"/>
        </w:rPr>
        <w:t>1</w:t>
      </w:r>
      <w:r>
        <w:rPr>
          <w:rFonts w:ascii="Tahoma" w:hAnsi="Tahoma"/>
          <w:vertAlign w:val="baseline"/>
        </w:rPr>
        <w:t>)</w:t>
      </w:r>
      <w:r>
        <w:rPr>
          <w:rFonts w:ascii="Verdana" w:hAnsi="Verdana"/>
          <w:i/>
          <w:vertAlign w:val="baseline"/>
        </w:rPr>
        <w:t>/</w:t>
      </w:r>
      <w:r>
        <w:rPr>
          <w:vertAlign w:val="baseline"/>
        </w:rPr>
        <w:t>2,</w:t>
      </w:r>
      <w:r>
        <w:rPr>
          <w:spacing w:val="-1"/>
          <w:vertAlign w:val="baseline"/>
        </w:rPr>
        <w:t> </w:t>
      </w:r>
      <w:r>
        <w:rPr>
          <w:vertAlign w:val="baseline"/>
        </w:rPr>
        <w:t>which equals</w:t>
      </w:r>
      <w:r>
        <w:rPr>
          <w:spacing w:val="-1"/>
          <w:vertAlign w:val="baseline"/>
        </w:rPr>
        <w:t> </w:t>
      </w:r>
      <w:r>
        <w:rPr>
          <w:vertAlign w:val="baseline"/>
        </w:rPr>
        <w:t>190</w:t>
      </w:r>
      <w:r>
        <w:rPr>
          <w:spacing w:val="-1"/>
          <w:vertAlign w:val="baseline"/>
        </w:rPr>
        <w:t> </w:t>
      </w:r>
      <w:r>
        <w:rPr>
          <w:vertAlign w:val="baseline"/>
        </w:rPr>
        <w:t>for </w:t>
      </w:r>
      <w:r>
        <w:rPr>
          <w:i/>
          <w:vertAlign w:val="baseline"/>
        </w:rPr>
        <w:t>n</w:t>
      </w:r>
      <w:r>
        <w:rPr>
          <w:i/>
          <w:spacing w:val="-7"/>
          <w:vertAlign w:val="baseline"/>
        </w:rPr>
        <w:t> </w:t>
      </w:r>
      <w:r>
        <w:rPr>
          <w:rFonts w:ascii="Tahoma" w:hAnsi="Tahoma"/>
          <w:vertAlign w:val="baseline"/>
        </w:rPr>
        <w:t>=</w:t>
      </w:r>
      <w:r>
        <w:rPr>
          <w:rFonts w:ascii="Tahoma" w:hAnsi="Tahoma"/>
          <w:spacing w:val="-22"/>
          <w:vertAlign w:val="baseline"/>
        </w:rPr>
        <w:t> </w:t>
      </w:r>
      <w:r>
        <w:rPr>
          <w:vertAlign w:val="baseline"/>
        </w:rPr>
        <w:t>20, 210</w:t>
      </w:r>
      <w:r>
        <w:rPr>
          <w:spacing w:val="-1"/>
          <w:vertAlign w:val="baseline"/>
        </w:rPr>
        <w:t> </w:t>
      </w:r>
      <w:r>
        <w:rPr>
          <w:vertAlign w:val="baseline"/>
        </w:rPr>
        <w:t>for</w:t>
      </w:r>
      <w:r>
        <w:rPr>
          <w:spacing w:val="-1"/>
          <w:vertAlign w:val="baseline"/>
        </w:rPr>
        <w:t> </w:t>
      </w:r>
      <w:r>
        <w:rPr>
          <w:i/>
          <w:vertAlign w:val="baseline"/>
        </w:rPr>
        <w:t>n</w:t>
      </w:r>
      <w:r>
        <w:rPr>
          <w:i/>
          <w:spacing w:val="-6"/>
          <w:vertAlign w:val="baseline"/>
        </w:rPr>
        <w:t> </w:t>
      </w:r>
      <w:r>
        <w:rPr>
          <w:rFonts w:ascii="Tahoma" w:hAnsi="Tahoma"/>
          <w:vertAlign w:val="baseline"/>
        </w:rPr>
        <w:t>=</w:t>
      </w:r>
      <w:r>
        <w:rPr>
          <w:rFonts w:ascii="Tahoma" w:hAnsi="Tahoma"/>
          <w:spacing w:val="-22"/>
          <w:vertAlign w:val="baseline"/>
        </w:rPr>
        <w:t> </w:t>
      </w:r>
      <w:r>
        <w:rPr>
          <w:vertAlign w:val="baseline"/>
        </w:rPr>
        <w:t>21,</w:t>
      </w:r>
      <w:r>
        <w:rPr>
          <w:spacing w:val="-1"/>
          <w:vertAlign w:val="baseline"/>
        </w:rPr>
        <w:t> </w:t>
      </w:r>
      <w:r>
        <w:rPr>
          <w:vertAlign w:val="baseline"/>
        </w:rPr>
        <w:t>and 231</w:t>
      </w:r>
      <w:r>
        <w:rPr>
          <w:spacing w:val="-1"/>
          <w:vertAlign w:val="baseline"/>
        </w:rPr>
        <w:t> </w:t>
      </w:r>
      <w:r>
        <w:rPr>
          <w:vertAlign w:val="baseline"/>
        </w:rPr>
        <w:t>for</w:t>
      </w:r>
      <w:r>
        <w:rPr>
          <w:spacing w:val="-1"/>
          <w:vertAlign w:val="baseline"/>
        </w:rPr>
        <w:t> </w:t>
      </w:r>
      <w:r>
        <w:rPr>
          <w:i/>
          <w:vertAlign w:val="baseline"/>
        </w:rPr>
        <w:t>n</w:t>
      </w:r>
      <w:r>
        <w:rPr>
          <w:i/>
          <w:spacing w:val="-6"/>
          <w:vertAlign w:val="baseline"/>
        </w:rPr>
        <w:t> </w:t>
      </w:r>
      <w:r>
        <w:rPr>
          <w:rFonts w:ascii="Tahoma" w:hAnsi="Tahoma"/>
          <w:vertAlign w:val="baseline"/>
        </w:rPr>
        <w:t>=</w:t>
      </w:r>
      <w:r>
        <w:rPr>
          <w:rFonts w:ascii="Tahoma" w:hAnsi="Tahoma"/>
          <w:spacing w:val="-22"/>
          <w:vertAlign w:val="baseline"/>
        </w:rPr>
        <w:t> </w:t>
      </w:r>
      <w:r>
        <w:rPr>
          <w:vertAlign w:val="baseline"/>
        </w:rPr>
        <w:t>22.</w:t>
      </w:r>
    </w:p>
    <w:p>
      <w:pPr>
        <w:pStyle w:val="BodyText"/>
        <w:spacing w:before="157"/>
        <w:ind w:left="303"/>
        <w:jc w:val="center"/>
        <w:rPr>
          <w:i/>
        </w:rPr>
      </w:pPr>
      <w:r>
        <w:rPr/>
        <w:t>The current TARGET reporting aggregates these balances into </w:t>
      </w:r>
      <w:r>
        <w:rPr>
          <w:i/>
        </w:rPr>
        <w:t>n </w:t>
      </w:r>
      <w:r>
        <w:rPr>
          <w:rFonts w:ascii="Tahoma"/>
        </w:rPr>
        <w:t>= </w:t>
      </w:r>
      <w:r>
        <w:rPr/>
        <w:t>20, as it only captures the </w:t>
      </w:r>
      <w:r>
        <w:rPr>
          <w:i/>
        </w:rPr>
        <w:t>n</w:t>
      </w:r>
    </w:p>
    <w:p>
      <w:pPr>
        <w:spacing w:after="0"/>
        <w:jc w:val="center"/>
        <w:sectPr>
          <w:type w:val="continuous"/>
          <w:pgSz w:w="12240" w:h="15840"/>
          <w:pgMar w:top="1280" w:bottom="760" w:left="1320" w:right="1360"/>
        </w:sectPr>
      </w:pPr>
    </w:p>
    <w:p>
      <w:pPr>
        <w:pStyle w:val="BodyText"/>
        <w:spacing w:before="75"/>
        <w:ind w:left="120"/>
      </w:pPr>
      <w:r>
        <w:rPr/>
        <w:t>aggregate sums</w:t>
      </w:r>
    </w:p>
    <w:p>
      <w:pPr>
        <w:pStyle w:val="BodyText"/>
        <w:spacing w:before="6"/>
        <w:rPr>
          <w:sz w:val="25"/>
        </w:rPr>
      </w:pPr>
      <w:r>
        <w:rPr/>
        <w:br w:type="column"/>
      </w:r>
      <w:r>
        <w:rPr>
          <w:sz w:val="25"/>
        </w:rPr>
      </w:r>
    </w:p>
    <w:p>
      <w:pPr>
        <w:spacing w:line="178" w:lineRule="exact" w:before="0"/>
        <w:ind w:left="697" w:right="0" w:firstLine="0"/>
        <w:jc w:val="left"/>
        <w:rPr>
          <w:i/>
          <w:sz w:val="18"/>
        </w:rPr>
      </w:pPr>
      <w:r>
        <w:rPr>
          <w:i/>
          <w:w w:val="99"/>
          <w:sz w:val="18"/>
        </w:rPr>
        <w:t>n</w:t>
      </w:r>
    </w:p>
    <w:p>
      <w:pPr>
        <w:tabs>
          <w:tab w:pos="5033" w:val="left" w:leader="none"/>
        </w:tabs>
        <w:spacing w:line="350" w:lineRule="exact" w:before="0"/>
        <w:ind w:left="120" w:right="0" w:firstLine="0"/>
        <w:jc w:val="left"/>
        <w:rPr>
          <w:sz w:val="24"/>
        </w:rPr>
      </w:pPr>
      <w:r>
        <w:rPr>
          <w:i/>
          <w:spacing w:val="-9"/>
          <w:w w:val="110"/>
          <w:sz w:val="24"/>
        </w:rPr>
        <w:t>T</w:t>
      </w:r>
      <w:r>
        <w:rPr>
          <w:i/>
          <w:spacing w:val="-9"/>
          <w:w w:val="110"/>
          <w:sz w:val="24"/>
          <w:vertAlign w:val="subscript"/>
        </w:rPr>
        <w:t>i</w:t>
      </w:r>
      <w:r>
        <w:rPr>
          <w:i/>
          <w:spacing w:val="-9"/>
          <w:w w:val="110"/>
          <w:sz w:val="24"/>
          <w:vertAlign w:val="baseline"/>
        </w:rPr>
        <w:t> </w:t>
      </w:r>
      <w:r>
        <w:rPr>
          <w:rFonts w:ascii="Tahoma" w:hAnsi="Tahoma"/>
          <w:w w:val="110"/>
          <w:sz w:val="24"/>
          <w:vertAlign w:val="baseline"/>
        </w:rPr>
        <w:t>= </w:t>
      </w:r>
      <w:r>
        <w:rPr>
          <w:rFonts w:ascii="Calibri" w:hAnsi="Calibri"/>
          <w:w w:val="115"/>
          <w:position w:val="-4"/>
          <w:sz w:val="34"/>
          <w:vertAlign w:val="baseline"/>
        </w:rPr>
        <w:t>∑</w:t>
      </w:r>
      <w:r>
        <w:rPr>
          <w:rFonts w:ascii="Calibri" w:hAnsi="Calibri"/>
          <w:spacing w:val="-21"/>
          <w:w w:val="115"/>
          <w:position w:val="-4"/>
          <w:sz w:val="34"/>
          <w:vertAlign w:val="baseline"/>
        </w:rPr>
        <w:t> </w:t>
      </w:r>
      <w:r>
        <w:rPr>
          <w:i/>
          <w:spacing w:val="-9"/>
          <w:w w:val="110"/>
          <w:sz w:val="24"/>
          <w:vertAlign w:val="baseline"/>
        </w:rPr>
        <w:t>T</w:t>
      </w:r>
      <w:r>
        <w:rPr>
          <w:i/>
          <w:spacing w:val="-9"/>
          <w:w w:val="110"/>
          <w:sz w:val="24"/>
          <w:vertAlign w:val="subscript"/>
        </w:rPr>
        <w:t>i</w:t>
      </w:r>
      <w:r>
        <w:rPr>
          <w:i/>
          <w:spacing w:val="-40"/>
          <w:w w:val="110"/>
          <w:sz w:val="24"/>
          <w:vertAlign w:val="baseline"/>
        </w:rPr>
        <w:t> </w:t>
      </w:r>
      <w:r>
        <w:rPr>
          <w:i/>
          <w:w w:val="110"/>
          <w:sz w:val="24"/>
          <w:vertAlign w:val="subscript"/>
        </w:rPr>
        <w:t>j</w:t>
      </w:r>
      <w:r>
        <w:rPr>
          <w:i/>
          <w:w w:val="110"/>
          <w:sz w:val="24"/>
          <w:vertAlign w:val="baseline"/>
        </w:rPr>
        <w:tab/>
      </w:r>
      <w:r>
        <w:rPr>
          <w:w w:val="110"/>
          <w:sz w:val="24"/>
          <w:vertAlign w:val="baseline"/>
        </w:rPr>
        <w:t>(2)</w:t>
      </w:r>
    </w:p>
    <w:p>
      <w:pPr>
        <w:spacing w:line="182" w:lineRule="exact" w:before="0"/>
        <w:ind w:left="613" w:right="0" w:firstLine="0"/>
        <w:jc w:val="left"/>
        <w:rPr>
          <w:sz w:val="18"/>
        </w:rPr>
      </w:pPr>
      <w:r>
        <w:rPr>
          <w:i/>
          <w:sz w:val="18"/>
        </w:rPr>
        <w:t>j</w:t>
      </w:r>
      <w:r>
        <w:rPr>
          <w:rFonts w:ascii="Tahoma"/>
          <w:sz w:val="18"/>
        </w:rPr>
        <w:t>=</w:t>
      </w:r>
      <w:r>
        <w:rPr>
          <w:sz w:val="18"/>
        </w:rPr>
        <w:t>1</w:t>
      </w:r>
    </w:p>
    <w:p>
      <w:pPr>
        <w:spacing w:after="0" w:line="182" w:lineRule="exact"/>
        <w:jc w:val="left"/>
        <w:rPr>
          <w:sz w:val="18"/>
        </w:rPr>
        <w:sectPr>
          <w:pgSz w:w="12240" w:h="15840"/>
          <w:pgMar w:header="0" w:footer="563" w:top="1340" w:bottom="760" w:left="1320" w:right="1360"/>
          <w:cols w:num="2" w:equalWidth="0">
            <w:col w:w="1636" w:space="2496"/>
            <w:col w:w="5428"/>
          </w:cols>
        </w:sectPr>
      </w:pPr>
    </w:p>
    <w:p>
      <w:pPr>
        <w:pStyle w:val="BodyText"/>
        <w:spacing w:line="285" w:lineRule="auto" w:before="55"/>
        <w:ind w:left="119" w:right="112"/>
      </w:pPr>
      <w:r>
        <w:rPr/>
        <w:t>for</w:t>
      </w:r>
      <w:r>
        <w:rPr>
          <w:spacing w:val="-3"/>
        </w:rPr>
        <w:t> </w:t>
      </w:r>
      <w:r>
        <w:rPr/>
        <w:t>the</w:t>
      </w:r>
      <w:r>
        <w:rPr>
          <w:spacing w:val="-3"/>
        </w:rPr>
        <w:t> </w:t>
      </w:r>
      <w:r>
        <w:rPr>
          <w:i/>
        </w:rPr>
        <w:t>i</w:t>
      </w:r>
      <w:r>
        <w:rPr/>
        <w:t>th</w:t>
      </w:r>
      <w:r>
        <w:rPr>
          <w:spacing w:val="-3"/>
        </w:rPr>
        <w:t> </w:t>
      </w:r>
      <w:r>
        <w:rPr/>
        <w:t>NCB</w:t>
      </w:r>
      <w:r>
        <w:rPr>
          <w:spacing w:val="-3"/>
        </w:rPr>
        <w:t> </w:t>
      </w:r>
      <w:r>
        <w:rPr/>
        <w:t>(noting</w:t>
      </w:r>
      <w:r>
        <w:rPr>
          <w:spacing w:val="-2"/>
        </w:rPr>
        <w:t> </w:t>
      </w:r>
      <w:r>
        <w:rPr/>
        <w:t>that</w:t>
      </w:r>
      <w:r>
        <w:rPr>
          <w:spacing w:val="-3"/>
        </w:rPr>
        <w:t> </w:t>
      </w:r>
      <w:r>
        <w:rPr>
          <w:i/>
          <w:spacing w:val="-6"/>
        </w:rPr>
        <w:t>T</w:t>
      </w:r>
      <w:r>
        <w:rPr>
          <w:i/>
          <w:spacing w:val="-6"/>
          <w:vertAlign w:val="subscript"/>
        </w:rPr>
        <w:t>ii</w:t>
      </w:r>
      <w:r>
        <w:rPr>
          <w:i/>
          <w:vertAlign w:val="baseline"/>
        </w:rPr>
        <w:t> </w:t>
      </w:r>
      <w:r>
        <w:rPr>
          <w:rFonts w:ascii="Tahoma" w:hAnsi="Tahoma"/>
          <w:vertAlign w:val="baseline"/>
        </w:rPr>
        <w:t>=</w:t>
      </w:r>
      <w:r>
        <w:rPr>
          <w:rFonts w:ascii="Tahoma" w:hAnsi="Tahoma"/>
          <w:spacing w:val="-24"/>
          <w:vertAlign w:val="baseline"/>
        </w:rPr>
        <w:t> </w:t>
      </w:r>
      <w:r>
        <w:rPr>
          <w:vertAlign w:val="baseline"/>
        </w:rPr>
        <w:t>0).</w:t>
      </w:r>
      <w:r>
        <w:rPr>
          <w:spacing w:val="12"/>
          <w:vertAlign w:val="baseline"/>
        </w:rPr>
        <w:t> </w:t>
      </w:r>
      <w:r>
        <w:rPr>
          <w:vertAlign w:val="baseline"/>
        </w:rPr>
        <w:t>Evidently,</w:t>
      </w:r>
      <w:r>
        <w:rPr>
          <w:spacing w:val="-3"/>
          <w:vertAlign w:val="baseline"/>
        </w:rPr>
        <w:t> </w:t>
      </w:r>
      <w:r>
        <w:rPr>
          <w:vertAlign w:val="baseline"/>
        </w:rPr>
        <w:t>since</w:t>
      </w:r>
      <w:r>
        <w:rPr>
          <w:spacing w:val="-2"/>
          <w:vertAlign w:val="baseline"/>
        </w:rPr>
        <w:t> </w:t>
      </w:r>
      <w:r>
        <w:rPr>
          <w:i/>
          <w:vertAlign w:val="baseline"/>
        </w:rPr>
        <w:t>n</w:t>
      </w:r>
      <w:r>
        <w:rPr>
          <w:rFonts w:ascii="Tahoma" w:hAnsi="Tahoma"/>
          <w:vertAlign w:val="baseline"/>
        </w:rPr>
        <w:t>(</w:t>
      </w:r>
      <w:r>
        <w:rPr>
          <w:i/>
          <w:vertAlign w:val="baseline"/>
        </w:rPr>
        <w:t>n</w:t>
      </w:r>
      <w:r>
        <w:rPr>
          <w:i/>
          <w:spacing w:val="-28"/>
          <w:vertAlign w:val="baseline"/>
        </w:rPr>
        <w:t> </w:t>
      </w:r>
      <w:r>
        <w:rPr>
          <w:rFonts w:ascii="Lucida Sans Unicode" w:hAnsi="Lucida Sans Unicode"/>
          <w:vertAlign w:val="baseline"/>
        </w:rPr>
        <w:t>−</w:t>
      </w:r>
      <w:r>
        <w:rPr>
          <w:rFonts w:ascii="Lucida Sans Unicode" w:hAnsi="Lucida Sans Unicode"/>
          <w:spacing w:val="-44"/>
          <w:vertAlign w:val="baseline"/>
        </w:rPr>
        <w:t> </w:t>
      </w:r>
      <w:r>
        <w:rPr>
          <w:vertAlign w:val="baseline"/>
        </w:rPr>
        <w:t>1</w:t>
      </w:r>
      <w:r>
        <w:rPr>
          <w:rFonts w:ascii="Tahoma" w:hAnsi="Tahoma"/>
          <w:vertAlign w:val="baseline"/>
        </w:rPr>
        <w:t>)</w:t>
      </w:r>
      <w:r>
        <w:rPr>
          <w:rFonts w:ascii="Verdana" w:hAnsi="Verdana"/>
          <w:i/>
          <w:vertAlign w:val="baseline"/>
        </w:rPr>
        <w:t>/</w:t>
      </w:r>
      <w:r>
        <w:rPr>
          <w:vertAlign w:val="baseline"/>
        </w:rPr>
        <w:t>2</w:t>
      </w:r>
      <w:r>
        <w:rPr>
          <w:spacing w:val="-9"/>
          <w:vertAlign w:val="baseline"/>
        </w:rPr>
        <w:t> </w:t>
      </w:r>
      <w:r>
        <w:rPr>
          <w:rFonts w:ascii="Verdana" w:hAnsi="Verdana"/>
          <w:i/>
          <w:vertAlign w:val="baseline"/>
        </w:rPr>
        <w:t>&gt;</w:t>
      </w:r>
      <w:r>
        <w:rPr>
          <w:rFonts w:ascii="Verdana" w:hAnsi="Verdana"/>
          <w:i/>
          <w:spacing w:val="-33"/>
          <w:vertAlign w:val="baseline"/>
        </w:rPr>
        <w:t> </w:t>
      </w:r>
      <w:r>
        <w:rPr>
          <w:i/>
          <w:vertAlign w:val="baseline"/>
        </w:rPr>
        <w:t>n</w:t>
      </w:r>
      <w:r>
        <w:rPr>
          <w:i/>
          <w:spacing w:val="-3"/>
          <w:vertAlign w:val="baseline"/>
        </w:rPr>
        <w:t> </w:t>
      </w:r>
      <w:r>
        <w:rPr>
          <w:vertAlign w:val="baseline"/>
        </w:rPr>
        <w:t>for</w:t>
      </w:r>
      <w:r>
        <w:rPr>
          <w:spacing w:val="-3"/>
          <w:vertAlign w:val="baseline"/>
        </w:rPr>
        <w:t> </w:t>
      </w:r>
      <w:r>
        <w:rPr>
          <w:i/>
          <w:vertAlign w:val="baseline"/>
        </w:rPr>
        <w:t>n</w:t>
      </w:r>
      <w:r>
        <w:rPr>
          <w:i/>
          <w:spacing w:val="-9"/>
          <w:vertAlign w:val="baseline"/>
        </w:rPr>
        <w:t> </w:t>
      </w:r>
      <w:r>
        <w:rPr>
          <w:rFonts w:ascii="Verdana" w:hAnsi="Verdana"/>
          <w:i/>
          <w:vertAlign w:val="baseline"/>
        </w:rPr>
        <w:t>&gt;</w:t>
      </w:r>
      <w:r>
        <w:rPr>
          <w:rFonts w:ascii="Verdana" w:hAnsi="Verdana"/>
          <w:i/>
          <w:spacing w:val="-33"/>
          <w:vertAlign w:val="baseline"/>
        </w:rPr>
        <w:t> </w:t>
      </w:r>
      <w:r>
        <w:rPr>
          <w:vertAlign w:val="baseline"/>
        </w:rPr>
        <w:t>2,</w:t>
      </w:r>
      <w:r>
        <w:rPr>
          <w:spacing w:val="-3"/>
          <w:vertAlign w:val="baseline"/>
        </w:rPr>
        <w:t> </w:t>
      </w:r>
      <w:r>
        <w:rPr>
          <w:vertAlign w:val="baseline"/>
        </w:rPr>
        <w:t>this</w:t>
      </w:r>
      <w:r>
        <w:rPr>
          <w:spacing w:val="-3"/>
          <w:vertAlign w:val="baseline"/>
        </w:rPr>
        <w:t> </w:t>
      </w:r>
      <w:r>
        <w:rPr>
          <w:vertAlign w:val="baseline"/>
        </w:rPr>
        <w:t>accounting</w:t>
      </w:r>
      <w:r>
        <w:rPr>
          <w:spacing w:val="-3"/>
          <w:vertAlign w:val="baseline"/>
        </w:rPr>
        <w:t> </w:t>
      </w:r>
      <w:r>
        <w:rPr>
          <w:vertAlign w:val="baseline"/>
        </w:rPr>
        <w:t>is irreversible</w:t>
      </w:r>
      <w:r>
        <w:rPr>
          <w:spacing w:val="-3"/>
          <w:vertAlign w:val="baseline"/>
        </w:rPr>
        <w:t> </w:t>
      </w:r>
      <w:r>
        <w:rPr>
          <w:vertAlign w:val="baseline"/>
        </w:rPr>
        <w:t>for</w:t>
      </w:r>
      <w:r>
        <w:rPr>
          <w:spacing w:val="-2"/>
          <w:vertAlign w:val="baseline"/>
        </w:rPr>
        <w:t> </w:t>
      </w:r>
      <w:r>
        <w:rPr>
          <w:i/>
          <w:vertAlign w:val="baseline"/>
        </w:rPr>
        <w:t>n</w:t>
      </w:r>
      <w:r>
        <w:rPr>
          <w:i/>
          <w:spacing w:val="-8"/>
          <w:vertAlign w:val="baseline"/>
        </w:rPr>
        <w:t> </w:t>
      </w:r>
      <w:r>
        <w:rPr>
          <w:rFonts w:ascii="Verdana" w:hAnsi="Verdana"/>
          <w:i/>
          <w:vertAlign w:val="baseline"/>
        </w:rPr>
        <w:t>&gt;</w:t>
      </w:r>
      <w:r>
        <w:rPr>
          <w:rFonts w:ascii="Verdana" w:hAnsi="Verdana"/>
          <w:i/>
          <w:spacing w:val="-33"/>
          <w:vertAlign w:val="baseline"/>
        </w:rPr>
        <w:t> </w:t>
      </w:r>
      <w:r>
        <w:rPr>
          <w:vertAlign w:val="baseline"/>
        </w:rPr>
        <w:t>2,</w:t>
      </w:r>
      <w:r>
        <w:rPr>
          <w:spacing w:val="-3"/>
          <w:vertAlign w:val="baseline"/>
        </w:rPr>
        <w:t> </w:t>
      </w:r>
      <w:r>
        <w:rPr>
          <w:vertAlign w:val="baseline"/>
        </w:rPr>
        <w:t>meaning</w:t>
      </w:r>
      <w:r>
        <w:rPr>
          <w:spacing w:val="-2"/>
          <w:vertAlign w:val="baseline"/>
        </w:rPr>
        <w:t> </w:t>
      </w:r>
      <w:r>
        <w:rPr>
          <w:vertAlign w:val="baseline"/>
        </w:rPr>
        <w:t>it</w:t>
      </w:r>
      <w:r>
        <w:rPr>
          <w:spacing w:val="-2"/>
          <w:vertAlign w:val="baseline"/>
        </w:rPr>
        <w:t> </w:t>
      </w:r>
      <w:r>
        <w:rPr>
          <w:vertAlign w:val="baseline"/>
        </w:rPr>
        <w:t>cannot</w:t>
      </w:r>
      <w:r>
        <w:rPr>
          <w:spacing w:val="-3"/>
          <w:vertAlign w:val="baseline"/>
        </w:rPr>
        <w:t> </w:t>
      </w:r>
      <w:r>
        <w:rPr>
          <w:vertAlign w:val="baseline"/>
        </w:rPr>
        <w:t>be</w:t>
      </w:r>
      <w:r>
        <w:rPr>
          <w:spacing w:val="-2"/>
          <w:vertAlign w:val="baseline"/>
        </w:rPr>
        <w:t> </w:t>
      </w:r>
      <w:r>
        <w:rPr>
          <w:vertAlign w:val="baseline"/>
        </w:rPr>
        <w:t>reconstructed</w:t>
      </w:r>
      <w:r>
        <w:rPr>
          <w:spacing w:val="-2"/>
          <w:vertAlign w:val="baseline"/>
        </w:rPr>
        <w:t> </w:t>
      </w:r>
      <w:r>
        <w:rPr>
          <w:vertAlign w:val="baseline"/>
        </w:rPr>
        <w:t>for</w:t>
      </w:r>
      <w:r>
        <w:rPr>
          <w:spacing w:val="-3"/>
          <w:vertAlign w:val="baseline"/>
        </w:rPr>
        <w:t> </w:t>
      </w:r>
      <w:r>
        <w:rPr>
          <w:vertAlign w:val="baseline"/>
        </w:rPr>
        <w:t>more</w:t>
      </w:r>
      <w:r>
        <w:rPr>
          <w:spacing w:val="-2"/>
          <w:vertAlign w:val="baseline"/>
        </w:rPr>
        <w:t> </w:t>
      </w:r>
      <w:r>
        <w:rPr>
          <w:vertAlign w:val="baseline"/>
        </w:rPr>
        <w:t>than</w:t>
      </w:r>
      <w:r>
        <w:rPr>
          <w:spacing w:val="-2"/>
          <w:vertAlign w:val="baseline"/>
        </w:rPr>
        <w:t> </w:t>
      </w:r>
      <w:r>
        <w:rPr>
          <w:vertAlign w:val="baseline"/>
        </w:rPr>
        <w:t>two</w:t>
      </w:r>
      <w:r>
        <w:rPr>
          <w:spacing w:val="-3"/>
          <w:vertAlign w:val="baseline"/>
        </w:rPr>
        <w:t> </w:t>
      </w:r>
      <w:r>
        <w:rPr>
          <w:vertAlign w:val="baseline"/>
        </w:rPr>
        <w:t>NCBs.</w:t>
      </w:r>
    </w:p>
    <w:p>
      <w:pPr>
        <w:pStyle w:val="BodyText"/>
        <w:rPr>
          <w:sz w:val="28"/>
        </w:rPr>
      </w:pPr>
    </w:p>
    <w:p>
      <w:pPr>
        <w:pStyle w:val="ListParagraph"/>
        <w:numPr>
          <w:ilvl w:val="0"/>
          <w:numId w:val="2"/>
        </w:numPr>
        <w:tabs>
          <w:tab w:pos="648" w:val="left" w:leader="none"/>
        </w:tabs>
        <w:spacing w:line="240" w:lineRule="auto" w:before="242" w:after="0"/>
        <w:ind w:left="647" w:right="0" w:hanging="529"/>
        <w:jc w:val="both"/>
        <w:rPr>
          <w:b/>
          <w:sz w:val="22"/>
        </w:rPr>
      </w:pPr>
      <w:bookmarkStart w:name="Strategem 2: Exchange fake collaterals t" w:id="9"/>
      <w:bookmarkEnd w:id="9"/>
      <w:r>
        <w:rPr/>
      </w:r>
      <w:bookmarkStart w:name="Strategem 2: Exchange fake collaterals t" w:id="10"/>
      <w:bookmarkEnd w:id="10"/>
      <w:r>
        <w:rPr>
          <w:b/>
          <w:spacing w:val="-3"/>
          <w:sz w:val="22"/>
        </w:rPr>
        <w:t>STR</w:t>
      </w:r>
      <w:r>
        <w:rPr>
          <w:b/>
          <w:spacing w:val="-3"/>
          <w:sz w:val="22"/>
        </w:rPr>
        <w:t>ATEGEM </w:t>
      </w:r>
      <w:r>
        <w:rPr>
          <w:b/>
          <w:sz w:val="22"/>
        </w:rPr>
        <w:t>2: EXCHANGE </w:t>
      </w:r>
      <w:r>
        <w:rPr>
          <w:b/>
          <w:spacing w:val="-5"/>
          <w:sz w:val="22"/>
        </w:rPr>
        <w:t>FAKE </w:t>
      </w:r>
      <w:r>
        <w:rPr>
          <w:b/>
          <w:sz w:val="22"/>
        </w:rPr>
        <w:t>COLLATERALS THEN</w:t>
      </w:r>
      <w:r>
        <w:rPr>
          <w:b/>
          <w:spacing w:val="5"/>
          <w:sz w:val="22"/>
        </w:rPr>
        <w:t> </w:t>
      </w:r>
      <w:r>
        <w:rPr>
          <w:b/>
          <w:spacing w:val="-8"/>
          <w:sz w:val="22"/>
        </w:rPr>
        <w:t>DEFAULT</w:t>
      </w:r>
    </w:p>
    <w:p>
      <w:pPr>
        <w:pStyle w:val="BodyText"/>
        <w:spacing w:before="5"/>
        <w:rPr>
          <w:b/>
          <w:sz w:val="37"/>
        </w:rPr>
      </w:pPr>
    </w:p>
    <w:p>
      <w:pPr>
        <w:spacing w:line="357" w:lineRule="auto" w:before="0"/>
        <w:ind w:left="119" w:right="112" w:firstLine="298"/>
        <w:jc w:val="both"/>
        <w:rPr>
          <w:i/>
          <w:sz w:val="24"/>
        </w:rPr>
      </w:pPr>
      <w:r>
        <w:rPr>
          <w:sz w:val="24"/>
        </w:rPr>
        <w:t>Here is a quote from a crisis management paper by the Financial Stability Institute (FSI) </w:t>
      </w:r>
      <w:r>
        <w:rPr>
          <w:spacing w:val="-7"/>
          <w:sz w:val="24"/>
        </w:rPr>
        <w:t>of </w:t>
      </w:r>
      <w:r>
        <w:rPr>
          <w:sz w:val="24"/>
        </w:rPr>
        <w:t>the Bank for International Settlements (BIS) exposing this scheme (</w:t>
      </w:r>
      <w:hyperlink w:history="true" w:anchor="_bookmark3">
        <w:r>
          <w:rPr>
            <w:color w:val="BF0000"/>
            <w:sz w:val="24"/>
          </w:rPr>
          <w:t>Baudino et al.</w:t>
        </w:r>
      </w:hyperlink>
      <w:r>
        <w:rPr>
          <w:sz w:val="24"/>
        </w:rPr>
        <w:t>, </w:t>
      </w:r>
      <w:hyperlink w:history="true" w:anchor="_bookmark3">
        <w:r>
          <w:rPr>
            <w:color w:val="BF0000"/>
            <w:sz w:val="24"/>
          </w:rPr>
          <w:t>2020</w:t>
        </w:r>
      </w:hyperlink>
      <w:r>
        <w:rPr>
          <w:sz w:val="24"/>
        </w:rPr>
        <w:t>, p. 9): </w:t>
      </w:r>
      <w:r>
        <w:rPr>
          <w:i/>
          <w:spacing w:val="13"/>
          <w:sz w:val="24"/>
        </w:rPr>
        <w:t>“</w:t>
      </w:r>
      <w:r>
        <w:rPr>
          <w:rFonts w:ascii="Verdana" w:hAnsi="Verdana"/>
          <w:i/>
          <w:spacing w:val="13"/>
          <w:sz w:val="24"/>
        </w:rPr>
        <w:t>...</w:t>
      </w:r>
      <w:r>
        <w:rPr>
          <w:rFonts w:ascii="Verdana" w:hAnsi="Verdana"/>
          <w:i/>
          <w:spacing w:val="-34"/>
          <w:sz w:val="24"/>
        </w:rPr>
        <w:t> </w:t>
      </w:r>
      <w:r>
        <w:rPr>
          <w:i/>
          <w:sz w:val="24"/>
        </w:rPr>
        <w:t>banks</w:t>
      </w:r>
      <w:r>
        <w:rPr>
          <w:i/>
          <w:spacing w:val="-9"/>
          <w:sz w:val="24"/>
        </w:rPr>
        <w:t> </w:t>
      </w:r>
      <w:r>
        <w:rPr>
          <w:i/>
          <w:sz w:val="24"/>
        </w:rPr>
        <w:t>issued</w:t>
      </w:r>
      <w:r>
        <w:rPr>
          <w:i/>
          <w:spacing w:val="-9"/>
          <w:sz w:val="24"/>
        </w:rPr>
        <w:t> </w:t>
      </w:r>
      <w:r>
        <w:rPr>
          <w:i/>
          <w:sz w:val="24"/>
        </w:rPr>
        <w:t>bonds</w:t>
      </w:r>
      <w:r>
        <w:rPr>
          <w:i/>
          <w:spacing w:val="-9"/>
          <w:sz w:val="24"/>
        </w:rPr>
        <w:t> </w:t>
      </w:r>
      <w:r>
        <w:rPr>
          <w:i/>
          <w:sz w:val="24"/>
        </w:rPr>
        <w:t>and</w:t>
      </w:r>
      <w:r>
        <w:rPr>
          <w:i/>
          <w:spacing w:val="-9"/>
          <w:sz w:val="24"/>
        </w:rPr>
        <w:t> </w:t>
      </w:r>
      <w:r>
        <w:rPr>
          <w:i/>
          <w:sz w:val="24"/>
        </w:rPr>
        <w:t>exchanged</w:t>
      </w:r>
      <w:r>
        <w:rPr>
          <w:i/>
          <w:spacing w:val="-10"/>
          <w:sz w:val="24"/>
        </w:rPr>
        <w:t> </w:t>
      </w:r>
      <w:r>
        <w:rPr>
          <w:i/>
          <w:sz w:val="24"/>
        </w:rPr>
        <w:t>them</w:t>
      </w:r>
      <w:r>
        <w:rPr>
          <w:i/>
          <w:spacing w:val="-8"/>
          <w:sz w:val="24"/>
        </w:rPr>
        <w:t> </w:t>
      </w:r>
      <w:r>
        <w:rPr>
          <w:i/>
          <w:sz w:val="24"/>
        </w:rPr>
        <w:t>between</w:t>
      </w:r>
      <w:r>
        <w:rPr>
          <w:i/>
          <w:spacing w:val="-9"/>
          <w:sz w:val="24"/>
        </w:rPr>
        <w:t> </w:t>
      </w:r>
      <w:r>
        <w:rPr>
          <w:i/>
          <w:sz w:val="24"/>
        </w:rPr>
        <w:t>each</w:t>
      </w:r>
      <w:r>
        <w:rPr>
          <w:i/>
          <w:spacing w:val="-10"/>
          <w:sz w:val="24"/>
        </w:rPr>
        <w:t> </w:t>
      </w:r>
      <w:r>
        <w:rPr>
          <w:i/>
          <w:sz w:val="24"/>
        </w:rPr>
        <w:t>other</w:t>
      </w:r>
      <w:r>
        <w:rPr>
          <w:i/>
          <w:spacing w:val="-8"/>
          <w:sz w:val="24"/>
        </w:rPr>
        <w:t> </w:t>
      </w:r>
      <w:r>
        <w:rPr>
          <w:i/>
          <w:sz w:val="24"/>
        </w:rPr>
        <w:t>so</w:t>
      </w:r>
      <w:r>
        <w:rPr>
          <w:i/>
          <w:spacing w:val="-10"/>
          <w:sz w:val="24"/>
        </w:rPr>
        <w:t> </w:t>
      </w:r>
      <w:r>
        <w:rPr>
          <w:i/>
          <w:sz w:val="24"/>
        </w:rPr>
        <w:t>that</w:t>
      </w:r>
      <w:r>
        <w:rPr>
          <w:i/>
          <w:spacing w:val="-9"/>
          <w:sz w:val="24"/>
        </w:rPr>
        <w:t> </w:t>
      </w:r>
      <w:r>
        <w:rPr>
          <w:i/>
          <w:sz w:val="24"/>
        </w:rPr>
        <w:t>they</w:t>
      </w:r>
      <w:r>
        <w:rPr>
          <w:i/>
          <w:spacing w:val="-8"/>
          <w:sz w:val="24"/>
        </w:rPr>
        <w:t> </w:t>
      </w:r>
      <w:r>
        <w:rPr>
          <w:i/>
          <w:sz w:val="24"/>
        </w:rPr>
        <w:t>could</w:t>
      </w:r>
      <w:r>
        <w:rPr>
          <w:i/>
          <w:spacing w:val="-10"/>
          <w:sz w:val="24"/>
        </w:rPr>
        <w:t> </w:t>
      </w:r>
      <w:r>
        <w:rPr>
          <w:i/>
          <w:sz w:val="24"/>
        </w:rPr>
        <w:t>be</w:t>
      </w:r>
      <w:r>
        <w:rPr>
          <w:i/>
          <w:spacing w:val="-9"/>
          <w:sz w:val="24"/>
        </w:rPr>
        <w:t> </w:t>
      </w:r>
      <w:r>
        <w:rPr>
          <w:i/>
          <w:sz w:val="24"/>
        </w:rPr>
        <w:t>pledged</w:t>
      </w:r>
      <w:r>
        <w:rPr>
          <w:i/>
          <w:spacing w:val="-9"/>
          <w:sz w:val="24"/>
        </w:rPr>
        <w:t> </w:t>
      </w:r>
      <w:r>
        <w:rPr>
          <w:i/>
          <w:sz w:val="24"/>
        </w:rPr>
        <w:t>as </w:t>
      </w:r>
      <w:r>
        <w:rPr>
          <w:i/>
          <w:sz w:val="24"/>
        </w:rPr>
        <w:t>collateral</w:t>
      </w:r>
      <w:r>
        <w:rPr>
          <w:i/>
          <w:spacing w:val="-8"/>
          <w:sz w:val="24"/>
        </w:rPr>
        <w:t> </w:t>
      </w:r>
      <w:r>
        <w:rPr>
          <w:i/>
          <w:sz w:val="24"/>
        </w:rPr>
        <w:t>with</w:t>
      </w:r>
      <w:r>
        <w:rPr>
          <w:i/>
          <w:spacing w:val="-8"/>
          <w:sz w:val="24"/>
        </w:rPr>
        <w:t> </w:t>
      </w:r>
      <w:r>
        <w:rPr>
          <w:i/>
          <w:sz w:val="24"/>
        </w:rPr>
        <w:t>the</w:t>
      </w:r>
      <w:r>
        <w:rPr>
          <w:i/>
          <w:spacing w:val="-8"/>
          <w:sz w:val="24"/>
        </w:rPr>
        <w:t> </w:t>
      </w:r>
      <w:r>
        <w:rPr>
          <w:i/>
          <w:sz w:val="24"/>
        </w:rPr>
        <w:t>central</w:t>
      </w:r>
      <w:r>
        <w:rPr>
          <w:i/>
          <w:spacing w:val="-8"/>
          <w:sz w:val="24"/>
        </w:rPr>
        <w:t> </w:t>
      </w:r>
      <w:r>
        <w:rPr>
          <w:i/>
          <w:sz w:val="24"/>
        </w:rPr>
        <w:t>banks.</w:t>
      </w:r>
      <w:r>
        <w:rPr>
          <w:i/>
          <w:spacing w:val="9"/>
          <w:sz w:val="24"/>
        </w:rPr>
        <w:t> </w:t>
      </w:r>
      <w:r>
        <w:rPr>
          <w:i/>
          <w:sz w:val="24"/>
        </w:rPr>
        <w:t>This</w:t>
      </w:r>
      <w:r>
        <w:rPr>
          <w:i/>
          <w:spacing w:val="-8"/>
          <w:sz w:val="24"/>
        </w:rPr>
        <w:t> </w:t>
      </w:r>
      <w:r>
        <w:rPr>
          <w:i/>
          <w:sz w:val="24"/>
        </w:rPr>
        <w:t>allowed</w:t>
      </w:r>
      <w:r>
        <w:rPr>
          <w:i/>
          <w:spacing w:val="-8"/>
          <w:sz w:val="24"/>
        </w:rPr>
        <w:t> </w:t>
      </w:r>
      <w:r>
        <w:rPr>
          <w:i/>
          <w:sz w:val="24"/>
        </w:rPr>
        <w:t>them</w:t>
      </w:r>
      <w:r>
        <w:rPr>
          <w:i/>
          <w:spacing w:val="-7"/>
          <w:sz w:val="24"/>
        </w:rPr>
        <w:t> </w:t>
      </w:r>
      <w:r>
        <w:rPr>
          <w:i/>
          <w:sz w:val="24"/>
        </w:rPr>
        <w:t>to</w:t>
      </w:r>
      <w:r>
        <w:rPr>
          <w:i/>
          <w:spacing w:val="-8"/>
          <w:sz w:val="24"/>
        </w:rPr>
        <w:t> </w:t>
      </w:r>
      <w:r>
        <w:rPr>
          <w:i/>
          <w:sz w:val="24"/>
        </w:rPr>
        <w:t>break</w:t>
      </w:r>
      <w:r>
        <w:rPr>
          <w:i/>
          <w:spacing w:val="-8"/>
          <w:sz w:val="24"/>
        </w:rPr>
        <w:t> </w:t>
      </w:r>
      <w:r>
        <w:rPr>
          <w:i/>
          <w:spacing w:val="-3"/>
          <w:sz w:val="24"/>
        </w:rPr>
        <w:t>free</w:t>
      </w:r>
      <w:r>
        <w:rPr>
          <w:i/>
          <w:spacing w:val="-8"/>
          <w:sz w:val="24"/>
        </w:rPr>
        <w:t> </w:t>
      </w:r>
      <w:r>
        <w:rPr>
          <w:i/>
          <w:spacing w:val="-3"/>
          <w:sz w:val="24"/>
        </w:rPr>
        <w:t>from</w:t>
      </w:r>
      <w:r>
        <w:rPr>
          <w:i/>
          <w:spacing w:val="-8"/>
          <w:sz w:val="24"/>
        </w:rPr>
        <w:t> </w:t>
      </w:r>
      <w:r>
        <w:rPr>
          <w:i/>
          <w:sz w:val="24"/>
        </w:rPr>
        <w:t>central</w:t>
      </w:r>
      <w:r>
        <w:rPr>
          <w:i/>
          <w:spacing w:val="-7"/>
          <w:sz w:val="24"/>
        </w:rPr>
        <w:t> </w:t>
      </w:r>
      <w:r>
        <w:rPr>
          <w:i/>
          <w:sz w:val="24"/>
        </w:rPr>
        <w:t>bank</w:t>
      </w:r>
      <w:r>
        <w:rPr>
          <w:i/>
          <w:spacing w:val="-8"/>
          <w:sz w:val="24"/>
        </w:rPr>
        <w:t> </w:t>
      </w:r>
      <w:r>
        <w:rPr>
          <w:i/>
          <w:sz w:val="24"/>
        </w:rPr>
        <w:t>funding</w:t>
      </w:r>
      <w:r>
        <w:rPr>
          <w:i/>
          <w:spacing w:val="-8"/>
          <w:sz w:val="24"/>
        </w:rPr>
        <w:t> </w:t>
      </w:r>
      <w:r>
        <w:rPr>
          <w:i/>
          <w:spacing w:val="-3"/>
          <w:sz w:val="24"/>
        </w:rPr>
        <w:t>limits </w:t>
      </w:r>
      <w:r>
        <w:rPr>
          <w:i/>
          <w:sz w:val="24"/>
        </w:rPr>
        <w:t>since they could issue such bonds (which became known as ‘love letters’) at</w:t>
      </w:r>
      <w:r>
        <w:rPr>
          <w:i/>
          <w:spacing w:val="-29"/>
          <w:sz w:val="24"/>
        </w:rPr>
        <w:t> </w:t>
      </w:r>
      <w:r>
        <w:rPr>
          <w:i/>
          <w:spacing w:val="-6"/>
          <w:sz w:val="24"/>
        </w:rPr>
        <w:t>will.”</w:t>
      </w:r>
    </w:p>
    <w:p>
      <w:pPr>
        <w:pStyle w:val="BodyText"/>
        <w:spacing w:line="364" w:lineRule="auto" w:before="11"/>
        <w:ind w:left="119" w:right="112" w:firstLine="298"/>
        <w:jc w:val="both"/>
      </w:pPr>
      <w:r>
        <w:rPr/>
        <w:t>So the basic idea of this strategem is to create fake collateral, such as ‘I Owe (Y)Us’ (IOUs). Subsequently</w:t>
      </w:r>
      <w:r>
        <w:rPr>
          <w:spacing w:val="-5"/>
        </w:rPr>
        <w:t> </w:t>
      </w:r>
      <w:r>
        <w:rPr/>
        <w:t>default</w:t>
      </w:r>
      <w:r>
        <w:rPr>
          <w:spacing w:val="-4"/>
        </w:rPr>
        <w:t> </w:t>
      </w:r>
      <w:r>
        <w:rPr/>
        <w:t>on</w:t>
      </w:r>
      <w:r>
        <w:rPr>
          <w:spacing w:val="-4"/>
        </w:rPr>
        <w:t> </w:t>
      </w:r>
      <w:r>
        <w:rPr/>
        <w:t>these</w:t>
      </w:r>
      <w:r>
        <w:rPr>
          <w:spacing w:val="-4"/>
        </w:rPr>
        <w:t> </w:t>
      </w:r>
      <w:r>
        <w:rPr/>
        <w:t>worthless</w:t>
      </w:r>
      <w:r>
        <w:rPr>
          <w:spacing w:val="-4"/>
        </w:rPr>
        <w:t> </w:t>
      </w:r>
      <w:r>
        <w:rPr/>
        <w:t>certificates.</w:t>
      </w:r>
      <w:r>
        <w:rPr>
          <w:spacing w:val="-4"/>
        </w:rPr>
        <w:t> </w:t>
      </w:r>
      <w:r>
        <w:rPr/>
        <w:t>(</w:t>
      </w:r>
      <w:hyperlink w:history="true" w:anchor="_bookmark14">
        <w:r>
          <w:rPr>
            <w:color w:val="BF0000"/>
          </w:rPr>
          <w:t>Flannery</w:t>
        </w:r>
      </w:hyperlink>
      <w:r>
        <w:rPr/>
        <w:t>,</w:t>
      </w:r>
      <w:r>
        <w:rPr>
          <w:spacing w:val="-4"/>
        </w:rPr>
        <w:t> </w:t>
      </w:r>
      <w:hyperlink w:history="true" w:anchor="_bookmark14">
        <w:r>
          <w:rPr>
            <w:color w:val="BF0000"/>
          </w:rPr>
          <w:t>2009</w:t>
        </w:r>
      </w:hyperlink>
      <w:r>
        <w:rPr/>
        <w:t>;</w:t>
      </w:r>
      <w:r>
        <w:rPr>
          <w:spacing w:val="-4"/>
        </w:rPr>
        <w:t> </w:t>
      </w:r>
      <w:hyperlink w:history="true" w:anchor="_bookmark19">
        <w:r>
          <w:rPr>
            <w:color w:val="BF0000"/>
          </w:rPr>
          <w:t>Hreinsson</w:t>
        </w:r>
        <w:r>
          <w:rPr>
            <w:color w:val="BF0000"/>
            <w:spacing w:val="-4"/>
          </w:rPr>
          <w:t> </w:t>
        </w:r>
        <w:r>
          <w:rPr>
            <w:color w:val="BF0000"/>
          </w:rPr>
          <w:t>et</w:t>
        </w:r>
        <w:r>
          <w:rPr>
            <w:color w:val="BF0000"/>
            <w:spacing w:val="-4"/>
          </w:rPr>
          <w:t> </w:t>
        </w:r>
        <w:r>
          <w:rPr>
            <w:color w:val="BF0000"/>
          </w:rPr>
          <w:t>al.</w:t>
        </w:r>
      </w:hyperlink>
      <w:r>
        <w:rPr/>
        <w:t>,</w:t>
      </w:r>
      <w:r>
        <w:rPr>
          <w:spacing w:val="-4"/>
        </w:rPr>
        <w:t> </w:t>
      </w:r>
      <w:hyperlink w:history="true" w:anchor="_bookmark19">
        <w:r>
          <w:rPr>
            <w:color w:val="BF0000"/>
          </w:rPr>
          <w:t>2009</w:t>
        </w:r>
      </w:hyperlink>
      <w:r>
        <w:rPr/>
        <w:t>;</w:t>
      </w:r>
      <w:r>
        <w:rPr>
          <w:spacing w:val="-4"/>
        </w:rPr>
        <w:t> </w:t>
      </w:r>
      <w:hyperlink w:history="true" w:anchor="_bookmark26">
        <w:r>
          <w:rPr>
            <w:color w:val="BF0000"/>
            <w:spacing w:val="-3"/>
          </w:rPr>
          <w:t>Sib-</w:t>
        </w:r>
      </w:hyperlink>
      <w:r>
        <w:rPr>
          <w:color w:val="BF0000"/>
          <w:spacing w:val="-3"/>
        </w:rPr>
        <w:t> </w:t>
      </w:r>
      <w:hyperlink w:history="true" w:anchor="_bookmark26">
        <w:r>
          <w:rPr>
            <w:color w:val="BF0000"/>
          </w:rPr>
          <w:t>ert</w:t>
        </w:r>
      </w:hyperlink>
      <w:r>
        <w:rPr/>
        <w:t>,</w:t>
      </w:r>
      <w:r>
        <w:rPr>
          <w:spacing w:val="-2"/>
        </w:rPr>
        <w:t> </w:t>
      </w:r>
      <w:hyperlink w:history="true" w:anchor="_bookmark26">
        <w:r>
          <w:rPr>
            <w:color w:val="BF0000"/>
          </w:rPr>
          <w:t>2010</w:t>
        </w:r>
      </w:hyperlink>
      <w:r>
        <w:rPr/>
        <w:t>).</w:t>
      </w:r>
    </w:p>
    <w:p>
      <w:pPr>
        <w:pStyle w:val="BodyText"/>
        <w:spacing w:line="364" w:lineRule="auto"/>
        <w:ind w:left="119" w:right="112" w:firstLine="298"/>
        <w:jc w:val="both"/>
      </w:pPr>
      <w:r>
        <w:rPr/>
        <w:t>In</w:t>
      </w:r>
      <w:r>
        <w:rPr>
          <w:spacing w:val="-4"/>
        </w:rPr>
        <w:t> </w:t>
      </w:r>
      <w:r>
        <w:rPr/>
        <w:t>a</w:t>
      </w:r>
      <w:r>
        <w:rPr>
          <w:spacing w:val="-3"/>
        </w:rPr>
        <w:t> </w:t>
      </w:r>
      <w:r>
        <w:rPr/>
        <w:t>little</w:t>
      </w:r>
      <w:r>
        <w:rPr>
          <w:spacing w:val="-3"/>
        </w:rPr>
        <w:t> </w:t>
      </w:r>
      <w:r>
        <w:rPr/>
        <w:t>bit</w:t>
      </w:r>
      <w:r>
        <w:rPr>
          <w:spacing w:val="-3"/>
        </w:rPr>
        <w:t> </w:t>
      </w:r>
      <w:r>
        <w:rPr/>
        <w:t>more</w:t>
      </w:r>
      <w:r>
        <w:rPr>
          <w:spacing w:val="-3"/>
        </w:rPr>
        <w:t> </w:t>
      </w:r>
      <w:r>
        <w:rPr/>
        <w:t>detail,</w:t>
      </w:r>
      <w:r>
        <w:rPr>
          <w:spacing w:val="-3"/>
        </w:rPr>
        <w:t> </w:t>
      </w:r>
      <w:r>
        <w:rPr/>
        <w:t>Icelandic</w:t>
      </w:r>
      <w:r>
        <w:rPr>
          <w:spacing w:val="-3"/>
        </w:rPr>
        <w:t> </w:t>
      </w:r>
      <w:r>
        <w:rPr/>
        <w:t>banks</w:t>
      </w:r>
      <w:r>
        <w:rPr>
          <w:spacing w:val="-3"/>
        </w:rPr>
        <w:t> </w:t>
      </w:r>
      <w:r>
        <w:rPr/>
        <w:t>exchanged</w:t>
      </w:r>
      <w:r>
        <w:rPr>
          <w:spacing w:val="-3"/>
        </w:rPr>
        <w:t> </w:t>
      </w:r>
      <w:r>
        <w:rPr/>
        <w:t>debt</w:t>
      </w:r>
      <w:r>
        <w:rPr>
          <w:spacing w:val="-3"/>
        </w:rPr>
        <w:t> </w:t>
      </w:r>
      <w:r>
        <w:rPr/>
        <w:t>securities,</w:t>
      </w:r>
      <w:r>
        <w:rPr>
          <w:spacing w:val="-3"/>
        </w:rPr>
        <w:t> </w:t>
      </w:r>
      <w:r>
        <w:rPr/>
        <w:t>using</w:t>
      </w:r>
      <w:r>
        <w:rPr>
          <w:spacing w:val="-3"/>
        </w:rPr>
        <w:t> </w:t>
      </w:r>
      <w:r>
        <w:rPr/>
        <w:t>each</w:t>
      </w:r>
      <w:r>
        <w:rPr>
          <w:spacing w:val="-3"/>
        </w:rPr>
        <w:t> </w:t>
      </w:r>
      <w:r>
        <w:rPr/>
        <w:t>other’s</w:t>
      </w:r>
      <w:r>
        <w:rPr>
          <w:spacing w:val="-3"/>
        </w:rPr>
        <w:t> </w:t>
      </w:r>
      <w:r>
        <w:rPr/>
        <w:t>debt</w:t>
      </w:r>
      <w:r>
        <w:rPr>
          <w:spacing w:val="-4"/>
        </w:rPr>
        <w:t> </w:t>
      </w:r>
      <w:r>
        <w:rPr>
          <w:spacing w:val="-6"/>
        </w:rPr>
        <w:t>as </w:t>
      </w:r>
      <w:r>
        <w:rPr/>
        <w:t>‘love letter’ collateral for central bank borrowing. The Eurosystem also accepted these, despite questionable correlation risks.  Between February and April 2008, Icelandic banks borrowed</w:t>
      </w:r>
      <w:r>
        <w:rPr>
          <w:spacing w:val="25"/>
        </w:rPr>
        <w:t> </w:t>
      </w:r>
      <w:r>
        <w:rPr/>
        <w:t>Eur</w:t>
      </w:r>
    </w:p>
    <w:p>
      <w:pPr>
        <w:pStyle w:val="BodyText"/>
        <w:spacing w:line="364" w:lineRule="auto"/>
        <w:ind w:left="119" w:right="112"/>
        <w:jc w:val="both"/>
      </w:pPr>
      <w:r>
        <w:rPr/>
        <w:t>2.5 billion from the Central Bank of Luxembourg using love letters. The European Central Bank (ECB) expressed concern, and an informal agreement was made to limit their use, but loans in- creased</w:t>
      </w:r>
      <w:r>
        <w:rPr>
          <w:spacing w:val="10"/>
        </w:rPr>
        <w:t> </w:t>
      </w:r>
      <w:r>
        <w:rPr/>
        <w:t>to</w:t>
      </w:r>
      <w:r>
        <w:rPr>
          <w:spacing w:val="10"/>
        </w:rPr>
        <w:t> </w:t>
      </w:r>
      <w:r>
        <w:rPr/>
        <w:t>Eur</w:t>
      </w:r>
      <w:r>
        <w:rPr>
          <w:spacing w:val="10"/>
        </w:rPr>
        <w:t> </w:t>
      </w:r>
      <w:r>
        <w:rPr/>
        <w:t>4.5</w:t>
      </w:r>
      <w:r>
        <w:rPr>
          <w:spacing w:val="10"/>
        </w:rPr>
        <w:t> </w:t>
      </w:r>
      <w:r>
        <w:rPr/>
        <w:t>billion</w:t>
      </w:r>
      <w:r>
        <w:rPr>
          <w:spacing w:val="10"/>
        </w:rPr>
        <w:t> </w:t>
      </w:r>
      <w:r>
        <w:rPr/>
        <w:t>by</w:t>
      </w:r>
      <w:r>
        <w:rPr>
          <w:spacing w:val="10"/>
        </w:rPr>
        <w:t> </w:t>
      </w:r>
      <w:r>
        <w:rPr/>
        <w:t>June.</w:t>
      </w:r>
      <w:r>
        <w:rPr>
          <w:spacing w:val="50"/>
        </w:rPr>
        <w:t> </w:t>
      </w:r>
      <w:r>
        <w:rPr/>
        <w:t>By</w:t>
      </w:r>
      <w:r>
        <w:rPr>
          <w:spacing w:val="10"/>
        </w:rPr>
        <w:t> </w:t>
      </w:r>
      <w:r>
        <w:rPr>
          <w:spacing w:val="-4"/>
        </w:rPr>
        <w:t>July,</w:t>
      </w:r>
      <w:r>
        <w:rPr>
          <w:spacing w:val="14"/>
        </w:rPr>
        <w:t> </w:t>
      </w:r>
      <w:r>
        <w:rPr/>
        <w:t>love</w:t>
      </w:r>
      <w:r>
        <w:rPr>
          <w:spacing w:val="11"/>
        </w:rPr>
        <w:t> </w:t>
      </w:r>
      <w:r>
        <w:rPr/>
        <w:t>letters</w:t>
      </w:r>
      <w:r>
        <w:rPr>
          <w:spacing w:val="10"/>
        </w:rPr>
        <w:t> </w:t>
      </w:r>
      <w:r>
        <w:rPr/>
        <w:t>were</w:t>
      </w:r>
      <w:r>
        <w:rPr>
          <w:spacing w:val="10"/>
        </w:rPr>
        <w:t> </w:t>
      </w:r>
      <w:r>
        <w:rPr/>
        <w:t>prohibited,</w:t>
      </w:r>
      <w:r>
        <w:rPr>
          <w:spacing w:val="14"/>
        </w:rPr>
        <w:t> </w:t>
      </w:r>
      <w:r>
        <w:rPr/>
        <w:t>and</w:t>
      </w:r>
      <w:r>
        <w:rPr>
          <w:spacing w:val="10"/>
        </w:rPr>
        <w:t> </w:t>
      </w:r>
      <w:r>
        <w:rPr/>
        <w:t>lending</w:t>
      </w:r>
      <w:r>
        <w:rPr>
          <w:spacing w:val="10"/>
        </w:rPr>
        <w:t> </w:t>
      </w:r>
      <w:r>
        <w:rPr/>
        <w:t>fell</w:t>
      </w:r>
      <w:r>
        <w:rPr>
          <w:spacing w:val="10"/>
        </w:rPr>
        <w:t> </w:t>
      </w:r>
      <w:r>
        <w:rPr/>
        <w:t>to</w:t>
      </w:r>
      <w:r>
        <w:rPr>
          <w:spacing w:val="10"/>
        </w:rPr>
        <w:t> </w:t>
      </w:r>
      <w:r>
        <w:rPr/>
        <w:t>Eur</w:t>
      </w:r>
    </w:p>
    <w:p>
      <w:pPr>
        <w:pStyle w:val="BodyText"/>
        <w:spacing w:line="364" w:lineRule="auto"/>
        <w:ind w:left="119" w:right="112"/>
        <w:jc w:val="both"/>
      </w:pPr>
      <w:r>
        <w:rPr/>
        <w:t>3.5 billion. In autumn 2008, five counterparties defaulted, three of which were Icelandic bank subsidiaries.</w:t>
      </w:r>
    </w:p>
    <w:p>
      <w:pPr>
        <w:pStyle w:val="BodyText"/>
        <w:spacing w:line="364" w:lineRule="auto"/>
        <w:ind w:left="119" w:right="112" w:firstLine="298"/>
        <w:jc w:val="both"/>
      </w:pPr>
      <w:r>
        <w:rPr/>
        <w:t>Finally, in March 2009, after a European Parliament member questioned the ECB about these loans, the strategem was publicly exposed.</w:t>
      </w:r>
    </w:p>
    <w:p>
      <w:pPr>
        <w:pStyle w:val="BodyText"/>
        <w:spacing w:line="364" w:lineRule="auto"/>
        <w:ind w:left="119" w:right="112" w:firstLine="298"/>
        <w:jc w:val="both"/>
      </w:pPr>
      <w:r>
        <w:rPr/>
        <w:t>This</w:t>
      </w:r>
      <w:r>
        <w:rPr>
          <w:spacing w:val="-14"/>
        </w:rPr>
        <w:t> </w:t>
      </w:r>
      <w:r>
        <w:rPr/>
        <w:t>strategem</w:t>
      </w:r>
      <w:r>
        <w:rPr>
          <w:spacing w:val="-14"/>
        </w:rPr>
        <w:t> </w:t>
      </w:r>
      <w:r>
        <w:rPr/>
        <w:t>bears</w:t>
      </w:r>
      <w:r>
        <w:rPr>
          <w:spacing w:val="-14"/>
        </w:rPr>
        <w:t> </w:t>
      </w:r>
      <w:r>
        <w:rPr/>
        <w:t>some</w:t>
      </w:r>
      <w:r>
        <w:rPr>
          <w:spacing w:val="-14"/>
        </w:rPr>
        <w:t> </w:t>
      </w:r>
      <w:r>
        <w:rPr/>
        <w:t>resemblance</w:t>
      </w:r>
      <w:r>
        <w:rPr>
          <w:spacing w:val="-14"/>
        </w:rPr>
        <w:t> </w:t>
      </w:r>
      <w:r>
        <w:rPr/>
        <w:t>to</w:t>
      </w:r>
      <w:r>
        <w:rPr>
          <w:spacing w:val="-14"/>
        </w:rPr>
        <w:t> </w:t>
      </w:r>
      <w:r>
        <w:rPr/>
        <w:t>a</w:t>
      </w:r>
      <w:r>
        <w:rPr>
          <w:spacing w:val="-14"/>
        </w:rPr>
        <w:t> </w:t>
      </w:r>
      <w:r>
        <w:rPr/>
        <w:t>scheme</w:t>
      </w:r>
      <w:r>
        <w:rPr>
          <w:spacing w:val="-14"/>
        </w:rPr>
        <w:t> </w:t>
      </w:r>
      <w:r>
        <w:rPr/>
        <w:t>in</w:t>
      </w:r>
      <w:r>
        <w:rPr>
          <w:spacing w:val="-14"/>
        </w:rPr>
        <w:t> </w:t>
      </w:r>
      <w:r>
        <w:rPr/>
        <w:t>which</w:t>
      </w:r>
      <w:r>
        <w:rPr>
          <w:spacing w:val="-14"/>
        </w:rPr>
        <w:t> </w:t>
      </w:r>
      <w:r>
        <w:rPr/>
        <w:t>two</w:t>
      </w:r>
      <w:r>
        <w:rPr>
          <w:spacing w:val="-14"/>
        </w:rPr>
        <w:t> </w:t>
      </w:r>
      <w:r>
        <w:rPr/>
        <w:t>large</w:t>
      </w:r>
      <w:r>
        <w:rPr>
          <w:spacing w:val="-14"/>
        </w:rPr>
        <w:t> </w:t>
      </w:r>
      <w:r>
        <w:rPr/>
        <w:t>European</w:t>
      </w:r>
      <w:r>
        <w:rPr>
          <w:spacing w:val="-14"/>
        </w:rPr>
        <w:t> </w:t>
      </w:r>
      <w:r>
        <w:rPr/>
        <w:t>banks</w:t>
      </w:r>
      <w:r>
        <w:rPr>
          <w:spacing w:val="-14"/>
        </w:rPr>
        <w:t> </w:t>
      </w:r>
      <w:r>
        <w:rPr/>
        <w:t>outside of</w:t>
      </w:r>
      <w:r>
        <w:rPr>
          <w:spacing w:val="-10"/>
        </w:rPr>
        <w:t> </w:t>
      </w:r>
      <w:r>
        <w:rPr/>
        <w:t>the</w:t>
      </w:r>
      <w:r>
        <w:rPr>
          <w:spacing w:val="-9"/>
        </w:rPr>
        <w:t> </w:t>
      </w:r>
      <w:r>
        <w:rPr/>
        <w:t>Eurosystem</w:t>
      </w:r>
      <w:r>
        <w:rPr>
          <w:spacing w:val="-9"/>
        </w:rPr>
        <w:t> </w:t>
      </w:r>
      <w:r>
        <w:rPr/>
        <w:t>were</w:t>
      </w:r>
      <w:r>
        <w:rPr>
          <w:spacing w:val="-9"/>
        </w:rPr>
        <w:t> </w:t>
      </w:r>
      <w:r>
        <w:rPr/>
        <w:t>allegedly</w:t>
      </w:r>
      <w:r>
        <w:rPr>
          <w:spacing w:val="-10"/>
        </w:rPr>
        <w:t> </w:t>
      </w:r>
      <w:r>
        <w:rPr>
          <w:spacing w:val="-3"/>
        </w:rPr>
        <w:t>involved.</w:t>
      </w:r>
      <w:r>
        <w:rPr>
          <w:spacing w:val="8"/>
        </w:rPr>
        <w:t> </w:t>
      </w:r>
      <w:r>
        <w:rPr/>
        <w:t>During</w:t>
      </w:r>
      <w:r>
        <w:rPr>
          <w:spacing w:val="-9"/>
        </w:rPr>
        <w:t> </w:t>
      </w:r>
      <w:r>
        <w:rPr/>
        <w:t>the</w:t>
      </w:r>
      <w:r>
        <w:rPr>
          <w:spacing w:val="-10"/>
        </w:rPr>
        <w:t> </w:t>
      </w:r>
      <w:r>
        <w:rPr/>
        <w:t>2008</w:t>
      </w:r>
      <w:r>
        <w:rPr>
          <w:spacing w:val="-9"/>
        </w:rPr>
        <w:t> </w:t>
      </w:r>
      <w:r>
        <w:rPr/>
        <w:t>financial</w:t>
      </w:r>
      <w:r>
        <w:rPr>
          <w:spacing w:val="-9"/>
        </w:rPr>
        <w:t> </w:t>
      </w:r>
      <w:r>
        <w:rPr/>
        <w:t>crisis,</w:t>
      </w:r>
      <w:r>
        <w:rPr>
          <w:spacing w:val="-8"/>
        </w:rPr>
        <w:t> </w:t>
      </w:r>
      <w:r>
        <w:rPr/>
        <w:t>these</w:t>
      </w:r>
      <w:r>
        <w:rPr>
          <w:spacing w:val="-10"/>
        </w:rPr>
        <w:t> </w:t>
      </w:r>
      <w:r>
        <w:rPr/>
        <w:t>banks</w:t>
      </w:r>
      <w:r>
        <w:rPr>
          <w:spacing w:val="-9"/>
        </w:rPr>
        <w:t> </w:t>
      </w:r>
      <w:r>
        <w:rPr/>
        <w:t>allegedly created capital through a credit-share swap: They needed around £7 billion in new capital </w:t>
      </w:r>
      <w:r>
        <w:rPr>
          <w:spacing w:val="-3"/>
        </w:rPr>
        <w:t>during </w:t>
      </w:r>
      <w:r>
        <w:rPr/>
        <w:t>the crisis. </w:t>
      </w:r>
      <w:r>
        <w:rPr>
          <w:spacing w:val="-10"/>
        </w:rPr>
        <w:t>To </w:t>
      </w:r>
      <w:r>
        <w:rPr/>
        <w:t>raise this capital, they used a method that </w:t>
      </w:r>
      <w:r>
        <w:rPr>
          <w:spacing w:val="-3"/>
        </w:rPr>
        <w:t>involved </w:t>
      </w:r>
      <w:r>
        <w:rPr/>
        <w:t>lending money to a sovereign wealth fund, who in turn agreed to buy newly issued shares in the banks. Essentially, the banks allegedly lent the sovereign wealth fund the money to </w:t>
      </w:r>
      <w:r>
        <w:rPr>
          <w:spacing w:val="-3"/>
        </w:rPr>
        <w:t>invest </w:t>
      </w:r>
      <w:r>
        <w:rPr/>
        <w:t>back into them, inflating their eq- uity </w:t>
      </w:r>
      <w:r>
        <w:rPr>
          <w:spacing w:val="-3"/>
        </w:rPr>
        <w:t>(</w:t>
      </w:r>
      <w:hyperlink w:history="true" w:anchor="_bookmark32">
        <w:r>
          <w:rPr>
            <w:color w:val="BF0000"/>
            <w:spacing w:val="-3"/>
          </w:rPr>
          <w:t>Werner</w:t>
        </w:r>
      </w:hyperlink>
      <w:r>
        <w:rPr>
          <w:spacing w:val="-3"/>
        </w:rPr>
        <w:t>, </w:t>
      </w:r>
      <w:hyperlink w:history="true" w:anchor="_bookmark32">
        <w:r>
          <w:rPr>
            <w:color w:val="BF0000"/>
          </w:rPr>
          <w:t>2016</w:t>
        </w:r>
      </w:hyperlink>
      <w:r>
        <w:rPr/>
        <w:t>, t=770). This transaction, while effective in raising capital—as it is</w:t>
      </w:r>
      <w:r>
        <w:rPr>
          <w:spacing w:val="52"/>
        </w:rPr>
        <w:t> </w:t>
      </w:r>
      <w:r>
        <w:rPr/>
        <w:t>unlawful</w:t>
      </w:r>
    </w:p>
    <w:p>
      <w:pPr>
        <w:spacing w:after="0" w:line="364" w:lineRule="auto"/>
        <w:jc w:val="both"/>
        <w:sectPr>
          <w:type w:val="continuous"/>
          <w:pgSz w:w="12240" w:h="15840"/>
          <w:pgMar w:top="1280" w:bottom="760" w:left="1320" w:right="1360"/>
        </w:sectPr>
      </w:pPr>
    </w:p>
    <w:p>
      <w:pPr>
        <w:pStyle w:val="BodyText"/>
        <w:spacing w:line="364" w:lineRule="auto" w:before="75"/>
        <w:ind w:left="120" w:right="49"/>
      </w:pPr>
      <w:r>
        <w:rPr/>
        <w:t>for a bank to lend itself money (</w:t>
      </w:r>
      <w:hyperlink w:history="true" w:anchor="_bookmark33">
        <w:r>
          <w:rPr>
            <w:color w:val="BF0000"/>
          </w:rPr>
          <w:t>Westbrook</w:t>
        </w:r>
      </w:hyperlink>
      <w:r>
        <w:rPr/>
        <w:t>, </w:t>
      </w:r>
      <w:hyperlink w:history="true" w:anchor="_bookmark33">
        <w:r>
          <w:rPr>
            <w:color w:val="BF0000"/>
          </w:rPr>
          <w:t>2017</w:t>
        </w:r>
      </w:hyperlink>
      <w:r>
        <w:rPr/>
        <w:t>)—got unsuccessfully flagged by one regulatory body.</w:t>
      </w:r>
    </w:p>
    <w:p>
      <w:pPr>
        <w:pStyle w:val="BodyText"/>
        <w:rPr>
          <w:sz w:val="28"/>
        </w:rPr>
      </w:pPr>
    </w:p>
    <w:p>
      <w:pPr>
        <w:pStyle w:val="BodyText"/>
        <w:spacing w:before="8"/>
        <w:rPr>
          <w:sz w:val="22"/>
        </w:rPr>
      </w:pPr>
    </w:p>
    <w:p>
      <w:pPr>
        <w:pStyle w:val="ListParagraph"/>
        <w:numPr>
          <w:ilvl w:val="0"/>
          <w:numId w:val="2"/>
        </w:numPr>
        <w:tabs>
          <w:tab w:pos="603" w:val="left" w:leader="none"/>
          <w:tab w:pos="604" w:val="left" w:leader="none"/>
        </w:tabs>
        <w:spacing w:line="410" w:lineRule="auto" w:before="0" w:after="0"/>
        <w:ind w:left="120" w:right="112" w:firstLine="0"/>
        <w:jc w:val="left"/>
        <w:rPr>
          <w:b/>
          <w:sz w:val="22"/>
        </w:rPr>
      </w:pPr>
      <w:bookmarkStart w:name="Strategem 3: Dilute Self-Imposed Rules S" w:id="11"/>
      <w:bookmarkEnd w:id="11"/>
      <w:r>
        <w:rPr/>
      </w:r>
      <w:bookmarkStart w:name="Strategem 3: Dilute Self-Imposed Rules S" w:id="12"/>
      <w:bookmarkEnd w:id="12"/>
      <w:r>
        <w:rPr>
          <w:b/>
          <w:spacing w:val="-3"/>
          <w:sz w:val="22"/>
        </w:rPr>
        <w:t>STR</w:t>
      </w:r>
      <w:r>
        <w:rPr>
          <w:b/>
          <w:spacing w:val="-3"/>
          <w:sz w:val="22"/>
        </w:rPr>
        <w:t>ATEGEM</w:t>
      </w:r>
      <w:r>
        <w:rPr>
          <w:b/>
          <w:spacing w:val="-11"/>
          <w:sz w:val="22"/>
        </w:rPr>
        <w:t> </w:t>
      </w:r>
      <w:r>
        <w:rPr>
          <w:b/>
          <w:sz w:val="22"/>
        </w:rPr>
        <w:t>3:</w:t>
      </w:r>
      <w:r>
        <w:rPr>
          <w:b/>
          <w:spacing w:val="2"/>
          <w:sz w:val="22"/>
        </w:rPr>
        <w:t> </w:t>
      </w:r>
      <w:r>
        <w:rPr>
          <w:b/>
          <w:sz w:val="22"/>
        </w:rPr>
        <w:t>DILUTE</w:t>
      </w:r>
      <w:r>
        <w:rPr>
          <w:b/>
          <w:spacing w:val="-11"/>
          <w:sz w:val="22"/>
        </w:rPr>
        <w:t> </w:t>
      </w:r>
      <w:r>
        <w:rPr>
          <w:b/>
          <w:sz w:val="22"/>
        </w:rPr>
        <w:t>SELF-IMPOSED</w:t>
      </w:r>
      <w:r>
        <w:rPr>
          <w:b/>
          <w:spacing w:val="-10"/>
          <w:sz w:val="22"/>
        </w:rPr>
        <w:t> </w:t>
      </w:r>
      <w:r>
        <w:rPr>
          <w:b/>
          <w:sz w:val="22"/>
        </w:rPr>
        <w:t>RULES</w:t>
      </w:r>
      <w:r>
        <w:rPr>
          <w:b/>
          <w:spacing w:val="-11"/>
          <w:sz w:val="22"/>
        </w:rPr>
        <w:t> </w:t>
      </w:r>
      <w:r>
        <w:rPr>
          <w:b/>
          <w:sz w:val="22"/>
        </w:rPr>
        <w:t>SUCH</w:t>
      </w:r>
      <w:r>
        <w:rPr>
          <w:b/>
          <w:spacing w:val="-11"/>
          <w:sz w:val="22"/>
        </w:rPr>
        <w:t> </w:t>
      </w:r>
      <w:r>
        <w:rPr>
          <w:b/>
          <w:sz w:val="22"/>
        </w:rPr>
        <w:t>AS</w:t>
      </w:r>
      <w:r>
        <w:rPr>
          <w:b/>
          <w:spacing w:val="-10"/>
          <w:sz w:val="22"/>
        </w:rPr>
        <w:t> </w:t>
      </w:r>
      <w:r>
        <w:rPr>
          <w:b/>
          <w:sz w:val="22"/>
        </w:rPr>
        <w:t>DEBT</w:t>
      </w:r>
      <w:r>
        <w:rPr>
          <w:b/>
          <w:spacing w:val="-11"/>
          <w:sz w:val="22"/>
        </w:rPr>
        <w:t> </w:t>
      </w:r>
      <w:r>
        <w:rPr>
          <w:b/>
          <w:sz w:val="22"/>
        </w:rPr>
        <w:t>CEILINGS</w:t>
      </w:r>
      <w:r>
        <w:rPr>
          <w:b/>
          <w:spacing w:val="-11"/>
          <w:sz w:val="22"/>
        </w:rPr>
        <w:t> </w:t>
      </w:r>
      <w:r>
        <w:rPr>
          <w:b/>
          <w:sz w:val="22"/>
        </w:rPr>
        <w:t>AND</w:t>
      </w:r>
      <w:r>
        <w:rPr>
          <w:b/>
          <w:spacing w:val="-10"/>
          <w:sz w:val="22"/>
        </w:rPr>
        <w:t> </w:t>
      </w:r>
      <w:r>
        <w:rPr>
          <w:b/>
          <w:spacing w:val="-3"/>
          <w:sz w:val="22"/>
        </w:rPr>
        <w:t>COL- LATERAL</w:t>
      </w:r>
      <w:r>
        <w:rPr>
          <w:b/>
          <w:spacing w:val="-2"/>
          <w:sz w:val="22"/>
        </w:rPr>
        <w:t> </w:t>
      </w:r>
      <w:r>
        <w:rPr>
          <w:b/>
          <w:sz w:val="22"/>
        </w:rPr>
        <w:t>REQUIREMENTS</w:t>
      </w:r>
    </w:p>
    <w:p>
      <w:pPr>
        <w:pStyle w:val="BodyText"/>
        <w:spacing w:before="2"/>
        <w:rPr>
          <w:b/>
          <w:sz w:val="23"/>
        </w:rPr>
      </w:pPr>
    </w:p>
    <w:p>
      <w:pPr>
        <w:pStyle w:val="BodyText"/>
        <w:spacing w:line="364" w:lineRule="auto" w:before="1"/>
        <w:ind w:left="120" w:right="112" w:firstLine="298"/>
        <w:jc w:val="both"/>
      </w:pPr>
      <w:r>
        <w:rPr/>
        <w:t>The European Central Bank (ECB) has faced increasing scrutiny for diluting its self-imposed rules, particularly regarding debt ceilings and collateral requirements. These rules were initially designed to ensure fiscal responsibility among member states and maintain financial stability in the eurozone. However, as economic pressures have mounted—especially during crises like the Eurozone debt crisis and the COVID-19 pandemic—the ECB has relaxed these rules to provide more flexibility to member states.</w:t>
      </w:r>
    </w:p>
    <w:p>
      <w:pPr>
        <w:pStyle w:val="BodyText"/>
        <w:spacing w:line="364" w:lineRule="auto" w:before="9"/>
        <w:ind w:left="120" w:right="112" w:firstLine="298"/>
        <w:jc w:val="both"/>
      </w:pPr>
      <w:r>
        <w:rPr/>
        <w:t>One</w:t>
      </w:r>
      <w:r>
        <w:rPr>
          <w:spacing w:val="-15"/>
        </w:rPr>
        <w:t> </w:t>
      </w:r>
      <w:r>
        <w:rPr>
          <w:spacing w:val="-3"/>
        </w:rPr>
        <w:t>key</w:t>
      </w:r>
      <w:r>
        <w:rPr>
          <w:spacing w:val="-14"/>
        </w:rPr>
        <w:t> </w:t>
      </w:r>
      <w:r>
        <w:rPr/>
        <w:t>area</w:t>
      </w:r>
      <w:r>
        <w:rPr>
          <w:spacing w:val="-15"/>
        </w:rPr>
        <w:t> </w:t>
      </w:r>
      <w:r>
        <w:rPr/>
        <w:t>of</w:t>
      </w:r>
      <w:r>
        <w:rPr>
          <w:spacing w:val="-14"/>
        </w:rPr>
        <w:t> </w:t>
      </w:r>
      <w:r>
        <w:rPr/>
        <w:t>dilution</w:t>
      </w:r>
      <w:r>
        <w:rPr>
          <w:spacing w:val="-15"/>
        </w:rPr>
        <w:t> </w:t>
      </w:r>
      <w:r>
        <w:rPr/>
        <w:t>is</w:t>
      </w:r>
      <w:r>
        <w:rPr>
          <w:spacing w:val="-14"/>
        </w:rPr>
        <w:t> </w:t>
      </w:r>
      <w:r>
        <w:rPr/>
        <w:t>the</w:t>
      </w:r>
      <w:r>
        <w:rPr>
          <w:spacing w:val="-15"/>
        </w:rPr>
        <w:t> </w:t>
      </w:r>
      <w:r>
        <w:rPr/>
        <w:t>debt-to-GDP</w:t>
      </w:r>
      <w:r>
        <w:rPr>
          <w:spacing w:val="-14"/>
        </w:rPr>
        <w:t> </w:t>
      </w:r>
      <w:r>
        <w:rPr/>
        <w:t>ratio.</w:t>
      </w:r>
      <w:r>
        <w:rPr>
          <w:spacing w:val="5"/>
        </w:rPr>
        <w:t> </w:t>
      </w:r>
      <w:r>
        <w:rPr/>
        <w:t>Originally,</w:t>
      </w:r>
      <w:r>
        <w:rPr>
          <w:spacing w:val="-13"/>
        </w:rPr>
        <w:t> </w:t>
      </w:r>
      <w:r>
        <w:rPr/>
        <w:t>eurozone</w:t>
      </w:r>
      <w:r>
        <w:rPr>
          <w:spacing w:val="-15"/>
        </w:rPr>
        <w:t> </w:t>
      </w:r>
      <w:r>
        <w:rPr/>
        <w:t>countries</w:t>
      </w:r>
      <w:r>
        <w:rPr>
          <w:spacing w:val="-14"/>
        </w:rPr>
        <w:t> </w:t>
      </w:r>
      <w:r>
        <w:rPr/>
        <w:t>were</w:t>
      </w:r>
      <w:r>
        <w:rPr>
          <w:spacing w:val="-15"/>
        </w:rPr>
        <w:t> </w:t>
      </w:r>
      <w:r>
        <w:rPr/>
        <w:t>expected to maintain a debt-to-GDP ratio below 60%, as stipulated by the Maastricht </w:t>
      </w:r>
      <w:r>
        <w:rPr>
          <w:spacing w:val="-4"/>
        </w:rPr>
        <w:t>Treaty.</w:t>
      </w:r>
      <w:r>
        <w:rPr>
          <w:spacing w:val="52"/>
        </w:rPr>
        <w:t> </w:t>
      </w:r>
      <w:r>
        <w:rPr>
          <w:spacing w:val="-6"/>
        </w:rPr>
        <w:t>However, </w:t>
      </w:r>
      <w:r>
        <w:rPr/>
        <w:t>many</w:t>
      </w:r>
      <w:r>
        <w:rPr>
          <w:spacing w:val="-16"/>
        </w:rPr>
        <w:t> </w:t>
      </w:r>
      <w:r>
        <w:rPr/>
        <w:t>countries</w:t>
      </w:r>
      <w:r>
        <w:rPr>
          <w:spacing w:val="-16"/>
        </w:rPr>
        <w:t> </w:t>
      </w:r>
      <w:r>
        <w:rPr>
          <w:spacing w:val="-3"/>
        </w:rPr>
        <w:t>have</w:t>
      </w:r>
      <w:r>
        <w:rPr>
          <w:spacing w:val="-16"/>
        </w:rPr>
        <w:t> </w:t>
      </w:r>
      <w:r>
        <w:rPr/>
        <w:t>consistently</w:t>
      </w:r>
      <w:r>
        <w:rPr>
          <w:spacing w:val="-15"/>
        </w:rPr>
        <w:t> </w:t>
      </w:r>
      <w:r>
        <w:rPr/>
        <w:t>exceeded</w:t>
      </w:r>
      <w:r>
        <w:rPr>
          <w:spacing w:val="-16"/>
        </w:rPr>
        <w:t> </w:t>
      </w:r>
      <w:r>
        <w:rPr/>
        <w:t>this</w:t>
      </w:r>
      <w:r>
        <w:rPr>
          <w:spacing w:val="-16"/>
        </w:rPr>
        <w:t> </w:t>
      </w:r>
      <w:r>
        <w:rPr/>
        <w:t>limit.</w:t>
      </w:r>
      <w:r>
        <w:rPr>
          <w:spacing w:val="6"/>
        </w:rPr>
        <w:t> </w:t>
      </w:r>
      <w:r>
        <w:rPr/>
        <w:t>Instead</w:t>
      </w:r>
      <w:r>
        <w:rPr>
          <w:spacing w:val="-15"/>
        </w:rPr>
        <w:t> </w:t>
      </w:r>
      <w:r>
        <w:rPr/>
        <w:t>of</w:t>
      </w:r>
      <w:r>
        <w:rPr>
          <w:spacing w:val="-16"/>
        </w:rPr>
        <w:t> </w:t>
      </w:r>
      <w:r>
        <w:rPr/>
        <w:t>enforcing</w:t>
      </w:r>
      <w:r>
        <w:rPr>
          <w:spacing w:val="-16"/>
        </w:rPr>
        <w:t> </w:t>
      </w:r>
      <w:r>
        <w:rPr/>
        <w:t>strict</w:t>
      </w:r>
      <w:r>
        <w:rPr>
          <w:spacing w:val="-16"/>
        </w:rPr>
        <w:t> </w:t>
      </w:r>
      <w:r>
        <w:rPr/>
        <w:t>penalties,</w:t>
      </w:r>
      <w:r>
        <w:rPr>
          <w:spacing w:val="-13"/>
        </w:rPr>
        <w:t> </w:t>
      </w:r>
      <w:r>
        <w:rPr/>
        <w:t>the</w:t>
      </w:r>
      <w:r>
        <w:rPr>
          <w:spacing w:val="-16"/>
        </w:rPr>
        <w:t> </w:t>
      </w:r>
      <w:r>
        <w:rPr/>
        <w:t>ECB has allowed more </w:t>
      </w:r>
      <w:r>
        <w:rPr>
          <w:spacing w:val="-3"/>
        </w:rPr>
        <w:t>leniency, </w:t>
      </w:r>
      <w:r>
        <w:rPr/>
        <w:t>fearing that rigid adherence to these rules could exacerbate economic downturns and stifle</w:t>
      </w:r>
      <w:r>
        <w:rPr>
          <w:spacing w:val="-4"/>
        </w:rPr>
        <w:t> </w:t>
      </w:r>
      <w:r>
        <w:rPr/>
        <w:t>growth.</w:t>
      </w:r>
    </w:p>
    <w:p>
      <w:pPr>
        <w:pStyle w:val="BodyText"/>
        <w:spacing w:line="364" w:lineRule="auto" w:before="10"/>
        <w:ind w:left="120" w:right="112" w:firstLine="298"/>
        <w:jc w:val="both"/>
      </w:pPr>
      <w:r>
        <w:rPr/>
        <w:t>Additionally,</w:t>
      </w:r>
      <w:r>
        <w:rPr>
          <w:spacing w:val="-5"/>
        </w:rPr>
        <w:t> </w:t>
      </w:r>
      <w:r>
        <w:rPr/>
        <w:t>the</w:t>
      </w:r>
      <w:r>
        <w:rPr>
          <w:spacing w:val="-4"/>
        </w:rPr>
        <w:t> </w:t>
      </w:r>
      <w:r>
        <w:rPr/>
        <w:t>ECB</w:t>
      </w:r>
      <w:r>
        <w:rPr>
          <w:spacing w:val="-5"/>
        </w:rPr>
        <w:t> </w:t>
      </w:r>
      <w:r>
        <w:rPr/>
        <w:t>has</w:t>
      </w:r>
      <w:r>
        <w:rPr>
          <w:spacing w:val="-4"/>
        </w:rPr>
        <w:t> </w:t>
      </w:r>
      <w:r>
        <w:rPr/>
        <w:t>relaxed</w:t>
      </w:r>
      <w:r>
        <w:rPr>
          <w:spacing w:val="-4"/>
        </w:rPr>
        <w:t> </w:t>
      </w:r>
      <w:r>
        <w:rPr/>
        <w:t>collateral</w:t>
      </w:r>
      <w:r>
        <w:rPr>
          <w:spacing w:val="-5"/>
        </w:rPr>
        <w:t> </w:t>
      </w:r>
      <w:r>
        <w:rPr/>
        <w:t>requirements,</w:t>
      </w:r>
      <w:r>
        <w:rPr>
          <w:spacing w:val="-4"/>
        </w:rPr>
        <w:t> </w:t>
      </w:r>
      <w:r>
        <w:rPr/>
        <w:t>allowing</w:t>
      </w:r>
      <w:r>
        <w:rPr>
          <w:spacing w:val="-5"/>
        </w:rPr>
        <w:t> </w:t>
      </w:r>
      <w:r>
        <w:rPr/>
        <w:t>banks</w:t>
      </w:r>
      <w:r>
        <w:rPr>
          <w:spacing w:val="-4"/>
        </w:rPr>
        <w:t> </w:t>
      </w:r>
      <w:r>
        <w:rPr/>
        <w:t>to</w:t>
      </w:r>
      <w:r>
        <w:rPr>
          <w:spacing w:val="-4"/>
        </w:rPr>
        <w:t> </w:t>
      </w:r>
      <w:r>
        <w:rPr/>
        <w:t>use</w:t>
      </w:r>
      <w:r>
        <w:rPr>
          <w:spacing w:val="-5"/>
        </w:rPr>
        <w:t> </w:t>
      </w:r>
      <w:r>
        <w:rPr/>
        <w:t>riskier</w:t>
      </w:r>
      <w:r>
        <w:rPr>
          <w:spacing w:val="-4"/>
        </w:rPr>
        <w:t> </w:t>
      </w:r>
      <w:r>
        <w:rPr/>
        <w:t>assets as collateral for loans. While this move aims to ensure liquidity in the financial system, it also raises questions about the quality of assets being accepted. This leniency has been accompanied by the </w:t>
      </w:r>
      <w:r>
        <w:rPr>
          <w:spacing w:val="-3"/>
        </w:rPr>
        <w:t>ECB’s </w:t>
      </w:r>
      <w:r>
        <w:rPr/>
        <w:t>practice of indirect monetization of budget deficits,  by buying government </w:t>
      </w:r>
      <w:r>
        <w:rPr>
          <w:spacing w:val="-3"/>
        </w:rPr>
        <w:t>debt  </w:t>
      </w:r>
      <w:r>
        <w:rPr/>
        <w:t>on secondary markets. Some fear that by allowing questionable collateral, the ECB is taking on excessive risk, which could lead to financial instability if these assets fail to</w:t>
      </w:r>
      <w:r>
        <w:rPr>
          <w:spacing w:val="-35"/>
        </w:rPr>
        <w:t> </w:t>
      </w:r>
      <w:r>
        <w:rPr/>
        <w:t>perform.</w:t>
      </w:r>
    </w:p>
    <w:p>
      <w:pPr>
        <w:spacing w:line="364" w:lineRule="auto" w:before="9"/>
        <w:ind w:left="120" w:right="112" w:firstLine="298"/>
        <w:jc w:val="both"/>
        <w:rPr>
          <w:i/>
          <w:sz w:val="24"/>
        </w:rPr>
      </w:pPr>
      <w:r>
        <w:rPr>
          <w:sz w:val="24"/>
        </w:rPr>
        <w:t>Here</w:t>
      </w:r>
      <w:r>
        <w:rPr>
          <w:spacing w:val="-10"/>
          <w:sz w:val="24"/>
        </w:rPr>
        <w:t> </w:t>
      </w:r>
      <w:r>
        <w:rPr>
          <w:sz w:val="24"/>
        </w:rPr>
        <w:t>is</w:t>
      </w:r>
      <w:r>
        <w:rPr>
          <w:spacing w:val="-10"/>
          <w:sz w:val="24"/>
        </w:rPr>
        <w:t> </w:t>
      </w:r>
      <w:r>
        <w:rPr>
          <w:sz w:val="24"/>
        </w:rPr>
        <w:t>a</w:t>
      </w:r>
      <w:r>
        <w:rPr>
          <w:spacing w:val="-10"/>
          <w:sz w:val="24"/>
        </w:rPr>
        <w:t> </w:t>
      </w:r>
      <w:r>
        <w:rPr>
          <w:sz w:val="24"/>
        </w:rPr>
        <w:t>quote</w:t>
      </w:r>
      <w:r>
        <w:rPr>
          <w:spacing w:val="-10"/>
          <w:sz w:val="24"/>
        </w:rPr>
        <w:t> </w:t>
      </w:r>
      <w:r>
        <w:rPr>
          <w:sz w:val="24"/>
        </w:rPr>
        <w:t>from</w:t>
      </w:r>
      <w:r>
        <w:rPr>
          <w:spacing w:val="-9"/>
          <w:sz w:val="24"/>
        </w:rPr>
        <w:t> </w:t>
      </w:r>
      <w:r>
        <w:rPr>
          <w:sz w:val="24"/>
        </w:rPr>
        <w:t>an</w:t>
      </w:r>
      <w:r>
        <w:rPr>
          <w:spacing w:val="-10"/>
          <w:sz w:val="24"/>
        </w:rPr>
        <w:t> </w:t>
      </w:r>
      <w:r>
        <w:rPr>
          <w:sz w:val="24"/>
        </w:rPr>
        <w:t>article</w:t>
      </w:r>
      <w:r>
        <w:rPr>
          <w:spacing w:val="-10"/>
          <w:sz w:val="24"/>
        </w:rPr>
        <w:t> </w:t>
      </w:r>
      <w:r>
        <w:rPr>
          <w:sz w:val="24"/>
        </w:rPr>
        <w:t>published</w:t>
      </w:r>
      <w:r>
        <w:rPr>
          <w:spacing w:val="-10"/>
          <w:sz w:val="24"/>
        </w:rPr>
        <w:t> </w:t>
      </w:r>
      <w:r>
        <w:rPr>
          <w:sz w:val="24"/>
        </w:rPr>
        <w:t>by</w:t>
      </w:r>
      <w:r>
        <w:rPr>
          <w:spacing w:val="-10"/>
          <w:sz w:val="24"/>
        </w:rPr>
        <w:t> </w:t>
      </w:r>
      <w:r>
        <w:rPr>
          <w:sz w:val="24"/>
        </w:rPr>
        <w:t>The</w:t>
      </w:r>
      <w:r>
        <w:rPr>
          <w:spacing w:val="-9"/>
          <w:sz w:val="24"/>
        </w:rPr>
        <w:t> </w:t>
      </w:r>
      <w:r>
        <w:rPr>
          <w:sz w:val="24"/>
        </w:rPr>
        <w:t>Brookings</w:t>
      </w:r>
      <w:r>
        <w:rPr>
          <w:spacing w:val="-10"/>
          <w:sz w:val="24"/>
        </w:rPr>
        <w:t> </w:t>
      </w:r>
      <w:r>
        <w:rPr>
          <w:sz w:val="24"/>
        </w:rPr>
        <w:t>Institution</w:t>
      </w:r>
      <w:r>
        <w:rPr>
          <w:spacing w:val="-10"/>
          <w:sz w:val="24"/>
        </w:rPr>
        <w:t> </w:t>
      </w:r>
      <w:r>
        <w:rPr>
          <w:sz w:val="24"/>
        </w:rPr>
        <w:t>(</w:t>
      </w:r>
      <w:hyperlink w:history="true" w:anchor="_bookmark5">
        <w:r>
          <w:rPr>
            <w:color w:val="BF0000"/>
            <w:sz w:val="24"/>
          </w:rPr>
          <w:t>Belz</w:t>
        </w:r>
        <w:r>
          <w:rPr>
            <w:color w:val="BF0000"/>
            <w:spacing w:val="-10"/>
            <w:sz w:val="24"/>
          </w:rPr>
          <w:t> </w:t>
        </w:r>
        <w:r>
          <w:rPr>
            <w:color w:val="BF0000"/>
            <w:sz w:val="24"/>
          </w:rPr>
          <w:t>et</w:t>
        </w:r>
        <w:r>
          <w:rPr>
            <w:color w:val="BF0000"/>
            <w:spacing w:val="-9"/>
            <w:sz w:val="24"/>
          </w:rPr>
          <w:t> </w:t>
        </w:r>
        <w:r>
          <w:rPr>
            <w:color w:val="BF0000"/>
            <w:sz w:val="24"/>
          </w:rPr>
          <w:t>al.</w:t>
        </w:r>
      </w:hyperlink>
      <w:r>
        <w:rPr>
          <w:sz w:val="24"/>
        </w:rPr>
        <w:t>,</w:t>
      </w:r>
      <w:r>
        <w:rPr>
          <w:spacing w:val="-10"/>
          <w:sz w:val="24"/>
        </w:rPr>
        <w:t> </w:t>
      </w:r>
      <w:hyperlink w:history="true" w:anchor="_bookmark5">
        <w:r>
          <w:rPr>
            <w:color w:val="BF0000"/>
            <w:sz w:val="24"/>
          </w:rPr>
          <w:t>2020</w:t>
        </w:r>
      </w:hyperlink>
      <w:r>
        <w:rPr>
          <w:sz w:val="24"/>
        </w:rPr>
        <w:t>):</w:t>
      </w:r>
      <w:r>
        <w:rPr>
          <w:spacing w:val="7"/>
          <w:sz w:val="24"/>
        </w:rPr>
        <w:t> </w:t>
      </w:r>
      <w:r>
        <w:rPr>
          <w:i/>
          <w:sz w:val="24"/>
        </w:rPr>
        <w:t>“The </w:t>
      </w:r>
      <w:r>
        <w:rPr>
          <w:i/>
          <w:sz w:val="24"/>
        </w:rPr>
        <w:t>ECB now accepts as collateral an expanded set of non-marketable assets—including</w:t>
      </w:r>
      <w:r>
        <w:rPr>
          <w:i/>
          <w:spacing w:val="-25"/>
          <w:sz w:val="24"/>
        </w:rPr>
        <w:t> </w:t>
      </w:r>
      <w:r>
        <w:rPr>
          <w:i/>
          <w:sz w:val="24"/>
        </w:rPr>
        <w:t>government guaranteed loans, lower quality loans, and small business loans—that </w:t>
      </w:r>
      <w:r>
        <w:rPr>
          <w:i/>
          <w:spacing w:val="-3"/>
          <w:sz w:val="24"/>
        </w:rPr>
        <w:t>are </w:t>
      </w:r>
      <w:r>
        <w:rPr>
          <w:i/>
          <w:sz w:val="24"/>
        </w:rPr>
        <w:t>outside of the general framework.</w:t>
      </w:r>
      <w:r>
        <w:rPr>
          <w:i/>
          <w:spacing w:val="6"/>
          <w:sz w:val="24"/>
        </w:rPr>
        <w:t> </w:t>
      </w:r>
      <w:r>
        <w:rPr>
          <w:i/>
          <w:sz w:val="24"/>
        </w:rPr>
        <w:t>It</w:t>
      </w:r>
      <w:r>
        <w:rPr>
          <w:i/>
          <w:spacing w:val="-7"/>
          <w:sz w:val="24"/>
        </w:rPr>
        <w:t> </w:t>
      </w:r>
      <w:r>
        <w:rPr>
          <w:i/>
          <w:sz w:val="24"/>
        </w:rPr>
        <w:t>also</w:t>
      </w:r>
      <w:r>
        <w:rPr>
          <w:i/>
          <w:spacing w:val="-6"/>
          <w:sz w:val="24"/>
        </w:rPr>
        <w:t> </w:t>
      </w:r>
      <w:r>
        <w:rPr>
          <w:i/>
          <w:sz w:val="24"/>
        </w:rPr>
        <w:t>granted</w:t>
      </w:r>
      <w:r>
        <w:rPr>
          <w:i/>
          <w:spacing w:val="-7"/>
          <w:sz w:val="24"/>
        </w:rPr>
        <w:t> </w:t>
      </w:r>
      <w:r>
        <w:rPr>
          <w:i/>
          <w:sz w:val="24"/>
        </w:rPr>
        <w:t>waivers</w:t>
      </w:r>
      <w:r>
        <w:rPr>
          <w:i/>
          <w:spacing w:val="-7"/>
          <w:sz w:val="24"/>
        </w:rPr>
        <w:t> </w:t>
      </w:r>
      <w:r>
        <w:rPr>
          <w:i/>
          <w:sz w:val="24"/>
        </w:rPr>
        <w:t>to</w:t>
      </w:r>
      <w:r>
        <w:rPr>
          <w:i/>
          <w:spacing w:val="-7"/>
          <w:sz w:val="24"/>
        </w:rPr>
        <w:t> </w:t>
      </w:r>
      <w:r>
        <w:rPr>
          <w:i/>
          <w:sz w:val="24"/>
        </w:rPr>
        <w:t>Greek</w:t>
      </w:r>
      <w:r>
        <w:rPr>
          <w:i/>
          <w:spacing w:val="-7"/>
          <w:sz w:val="24"/>
        </w:rPr>
        <w:t> </w:t>
      </w:r>
      <w:r>
        <w:rPr>
          <w:i/>
          <w:sz w:val="24"/>
        </w:rPr>
        <w:t>sovereign</w:t>
      </w:r>
      <w:r>
        <w:rPr>
          <w:i/>
          <w:spacing w:val="-6"/>
          <w:sz w:val="24"/>
        </w:rPr>
        <w:t> </w:t>
      </w:r>
      <w:r>
        <w:rPr>
          <w:i/>
          <w:sz w:val="24"/>
        </w:rPr>
        <w:t>debt,</w:t>
      </w:r>
      <w:r>
        <w:rPr>
          <w:i/>
          <w:spacing w:val="-7"/>
          <w:sz w:val="24"/>
        </w:rPr>
        <w:t> </w:t>
      </w:r>
      <w:r>
        <w:rPr>
          <w:i/>
          <w:sz w:val="24"/>
        </w:rPr>
        <w:t>which,</w:t>
      </w:r>
      <w:r>
        <w:rPr>
          <w:i/>
          <w:spacing w:val="-7"/>
          <w:sz w:val="24"/>
        </w:rPr>
        <w:t> </w:t>
      </w:r>
      <w:r>
        <w:rPr>
          <w:i/>
          <w:sz w:val="24"/>
        </w:rPr>
        <w:t>because</w:t>
      </w:r>
      <w:r>
        <w:rPr>
          <w:i/>
          <w:spacing w:val="-7"/>
          <w:sz w:val="24"/>
        </w:rPr>
        <w:t> </w:t>
      </w:r>
      <w:r>
        <w:rPr>
          <w:i/>
          <w:sz w:val="24"/>
        </w:rPr>
        <w:t>of</w:t>
      </w:r>
      <w:r>
        <w:rPr>
          <w:i/>
          <w:spacing w:val="-6"/>
          <w:sz w:val="24"/>
        </w:rPr>
        <w:t> </w:t>
      </w:r>
      <w:r>
        <w:rPr>
          <w:i/>
          <w:sz w:val="24"/>
        </w:rPr>
        <w:t>its</w:t>
      </w:r>
      <w:r>
        <w:rPr>
          <w:i/>
          <w:spacing w:val="-7"/>
          <w:sz w:val="24"/>
        </w:rPr>
        <w:t> </w:t>
      </w:r>
      <w:r>
        <w:rPr>
          <w:i/>
          <w:sz w:val="24"/>
        </w:rPr>
        <w:t>non-investment grade status, was not previously considered eligible collateral. </w:t>
      </w:r>
      <w:r>
        <w:rPr>
          <w:i/>
          <w:spacing w:val="-3"/>
          <w:sz w:val="24"/>
        </w:rPr>
        <w:t>‘Fallen </w:t>
      </w:r>
      <w:r>
        <w:rPr>
          <w:i/>
          <w:sz w:val="24"/>
        </w:rPr>
        <w:t>angel’ bonds, those that have recently lost their investment-grade rating, </w:t>
      </w:r>
      <w:r>
        <w:rPr>
          <w:i/>
          <w:spacing w:val="-3"/>
          <w:sz w:val="24"/>
        </w:rPr>
        <w:t>are </w:t>
      </w:r>
      <w:r>
        <w:rPr>
          <w:i/>
          <w:sz w:val="24"/>
        </w:rPr>
        <w:t>now accepted as collateral as well. In addi- tion,</w:t>
      </w:r>
      <w:r>
        <w:rPr>
          <w:i/>
          <w:spacing w:val="-9"/>
          <w:sz w:val="24"/>
        </w:rPr>
        <w:t> </w:t>
      </w:r>
      <w:r>
        <w:rPr>
          <w:i/>
          <w:sz w:val="24"/>
        </w:rPr>
        <w:t>the</w:t>
      </w:r>
      <w:r>
        <w:rPr>
          <w:i/>
          <w:spacing w:val="-9"/>
          <w:sz w:val="24"/>
        </w:rPr>
        <w:t> </w:t>
      </w:r>
      <w:r>
        <w:rPr>
          <w:i/>
          <w:sz w:val="24"/>
        </w:rPr>
        <w:t>ECB</w:t>
      </w:r>
      <w:r>
        <w:rPr>
          <w:i/>
          <w:spacing w:val="-9"/>
          <w:sz w:val="24"/>
        </w:rPr>
        <w:t> </w:t>
      </w:r>
      <w:r>
        <w:rPr>
          <w:i/>
          <w:sz w:val="24"/>
        </w:rPr>
        <w:t>reduced</w:t>
      </w:r>
      <w:r>
        <w:rPr>
          <w:i/>
          <w:spacing w:val="-10"/>
          <w:sz w:val="24"/>
        </w:rPr>
        <w:t> </w:t>
      </w:r>
      <w:r>
        <w:rPr>
          <w:i/>
          <w:sz w:val="24"/>
        </w:rPr>
        <w:t>haircuts,</w:t>
      </w:r>
      <w:r>
        <w:rPr>
          <w:i/>
          <w:spacing w:val="-8"/>
          <w:sz w:val="24"/>
        </w:rPr>
        <w:t> </w:t>
      </w:r>
      <w:r>
        <w:rPr>
          <w:i/>
          <w:sz w:val="24"/>
        </w:rPr>
        <w:t>the</w:t>
      </w:r>
      <w:r>
        <w:rPr>
          <w:i/>
          <w:spacing w:val="-9"/>
          <w:sz w:val="24"/>
        </w:rPr>
        <w:t> </w:t>
      </w:r>
      <w:r>
        <w:rPr>
          <w:i/>
          <w:sz w:val="24"/>
        </w:rPr>
        <w:t>amount</w:t>
      </w:r>
      <w:r>
        <w:rPr>
          <w:i/>
          <w:spacing w:val="-9"/>
          <w:sz w:val="24"/>
        </w:rPr>
        <w:t> </w:t>
      </w:r>
      <w:r>
        <w:rPr>
          <w:i/>
          <w:sz w:val="24"/>
        </w:rPr>
        <w:t>of</w:t>
      </w:r>
      <w:r>
        <w:rPr>
          <w:i/>
          <w:spacing w:val="-10"/>
          <w:sz w:val="24"/>
        </w:rPr>
        <w:t> </w:t>
      </w:r>
      <w:r>
        <w:rPr>
          <w:i/>
          <w:sz w:val="24"/>
        </w:rPr>
        <w:t>collateral</w:t>
      </w:r>
      <w:r>
        <w:rPr>
          <w:i/>
          <w:spacing w:val="-9"/>
          <w:sz w:val="24"/>
        </w:rPr>
        <w:t> </w:t>
      </w:r>
      <w:r>
        <w:rPr>
          <w:i/>
          <w:spacing w:val="-3"/>
          <w:sz w:val="24"/>
        </w:rPr>
        <w:t>required</w:t>
      </w:r>
      <w:r>
        <w:rPr>
          <w:i/>
          <w:spacing w:val="-9"/>
          <w:sz w:val="24"/>
        </w:rPr>
        <w:t> </w:t>
      </w:r>
      <w:r>
        <w:rPr>
          <w:i/>
          <w:sz w:val="24"/>
        </w:rPr>
        <w:t>in</w:t>
      </w:r>
      <w:r>
        <w:rPr>
          <w:i/>
          <w:spacing w:val="-9"/>
          <w:sz w:val="24"/>
        </w:rPr>
        <w:t> </w:t>
      </w:r>
      <w:r>
        <w:rPr>
          <w:i/>
          <w:sz w:val="24"/>
        </w:rPr>
        <w:t>excess</w:t>
      </w:r>
      <w:r>
        <w:rPr>
          <w:i/>
          <w:spacing w:val="-10"/>
          <w:sz w:val="24"/>
        </w:rPr>
        <w:t> </w:t>
      </w:r>
      <w:r>
        <w:rPr>
          <w:i/>
          <w:sz w:val="24"/>
        </w:rPr>
        <w:t>of</w:t>
      </w:r>
      <w:r>
        <w:rPr>
          <w:i/>
          <w:spacing w:val="-9"/>
          <w:sz w:val="24"/>
        </w:rPr>
        <w:t> </w:t>
      </w:r>
      <w:r>
        <w:rPr>
          <w:i/>
          <w:sz w:val="24"/>
        </w:rPr>
        <w:t>the</w:t>
      </w:r>
      <w:r>
        <w:rPr>
          <w:i/>
          <w:spacing w:val="-9"/>
          <w:sz w:val="24"/>
        </w:rPr>
        <w:t> </w:t>
      </w:r>
      <w:r>
        <w:rPr>
          <w:i/>
          <w:sz w:val="24"/>
        </w:rPr>
        <w:t>loan</w:t>
      </w:r>
      <w:r>
        <w:rPr>
          <w:i/>
          <w:spacing w:val="-9"/>
          <w:sz w:val="24"/>
        </w:rPr>
        <w:t> </w:t>
      </w:r>
      <w:r>
        <w:rPr>
          <w:i/>
          <w:sz w:val="24"/>
        </w:rPr>
        <w:t>amount,</w:t>
      </w:r>
      <w:r>
        <w:rPr>
          <w:i/>
          <w:spacing w:val="-9"/>
          <w:sz w:val="24"/>
        </w:rPr>
        <w:t> </w:t>
      </w:r>
      <w:r>
        <w:rPr>
          <w:i/>
          <w:sz w:val="24"/>
        </w:rPr>
        <w:t>for its lending </w:t>
      </w:r>
      <w:r>
        <w:rPr>
          <w:i/>
          <w:spacing w:val="-2"/>
          <w:sz w:val="24"/>
        </w:rPr>
        <w:t>programs. </w:t>
      </w:r>
      <w:r>
        <w:rPr>
          <w:i/>
          <w:sz w:val="24"/>
        </w:rPr>
        <w:t>In effect, the ECB decided that it is willing to temporarily increase its risk tolerance so banks can access the ECB’s liquidity</w:t>
      </w:r>
      <w:r>
        <w:rPr>
          <w:i/>
          <w:spacing w:val="-12"/>
          <w:sz w:val="24"/>
        </w:rPr>
        <w:t> </w:t>
      </w:r>
      <w:r>
        <w:rPr>
          <w:i/>
          <w:spacing w:val="-4"/>
          <w:sz w:val="24"/>
        </w:rPr>
        <w:t>operations.”</w:t>
      </w:r>
    </w:p>
    <w:p>
      <w:pPr>
        <w:spacing w:after="0" w:line="364" w:lineRule="auto"/>
        <w:jc w:val="both"/>
        <w:rPr>
          <w:sz w:val="24"/>
        </w:rPr>
        <w:sectPr>
          <w:pgSz w:w="12240" w:h="15840"/>
          <w:pgMar w:header="0" w:footer="563" w:top="1340" w:bottom="760" w:left="1320" w:right="1360"/>
        </w:sectPr>
      </w:pPr>
    </w:p>
    <w:p>
      <w:pPr>
        <w:pStyle w:val="BodyText"/>
        <w:spacing w:line="364" w:lineRule="auto" w:before="75"/>
        <w:ind w:left="120" w:right="112" w:firstLine="298"/>
        <w:jc w:val="both"/>
      </w:pPr>
      <w:r>
        <w:rPr/>
        <w:t>At</w:t>
      </w:r>
      <w:r>
        <w:rPr>
          <w:spacing w:val="-9"/>
        </w:rPr>
        <w:t> </w:t>
      </w:r>
      <w:r>
        <w:rPr/>
        <w:t>the</w:t>
      </w:r>
      <w:r>
        <w:rPr>
          <w:spacing w:val="-8"/>
        </w:rPr>
        <w:t> </w:t>
      </w:r>
      <w:r>
        <w:rPr/>
        <w:t>moment,</w:t>
      </w:r>
      <w:r>
        <w:rPr>
          <w:spacing w:val="-7"/>
        </w:rPr>
        <w:t> </w:t>
      </w:r>
      <w:r>
        <w:rPr/>
        <w:t>the</w:t>
      </w:r>
      <w:r>
        <w:rPr>
          <w:spacing w:val="-8"/>
        </w:rPr>
        <w:t> </w:t>
      </w:r>
      <w:r>
        <w:rPr/>
        <w:t>central</w:t>
      </w:r>
      <w:r>
        <w:rPr>
          <w:spacing w:val="-8"/>
        </w:rPr>
        <w:t> </w:t>
      </w:r>
      <w:r>
        <w:rPr/>
        <w:t>banks</w:t>
      </w:r>
      <w:r>
        <w:rPr>
          <w:spacing w:val="-8"/>
        </w:rPr>
        <w:t> </w:t>
      </w:r>
      <w:r>
        <w:rPr/>
        <w:t>hold</w:t>
      </w:r>
      <w:r>
        <w:rPr>
          <w:spacing w:val="-8"/>
        </w:rPr>
        <w:t> </w:t>
      </w:r>
      <w:r>
        <w:rPr/>
        <w:t>about</w:t>
      </w:r>
      <w:r>
        <w:rPr>
          <w:spacing w:val="-8"/>
        </w:rPr>
        <w:t> </w:t>
      </w:r>
      <w:r>
        <w:rPr/>
        <w:t>one</w:t>
      </w:r>
      <w:r>
        <w:rPr>
          <w:spacing w:val="-8"/>
        </w:rPr>
        <w:t> </w:t>
      </w:r>
      <w:r>
        <w:rPr/>
        <w:t>third</w:t>
      </w:r>
      <w:r>
        <w:rPr>
          <w:spacing w:val="-8"/>
        </w:rPr>
        <w:t> </w:t>
      </w:r>
      <w:r>
        <w:rPr/>
        <w:t>of</w:t>
      </w:r>
      <w:r>
        <w:rPr>
          <w:spacing w:val="-8"/>
        </w:rPr>
        <w:t> </w:t>
      </w:r>
      <w:r>
        <w:rPr/>
        <w:t>the</w:t>
      </w:r>
      <w:r>
        <w:rPr>
          <w:spacing w:val="-8"/>
        </w:rPr>
        <w:t> </w:t>
      </w:r>
      <w:r>
        <w:rPr/>
        <w:t>long-term</w:t>
      </w:r>
      <w:r>
        <w:rPr>
          <w:spacing w:val="-8"/>
        </w:rPr>
        <w:t> </w:t>
      </w:r>
      <w:r>
        <w:rPr/>
        <w:t>sovereign</w:t>
      </w:r>
      <w:r>
        <w:rPr>
          <w:spacing w:val="-8"/>
        </w:rPr>
        <w:t> </w:t>
      </w:r>
      <w:r>
        <w:rPr/>
        <w:t>bonds</w:t>
      </w:r>
      <w:r>
        <w:rPr>
          <w:spacing w:val="-8"/>
        </w:rPr>
        <w:t> </w:t>
      </w:r>
      <w:r>
        <w:rPr>
          <w:spacing w:val="-3"/>
        </w:rPr>
        <w:t>issued. </w:t>
      </w:r>
      <w:r>
        <w:rPr/>
        <w:t>This</w:t>
      </w:r>
      <w:r>
        <w:rPr>
          <w:spacing w:val="-18"/>
        </w:rPr>
        <w:t> </w:t>
      </w:r>
      <w:r>
        <w:rPr/>
        <w:t>makes</w:t>
      </w:r>
      <w:r>
        <w:rPr>
          <w:spacing w:val="-17"/>
        </w:rPr>
        <w:t> </w:t>
      </w:r>
      <w:r>
        <w:rPr/>
        <w:t>them</w:t>
      </w:r>
      <w:r>
        <w:rPr>
          <w:spacing w:val="-17"/>
        </w:rPr>
        <w:t> </w:t>
      </w:r>
      <w:r>
        <w:rPr/>
        <w:t>vulnerable</w:t>
      </w:r>
      <w:r>
        <w:rPr>
          <w:spacing w:val="-18"/>
        </w:rPr>
        <w:t> </w:t>
      </w:r>
      <w:r>
        <w:rPr/>
        <w:t>against</w:t>
      </w:r>
      <w:r>
        <w:rPr>
          <w:spacing w:val="-17"/>
        </w:rPr>
        <w:t> </w:t>
      </w:r>
      <w:r>
        <w:rPr/>
        <w:t>all</w:t>
      </w:r>
      <w:r>
        <w:rPr>
          <w:spacing w:val="-17"/>
        </w:rPr>
        <w:t> </w:t>
      </w:r>
      <w:r>
        <w:rPr/>
        <w:t>sorts</w:t>
      </w:r>
      <w:r>
        <w:rPr>
          <w:spacing w:val="-18"/>
        </w:rPr>
        <w:t> </w:t>
      </w:r>
      <w:r>
        <w:rPr/>
        <w:t>of</w:t>
      </w:r>
      <w:r>
        <w:rPr>
          <w:spacing w:val="-17"/>
        </w:rPr>
        <w:t> </w:t>
      </w:r>
      <w:r>
        <w:rPr/>
        <w:t>attacks</w:t>
      </w:r>
      <w:r>
        <w:rPr>
          <w:spacing w:val="-17"/>
        </w:rPr>
        <w:t> </w:t>
      </w:r>
      <w:r>
        <w:rPr/>
        <w:t>by</w:t>
      </w:r>
      <w:r>
        <w:rPr>
          <w:spacing w:val="-18"/>
        </w:rPr>
        <w:t> </w:t>
      </w:r>
      <w:r>
        <w:rPr/>
        <w:t>speculators,</w:t>
      </w:r>
      <w:r>
        <w:rPr>
          <w:spacing w:val="-14"/>
        </w:rPr>
        <w:t> </w:t>
      </w:r>
      <w:r>
        <w:rPr/>
        <w:t>and</w:t>
      </w:r>
      <w:r>
        <w:rPr>
          <w:spacing w:val="-18"/>
        </w:rPr>
        <w:t> </w:t>
      </w:r>
      <w:r>
        <w:rPr/>
        <w:t>against</w:t>
      </w:r>
      <w:r>
        <w:rPr>
          <w:spacing w:val="-17"/>
        </w:rPr>
        <w:t> </w:t>
      </w:r>
      <w:r>
        <w:rPr/>
        <w:t>the</w:t>
      </w:r>
      <w:r>
        <w:rPr>
          <w:spacing w:val="-17"/>
        </w:rPr>
        <w:t> </w:t>
      </w:r>
      <w:r>
        <w:rPr/>
        <w:t>desires</w:t>
      </w:r>
      <w:r>
        <w:rPr>
          <w:spacing w:val="-18"/>
        </w:rPr>
        <w:t> </w:t>
      </w:r>
      <w:r>
        <w:rPr/>
        <w:t>of</w:t>
      </w:r>
      <w:r>
        <w:rPr>
          <w:spacing w:val="-17"/>
        </w:rPr>
        <w:t> </w:t>
      </w:r>
      <w:r>
        <w:rPr/>
        <w:t>the political</w:t>
      </w:r>
      <w:r>
        <w:rPr>
          <w:spacing w:val="-11"/>
        </w:rPr>
        <w:t> </w:t>
      </w:r>
      <w:r>
        <w:rPr/>
        <w:t>bodies</w:t>
      </w:r>
      <w:r>
        <w:rPr>
          <w:spacing w:val="-10"/>
        </w:rPr>
        <w:t> </w:t>
      </w:r>
      <w:r>
        <w:rPr/>
        <w:t>in</w:t>
      </w:r>
      <w:r>
        <w:rPr>
          <w:spacing w:val="-11"/>
        </w:rPr>
        <w:t> </w:t>
      </w:r>
      <w:r>
        <w:rPr/>
        <w:t>their</w:t>
      </w:r>
      <w:r>
        <w:rPr>
          <w:spacing w:val="-10"/>
        </w:rPr>
        <w:t> </w:t>
      </w:r>
      <w:r>
        <w:rPr/>
        <w:t>respective</w:t>
      </w:r>
      <w:r>
        <w:rPr>
          <w:spacing w:val="-10"/>
        </w:rPr>
        <w:t> </w:t>
      </w:r>
      <w:r>
        <w:rPr/>
        <w:t>countries.</w:t>
      </w:r>
      <w:r>
        <w:rPr>
          <w:spacing w:val="7"/>
        </w:rPr>
        <w:t> </w:t>
      </w:r>
      <w:r>
        <w:rPr/>
        <w:t>If</w:t>
      </w:r>
      <w:r>
        <w:rPr>
          <w:spacing w:val="-11"/>
        </w:rPr>
        <w:t> </w:t>
      </w:r>
      <w:r>
        <w:rPr/>
        <w:t>the</w:t>
      </w:r>
      <w:r>
        <w:rPr>
          <w:spacing w:val="-11"/>
        </w:rPr>
        <w:t> </w:t>
      </w:r>
      <w:r>
        <w:rPr/>
        <w:t>trend</w:t>
      </w:r>
      <w:r>
        <w:rPr>
          <w:spacing w:val="-10"/>
        </w:rPr>
        <w:t> </w:t>
      </w:r>
      <w:r>
        <w:rPr/>
        <w:t>of</w:t>
      </w:r>
      <w:r>
        <w:rPr>
          <w:spacing w:val="-10"/>
        </w:rPr>
        <w:t> </w:t>
      </w:r>
      <w:r>
        <w:rPr/>
        <w:t>collectivizing</w:t>
      </w:r>
      <w:r>
        <w:rPr>
          <w:spacing w:val="-10"/>
        </w:rPr>
        <w:t> </w:t>
      </w:r>
      <w:r>
        <w:rPr/>
        <w:t>risks</w:t>
      </w:r>
      <w:r>
        <w:rPr>
          <w:spacing w:val="-11"/>
        </w:rPr>
        <w:t> </w:t>
      </w:r>
      <w:r>
        <w:rPr/>
        <w:t>and</w:t>
      </w:r>
      <w:r>
        <w:rPr>
          <w:spacing w:val="-10"/>
        </w:rPr>
        <w:t> </w:t>
      </w:r>
      <w:r>
        <w:rPr/>
        <w:t>debt</w:t>
      </w:r>
      <w:r>
        <w:rPr>
          <w:spacing w:val="-10"/>
        </w:rPr>
        <w:t> </w:t>
      </w:r>
      <w:r>
        <w:rPr/>
        <w:t>continues, this could, in principle, make it necessary to refinance these central banks and the Eurosystem in general (</w:t>
      </w:r>
      <w:hyperlink w:history="true" w:anchor="_bookmark25">
        <w:r>
          <w:rPr>
            <w:color w:val="BF0000"/>
          </w:rPr>
          <w:t>Sauer</w:t>
        </w:r>
      </w:hyperlink>
      <w:r>
        <w:rPr/>
        <w:t>,</w:t>
      </w:r>
      <w:r>
        <w:rPr>
          <w:spacing w:val="-3"/>
        </w:rPr>
        <w:t> </w:t>
      </w:r>
      <w:hyperlink w:history="true" w:anchor="_bookmark25">
        <w:r>
          <w:rPr>
            <w:color w:val="BF0000"/>
          </w:rPr>
          <w:t>2023</w:t>
        </w:r>
      </w:hyperlink>
      <w:r>
        <w:rPr/>
        <w:t>).</w:t>
      </w:r>
    </w:p>
    <w:p>
      <w:pPr>
        <w:pStyle w:val="BodyText"/>
        <w:rPr>
          <w:sz w:val="28"/>
        </w:rPr>
      </w:pPr>
    </w:p>
    <w:p>
      <w:pPr>
        <w:pStyle w:val="ListParagraph"/>
        <w:numPr>
          <w:ilvl w:val="0"/>
          <w:numId w:val="2"/>
        </w:numPr>
        <w:tabs>
          <w:tab w:pos="518" w:val="left" w:leader="none"/>
          <w:tab w:pos="519" w:val="left" w:leader="none"/>
        </w:tabs>
        <w:spacing w:line="410" w:lineRule="auto" w:before="247" w:after="0"/>
        <w:ind w:left="120" w:right="112" w:firstLine="0"/>
        <w:jc w:val="left"/>
        <w:rPr>
          <w:b/>
          <w:sz w:val="22"/>
        </w:rPr>
      </w:pPr>
      <w:bookmarkStart w:name="Strategem 4: Moneyprinting Through Emerg" w:id="13"/>
      <w:bookmarkEnd w:id="13"/>
      <w:r>
        <w:rPr/>
      </w:r>
      <w:bookmarkStart w:name="Strategem 4: Moneyprinting Through Emerg" w:id="14"/>
      <w:bookmarkEnd w:id="14"/>
      <w:r>
        <w:rPr>
          <w:b/>
          <w:spacing w:val="-3"/>
          <w:sz w:val="22"/>
        </w:rPr>
        <w:t>STR</w:t>
      </w:r>
      <w:r>
        <w:rPr>
          <w:b/>
          <w:spacing w:val="-3"/>
          <w:sz w:val="22"/>
        </w:rPr>
        <w:t>ATEGEM</w:t>
      </w:r>
      <w:r>
        <w:rPr>
          <w:b/>
          <w:spacing w:val="-13"/>
          <w:sz w:val="22"/>
        </w:rPr>
        <w:t> </w:t>
      </w:r>
      <w:r>
        <w:rPr>
          <w:b/>
          <w:sz w:val="22"/>
        </w:rPr>
        <w:t>4:</w:t>
      </w:r>
      <w:r>
        <w:rPr>
          <w:b/>
          <w:spacing w:val="-2"/>
          <w:sz w:val="22"/>
        </w:rPr>
        <w:t> </w:t>
      </w:r>
      <w:r>
        <w:rPr>
          <w:b/>
          <w:sz w:val="22"/>
        </w:rPr>
        <w:t>MONEYPRINTING</w:t>
      </w:r>
      <w:r>
        <w:rPr>
          <w:b/>
          <w:spacing w:val="-13"/>
          <w:sz w:val="22"/>
        </w:rPr>
        <w:t> </w:t>
      </w:r>
      <w:r>
        <w:rPr>
          <w:b/>
          <w:sz w:val="22"/>
        </w:rPr>
        <w:t>THROUGH</w:t>
      </w:r>
      <w:r>
        <w:rPr>
          <w:b/>
          <w:spacing w:val="-12"/>
          <w:sz w:val="22"/>
        </w:rPr>
        <w:t> </w:t>
      </w:r>
      <w:r>
        <w:rPr>
          <w:b/>
          <w:sz w:val="22"/>
        </w:rPr>
        <w:t>EMERGENCY</w:t>
      </w:r>
      <w:r>
        <w:rPr>
          <w:b/>
          <w:spacing w:val="-13"/>
          <w:sz w:val="22"/>
        </w:rPr>
        <w:t> </w:t>
      </w:r>
      <w:r>
        <w:rPr>
          <w:b/>
          <w:sz w:val="22"/>
        </w:rPr>
        <w:t>LIQUIDITY</w:t>
      </w:r>
      <w:r>
        <w:rPr>
          <w:b/>
          <w:spacing w:val="-12"/>
          <w:sz w:val="22"/>
        </w:rPr>
        <w:t> </w:t>
      </w:r>
      <w:r>
        <w:rPr>
          <w:b/>
          <w:spacing w:val="-4"/>
          <w:sz w:val="22"/>
        </w:rPr>
        <w:t>ASSISTANCE </w:t>
      </w:r>
      <w:r>
        <w:rPr>
          <w:b/>
          <w:sz w:val="22"/>
        </w:rPr>
        <w:t>(ELA)</w:t>
      </w:r>
    </w:p>
    <w:p>
      <w:pPr>
        <w:pStyle w:val="BodyText"/>
        <w:spacing w:before="1"/>
        <w:rPr>
          <w:b/>
          <w:sz w:val="23"/>
        </w:rPr>
      </w:pPr>
    </w:p>
    <w:p>
      <w:pPr>
        <w:pStyle w:val="BodyText"/>
        <w:spacing w:line="364" w:lineRule="auto"/>
        <w:ind w:left="120" w:right="112" w:firstLine="298"/>
        <w:jc w:val="both"/>
      </w:pPr>
      <w:r>
        <w:rPr/>
        <w:t>Emergency Liquidity Assistance (ELA) loans are crisis loans built into the Euro system </w:t>
      </w:r>
      <w:r>
        <w:rPr>
          <w:spacing w:val="-4"/>
        </w:rPr>
        <w:t>from </w:t>
      </w:r>
      <w:r>
        <w:rPr/>
        <w:t>the start but published only in 2017 (</w:t>
      </w:r>
      <w:hyperlink w:history="true" w:anchor="_bookmark10">
        <w:r>
          <w:rPr>
            <w:color w:val="BF0000"/>
          </w:rPr>
          <w:t>European Central Bank</w:t>
        </w:r>
      </w:hyperlink>
      <w:r>
        <w:rPr/>
        <w:t>, </w:t>
      </w:r>
      <w:hyperlink w:history="true" w:anchor="_bookmark10">
        <w:r>
          <w:rPr>
            <w:color w:val="BF0000"/>
          </w:rPr>
          <w:t>2017</w:t>
        </w:r>
      </w:hyperlink>
      <w:r>
        <w:rPr/>
        <w:t>). A national central bank can declare a financial </w:t>
      </w:r>
      <w:r>
        <w:rPr>
          <w:spacing w:val="-3"/>
        </w:rPr>
        <w:t>emergency, </w:t>
      </w:r>
      <w:r>
        <w:rPr/>
        <w:t>for instance by a bank or debt run.  The national central banks  can print unlimited money to lend to commercial banks within its jurisdiction, based on its </w:t>
      </w:r>
      <w:r>
        <w:rPr>
          <w:spacing w:val="-6"/>
        </w:rPr>
        <w:t>own </w:t>
      </w:r>
      <w:r>
        <w:rPr/>
        <w:t>collateral rules, ‘rescue’, these banks, allegedly at the </w:t>
      </w:r>
      <w:r>
        <w:rPr>
          <w:spacing w:val="-3"/>
        </w:rPr>
        <w:t>NCB’s </w:t>
      </w:r>
      <w:r>
        <w:rPr/>
        <w:t>own risk. This could also be used</w:t>
      </w:r>
      <w:r>
        <w:rPr>
          <w:spacing w:val="-37"/>
        </w:rPr>
        <w:t> </w:t>
      </w:r>
      <w:r>
        <w:rPr/>
        <w:t>to delay a bankruptcy, and may </w:t>
      </w:r>
      <w:r>
        <w:rPr>
          <w:spacing w:val="-3"/>
        </w:rPr>
        <w:t>have </w:t>
      </w:r>
      <w:r>
        <w:rPr/>
        <w:t>other negative side effects (</w:t>
      </w:r>
      <w:hyperlink w:history="true" w:anchor="_bookmark27">
        <w:r>
          <w:rPr>
            <w:color w:val="BF0000"/>
          </w:rPr>
          <w:t>Sinn</w:t>
        </w:r>
      </w:hyperlink>
      <w:r>
        <w:rPr/>
        <w:t>, </w:t>
      </w:r>
      <w:hyperlink w:history="true" w:anchor="_bookmark27">
        <w:r>
          <w:rPr>
            <w:color w:val="BF0000"/>
          </w:rPr>
          <w:t>2017</w:t>
        </w:r>
      </w:hyperlink>
      <w:r>
        <w:rPr/>
        <w:t>, Chapter</w:t>
      </w:r>
      <w:r>
        <w:rPr>
          <w:spacing w:val="-36"/>
        </w:rPr>
        <w:t> </w:t>
      </w:r>
      <w:r>
        <w:rPr/>
        <w:t>5).</w:t>
      </w:r>
    </w:p>
    <w:p>
      <w:pPr>
        <w:pStyle w:val="BodyText"/>
        <w:spacing w:line="364" w:lineRule="auto" w:before="7"/>
        <w:ind w:left="120" w:right="112" w:firstLine="298"/>
        <w:jc w:val="both"/>
      </w:pPr>
      <w:r>
        <w:rPr/>
        <w:t>ELA is by no means a small resource: For instance, at the height of Greece’s 2015 crisis,</w:t>
      </w:r>
      <w:r>
        <w:rPr>
          <w:spacing w:val="-32"/>
        </w:rPr>
        <w:t> </w:t>
      </w:r>
      <w:r>
        <w:rPr>
          <w:spacing w:val="-5"/>
        </w:rPr>
        <w:t>ELA </w:t>
      </w:r>
      <w:r>
        <w:rPr/>
        <w:t>borrowing</w:t>
      </w:r>
      <w:r>
        <w:rPr>
          <w:spacing w:val="-4"/>
        </w:rPr>
        <w:t> </w:t>
      </w:r>
      <w:r>
        <w:rPr/>
        <w:t>by</w:t>
      </w:r>
      <w:r>
        <w:rPr>
          <w:spacing w:val="-3"/>
        </w:rPr>
        <w:t> </w:t>
      </w:r>
      <w:r>
        <w:rPr/>
        <w:t>Greek</w:t>
      </w:r>
      <w:r>
        <w:rPr>
          <w:spacing w:val="-3"/>
        </w:rPr>
        <w:t> </w:t>
      </w:r>
      <w:r>
        <w:rPr/>
        <w:t>banks</w:t>
      </w:r>
      <w:r>
        <w:rPr>
          <w:spacing w:val="-4"/>
        </w:rPr>
        <w:t> </w:t>
      </w:r>
      <w:r>
        <w:rPr/>
        <w:t>reached</w:t>
      </w:r>
      <w:r>
        <w:rPr>
          <w:spacing w:val="-3"/>
        </w:rPr>
        <w:t> </w:t>
      </w:r>
      <w:r>
        <w:rPr/>
        <w:t>71%</w:t>
      </w:r>
      <w:r>
        <w:rPr>
          <w:spacing w:val="-3"/>
        </w:rPr>
        <w:t> </w:t>
      </w:r>
      <w:r>
        <w:rPr/>
        <w:t>of</w:t>
      </w:r>
      <w:r>
        <w:rPr>
          <w:spacing w:val="-4"/>
        </w:rPr>
        <w:t> </w:t>
      </w:r>
      <w:r>
        <w:rPr/>
        <w:t>the</w:t>
      </w:r>
      <w:r>
        <w:rPr>
          <w:spacing w:val="-3"/>
        </w:rPr>
        <w:t> </w:t>
      </w:r>
      <w:r>
        <w:rPr/>
        <w:t>country’s</w:t>
      </w:r>
      <w:r>
        <w:rPr>
          <w:spacing w:val="-3"/>
        </w:rPr>
        <w:t> </w:t>
      </w:r>
      <w:r>
        <w:rPr/>
        <w:t>nominal</w:t>
      </w:r>
      <w:r>
        <w:rPr>
          <w:spacing w:val="-3"/>
        </w:rPr>
        <w:t> </w:t>
      </w:r>
      <w:r>
        <w:rPr/>
        <w:t>GDP</w:t>
      </w:r>
      <w:r>
        <w:rPr>
          <w:spacing w:val="-4"/>
        </w:rPr>
        <w:t> </w:t>
      </w:r>
      <w:r>
        <w:rPr/>
        <w:t>(</w:t>
      </w:r>
      <w:hyperlink w:history="true" w:anchor="_bookmark15">
        <w:r>
          <w:rPr>
            <w:color w:val="BF0000"/>
          </w:rPr>
          <w:t>Gibson</w:t>
        </w:r>
        <w:r>
          <w:rPr>
            <w:color w:val="BF0000"/>
            <w:spacing w:val="-3"/>
          </w:rPr>
          <w:t> </w:t>
        </w:r>
        <w:r>
          <w:rPr>
            <w:color w:val="BF0000"/>
          </w:rPr>
          <w:t>et</w:t>
        </w:r>
        <w:r>
          <w:rPr>
            <w:color w:val="BF0000"/>
            <w:spacing w:val="-3"/>
          </w:rPr>
          <w:t> </w:t>
        </w:r>
        <w:r>
          <w:rPr>
            <w:color w:val="BF0000"/>
          </w:rPr>
          <w:t>al.</w:t>
        </w:r>
      </w:hyperlink>
      <w:r>
        <w:rPr/>
        <w:t>,</w:t>
      </w:r>
      <w:r>
        <w:rPr>
          <w:spacing w:val="-4"/>
        </w:rPr>
        <w:t> </w:t>
      </w:r>
      <w:hyperlink w:history="true" w:anchor="_bookmark15">
        <w:r>
          <w:rPr>
            <w:color w:val="BF0000"/>
          </w:rPr>
          <w:t>2020</w:t>
        </w:r>
      </w:hyperlink>
      <w:r>
        <w:rPr/>
        <w:t>).</w:t>
      </w:r>
    </w:p>
    <w:p>
      <w:pPr>
        <w:pStyle w:val="BodyText"/>
        <w:spacing w:line="364" w:lineRule="auto" w:before="12"/>
        <w:ind w:left="120" w:right="112" w:firstLine="298"/>
        <w:jc w:val="both"/>
      </w:pPr>
      <w:r>
        <w:rPr/>
        <w:t>The</w:t>
      </w:r>
      <w:r>
        <w:rPr>
          <w:spacing w:val="-10"/>
        </w:rPr>
        <w:t> </w:t>
      </w:r>
      <w:r>
        <w:rPr/>
        <w:t>ECB</w:t>
      </w:r>
      <w:r>
        <w:rPr>
          <w:spacing w:val="-10"/>
        </w:rPr>
        <w:t> </w:t>
      </w:r>
      <w:r>
        <w:rPr/>
        <w:t>Governing</w:t>
      </w:r>
      <w:r>
        <w:rPr>
          <w:spacing w:val="-9"/>
        </w:rPr>
        <w:t> </w:t>
      </w:r>
      <w:r>
        <w:rPr/>
        <w:t>Council</w:t>
      </w:r>
      <w:r>
        <w:rPr>
          <w:spacing w:val="-10"/>
        </w:rPr>
        <w:t> </w:t>
      </w:r>
      <w:r>
        <w:rPr/>
        <w:t>can</w:t>
      </w:r>
      <w:r>
        <w:rPr>
          <w:spacing w:val="-10"/>
        </w:rPr>
        <w:t> </w:t>
      </w:r>
      <w:r>
        <w:rPr/>
        <w:t>block</w:t>
      </w:r>
      <w:r>
        <w:rPr>
          <w:spacing w:val="-9"/>
        </w:rPr>
        <w:t> </w:t>
      </w:r>
      <w:r>
        <w:rPr/>
        <w:t>such</w:t>
      </w:r>
      <w:r>
        <w:rPr>
          <w:spacing w:val="-10"/>
        </w:rPr>
        <w:t> </w:t>
      </w:r>
      <w:r>
        <w:rPr/>
        <w:t>loans</w:t>
      </w:r>
      <w:r>
        <w:rPr>
          <w:spacing w:val="-9"/>
        </w:rPr>
        <w:t> </w:t>
      </w:r>
      <w:r>
        <w:rPr/>
        <w:t>with</w:t>
      </w:r>
      <w:r>
        <w:rPr>
          <w:spacing w:val="-10"/>
        </w:rPr>
        <w:t> </w:t>
      </w:r>
      <w:r>
        <w:rPr/>
        <w:t>a</w:t>
      </w:r>
      <w:r>
        <w:rPr>
          <w:spacing w:val="-10"/>
        </w:rPr>
        <w:t> </w:t>
      </w:r>
      <w:r>
        <w:rPr/>
        <w:t>two-thirds</w:t>
      </w:r>
      <w:r>
        <w:rPr>
          <w:spacing w:val="-9"/>
        </w:rPr>
        <w:t> </w:t>
      </w:r>
      <w:r>
        <w:rPr/>
        <w:t>majority</w:t>
      </w:r>
      <w:r>
        <w:rPr>
          <w:spacing w:val="-10"/>
        </w:rPr>
        <w:t> </w:t>
      </w:r>
      <w:r>
        <w:rPr/>
        <w:t>vote.</w:t>
      </w:r>
      <w:r>
        <w:rPr>
          <w:spacing w:val="8"/>
        </w:rPr>
        <w:t> </w:t>
      </w:r>
      <w:r>
        <w:rPr>
          <w:spacing w:val="-4"/>
        </w:rPr>
        <w:t>However,</w:t>
      </w:r>
      <w:r>
        <w:rPr>
          <w:spacing w:val="-9"/>
        </w:rPr>
        <w:t> </w:t>
      </w:r>
      <w:r>
        <w:rPr>
          <w:spacing w:val="-6"/>
        </w:rPr>
        <w:t>if </w:t>
      </w:r>
      <w:r>
        <w:rPr/>
        <w:t>at</w:t>
      </w:r>
      <w:r>
        <w:rPr>
          <w:spacing w:val="-13"/>
        </w:rPr>
        <w:t> </w:t>
      </w:r>
      <w:r>
        <w:rPr/>
        <w:t>least</w:t>
      </w:r>
      <w:r>
        <w:rPr>
          <w:spacing w:val="-12"/>
        </w:rPr>
        <w:t> </w:t>
      </w:r>
      <w:r>
        <w:rPr/>
        <w:t>one-third</w:t>
      </w:r>
      <w:r>
        <w:rPr>
          <w:spacing w:val="-13"/>
        </w:rPr>
        <w:t> </w:t>
      </w:r>
      <w:r>
        <w:rPr/>
        <w:t>supports</w:t>
      </w:r>
      <w:r>
        <w:rPr>
          <w:spacing w:val="-12"/>
        </w:rPr>
        <w:t> </w:t>
      </w:r>
      <w:r>
        <w:rPr/>
        <w:t>the</w:t>
      </w:r>
      <w:r>
        <w:rPr>
          <w:spacing w:val="-13"/>
        </w:rPr>
        <w:t> </w:t>
      </w:r>
      <w:r>
        <w:rPr/>
        <w:t>loans,</w:t>
      </w:r>
      <w:r>
        <w:rPr>
          <w:spacing w:val="-10"/>
        </w:rPr>
        <w:t> </w:t>
      </w:r>
      <w:r>
        <w:rPr/>
        <w:t>they</w:t>
      </w:r>
      <w:r>
        <w:rPr>
          <w:spacing w:val="-13"/>
        </w:rPr>
        <w:t> </w:t>
      </w:r>
      <w:r>
        <w:rPr/>
        <w:t>cannot</w:t>
      </w:r>
      <w:r>
        <w:rPr>
          <w:spacing w:val="-12"/>
        </w:rPr>
        <w:t> </w:t>
      </w:r>
      <w:r>
        <w:rPr/>
        <w:t>be</w:t>
      </w:r>
      <w:r>
        <w:rPr>
          <w:spacing w:val="-13"/>
        </w:rPr>
        <w:t> </w:t>
      </w:r>
      <w:r>
        <w:rPr/>
        <w:t>stopped.</w:t>
      </w:r>
      <w:r>
        <w:rPr>
          <w:spacing w:val="8"/>
        </w:rPr>
        <w:t> </w:t>
      </w:r>
      <w:r>
        <w:rPr/>
        <w:t>In</w:t>
      </w:r>
      <w:r>
        <w:rPr>
          <w:spacing w:val="-13"/>
        </w:rPr>
        <w:t> </w:t>
      </w:r>
      <w:r>
        <w:rPr/>
        <w:t>2013,</w:t>
      </w:r>
      <w:r>
        <w:rPr>
          <w:spacing w:val="-10"/>
        </w:rPr>
        <w:t> </w:t>
      </w:r>
      <w:r>
        <w:rPr/>
        <w:t>over</w:t>
      </w:r>
      <w:r>
        <w:rPr>
          <w:spacing w:val="-13"/>
        </w:rPr>
        <w:t> </w:t>
      </w:r>
      <w:r>
        <w:rPr/>
        <w:t>a</w:t>
      </w:r>
      <w:r>
        <w:rPr>
          <w:spacing w:val="-12"/>
        </w:rPr>
        <w:t> </w:t>
      </w:r>
      <w:r>
        <w:rPr/>
        <w:t>third</w:t>
      </w:r>
      <w:r>
        <w:rPr>
          <w:spacing w:val="-13"/>
        </w:rPr>
        <w:t> </w:t>
      </w:r>
      <w:r>
        <w:rPr/>
        <w:t>of</w:t>
      </w:r>
      <w:r>
        <w:rPr>
          <w:spacing w:val="-12"/>
        </w:rPr>
        <w:t> </w:t>
      </w:r>
      <w:r>
        <w:rPr/>
        <w:t>the</w:t>
      </w:r>
      <w:r>
        <w:rPr>
          <w:spacing w:val="-13"/>
        </w:rPr>
        <w:t> </w:t>
      </w:r>
      <w:r>
        <w:rPr/>
        <w:t>ECB</w:t>
      </w:r>
      <w:r>
        <w:rPr>
          <w:spacing w:val="-12"/>
        </w:rPr>
        <w:t> </w:t>
      </w:r>
      <w:r>
        <w:rPr/>
        <w:t>Gov- erning Council members were from GIPSIC (Greece, Ireland, Portugal, Spain, </w:t>
      </w:r>
      <w:r>
        <w:rPr>
          <w:spacing w:val="-3"/>
        </w:rPr>
        <w:t>Italy, </w:t>
      </w:r>
      <w:r>
        <w:rPr/>
        <w:t>and Cyprus) countries</w:t>
      </w:r>
      <w:r>
        <w:rPr>
          <w:spacing w:val="-12"/>
        </w:rPr>
        <w:t> </w:t>
      </w:r>
      <w:r>
        <w:rPr/>
        <w:t>in</w:t>
      </w:r>
      <w:r>
        <w:rPr>
          <w:spacing w:val="-11"/>
        </w:rPr>
        <w:t> </w:t>
      </w:r>
      <w:r>
        <w:rPr/>
        <w:t>need</w:t>
      </w:r>
      <w:r>
        <w:rPr>
          <w:spacing w:val="-12"/>
        </w:rPr>
        <w:t> </w:t>
      </w:r>
      <w:r>
        <w:rPr/>
        <w:t>of</w:t>
      </w:r>
      <w:r>
        <w:rPr>
          <w:spacing w:val="-12"/>
        </w:rPr>
        <w:t> </w:t>
      </w:r>
      <w:r>
        <w:rPr/>
        <w:t>cheap</w:t>
      </w:r>
      <w:r>
        <w:rPr>
          <w:spacing w:val="-11"/>
        </w:rPr>
        <w:t> </w:t>
      </w:r>
      <w:r>
        <w:rPr/>
        <w:t>credit,</w:t>
      </w:r>
      <w:r>
        <w:rPr>
          <w:spacing w:val="-10"/>
        </w:rPr>
        <w:t> </w:t>
      </w:r>
      <w:r>
        <w:rPr/>
        <w:t>making</w:t>
      </w:r>
      <w:r>
        <w:rPr>
          <w:spacing w:val="-10"/>
        </w:rPr>
        <w:t> </w:t>
      </w:r>
      <w:r>
        <w:rPr/>
        <w:t>it</w:t>
      </w:r>
      <w:r>
        <w:rPr>
          <w:spacing w:val="-12"/>
        </w:rPr>
        <w:t> </w:t>
      </w:r>
      <w:r>
        <w:rPr/>
        <w:t>impossible</w:t>
      </w:r>
      <w:r>
        <w:rPr>
          <w:spacing w:val="-12"/>
        </w:rPr>
        <w:t> </w:t>
      </w:r>
      <w:r>
        <w:rPr/>
        <w:t>for</w:t>
      </w:r>
      <w:r>
        <w:rPr>
          <w:spacing w:val="-11"/>
        </w:rPr>
        <w:t> </w:t>
      </w:r>
      <w:r>
        <w:rPr/>
        <w:t>others</w:t>
      </w:r>
      <w:r>
        <w:rPr>
          <w:spacing w:val="-12"/>
        </w:rPr>
        <w:t> </w:t>
      </w:r>
      <w:r>
        <w:rPr/>
        <w:t>to</w:t>
      </w:r>
      <w:r>
        <w:rPr>
          <w:spacing w:val="-11"/>
        </w:rPr>
        <w:t> </w:t>
      </w:r>
      <w:r>
        <w:rPr/>
        <w:t>form</w:t>
      </w:r>
      <w:r>
        <w:rPr>
          <w:spacing w:val="-11"/>
        </w:rPr>
        <w:t> </w:t>
      </w:r>
      <w:r>
        <w:rPr/>
        <w:t>a</w:t>
      </w:r>
      <w:r>
        <w:rPr>
          <w:spacing w:val="-12"/>
        </w:rPr>
        <w:t> </w:t>
      </w:r>
      <w:r>
        <w:rPr/>
        <w:t>blocking</w:t>
      </w:r>
      <w:r>
        <w:rPr>
          <w:spacing w:val="-12"/>
        </w:rPr>
        <w:t> </w:t>
      </w:r>
      <w:r>
        <w:rPr/>
        <w:t>coalition.</w:t>
      </w:r>
      <w:r>
        <w:rPr>
          <w:spacing w:val="8"/>
        </w:rPr>
        <w:t> </w:t>
      </w:r>
      <w:r>
        <w:rPr/>
        <w:t>Un- til Latvia’s entry in 2014, these countries could theoretically secure unlimited central bank credit without</w:t>
      </w:r>
      <w:r>
        <w:rPr>
          <w:spacing w:val="-2"/>
        </w:rPr>
        <w:t> </w:t>
      </w:r>
      <w:r>
        <w:rPr/>
        <w:t>opposition.</w:t>
      </w:r>
    </w:p>
    <w:p>
      <w:pPr>
        <w:pStyle w:val="BodyText"/>
        <w:rPr>
          <w:sz w:val="28"/>
        </w:rPr>
      </w:pPr>
    </w:p>
    <w:p>
      <w:pPr>
        <w:pStyle w:val="ListParagraph"/>
        <w:numPr>
          <w:ilvl w:val="0"/>
          <w:numId w:val="2"/>
        </w:numPr>
        <w:tabs>
          <w:tab w:pos="635" w:val="left" w:leader="none"/>
          <w:tab w:pos="636" w:val="left" w:leader="none"/>
        </w:tabs>
        <w:spacing w:line="410" w:lineRule="auto" w:before="246" w:after="0"/>
        <w:ind w:left="120" w:right="112" w:firstLine="0"/>
        <w:jc w:val="left"/>
        <w:rPr>
          <w:b/>
          <w:sz w:val="22"/>
        </w:rPr>
      </w:pPr>
      <w:bookmarkStart w:name="Strategem 5: Aquisitions Through Agreeme" w:id="15"/>
      <w:bookmarkEnd w:id="15"/>
      <w:r>
        <w:rPr/>
      </w:r>
      <w:bookmarkStart w:name="Strategem 5: Aquisitions Through Agreeme" w:id="16"/>
      <w:bookmarkEnd w:id="16"/>
      <w:r>
        <w:rPr>
          <w:b/>
          <w:spacing w:val="-3"/>
          <w:sz w:val="22"/>
        </w:rPr>
        <w:t>STR</w:t>
      </w:r>
      <w:r>
        <w:rPr>
          <w:b/>
          <w:spacing w:val="-3"/>
          <w:sz w:val="22"/>
        </w:rPr>
        <w:t>ATEGEM</w:t>
      </w:r>
      <w:r>
        <w:rPr>
          <w:b/>
          <w:spacing w:val="-16"/>
          <w:sz w:val="22"/>
        </w:rPr>
        <w:t> </w:t>
      </w:r>
      <w:r>
        <w:rPr>
          <w:b/>
          <w:sz w:val="22"/>
        </w:rPr>
        <w:t>5:</w:t>
      </w:r>
      <w:r>
        <w:rPr>
          <w:b/>
          <w:spacing w:val="-4"/>
          <w:sz w:val="22"/>
        </w:rPr>
        <w:t> </w:t>
      </w:r>
      <w:r>
        <w:rPr>
          <w:b/>
          <w:sz w:val="22"/>
        </w:rPr>
        <w:t>AQUISITIONS</w:t>
      </w:r>
      <w:r>
        <w:rPr>
          <w:b/>
          <w:spacing w:val="-16"/>
          <w:sz w:val="22"/>
        </w:rPr>
        <w:t> </w:t>
      </w:r>
      <w:r>
        <w:rPr>
          <w:b/>
          <w:sz w:val="22"/>
        </w:rPr>
        <w:t>THROUGH</w:t>
      </w:r>
      <w:r>
        <w:rPr>
          <w:b/>
          <w:spacing w:val="-15"/>
          <w:sz w:val="22"/>
        </w:rPr>
        <w:t> </w:t>
      </w:r>
      <w:r>
        <w:rPr>
          <w:b/>
          <w:sz w:val="22"/>
        </w:rPr>
        <w:t>AGREEMENT</w:t>
      </w:r>
      <w:r>
        <w:rPr>
          <w:b/>
          <w:spacing w:val="-15"/>
          <w:sz w:val="22"/>
        </w:rPr>
        <w:t> </w:t>
      </w:r>
      <w:r>
        <w:rPr>
          <w:b/>
          <w:sz w:val="22"/>
        </w:rPr>
        <w:t>ON</w:t>
      </w:r>
      <w:r>
        <w:rPr>
          <w:b/>
          <w:spacing w:val="-15"/>
          <w:sz w:val="22"/>
        </w:rPr>
        <w:t> </w:t>
      </w:r>
      <w:r>
        <w:rPr>
          <w:b/>
          <w:sz w:val="22"/>
        </w:rPr>
        <w:t>NET</w:t>
      </w:r>
      <w:r>
        <w:rPr>
          <w:b/>
          <w:spacing w:val="-15"/>
          <w:sz w:val="22"/>
        </w:rPr>
        <w:t> </w:t>
      </w:r>
      <w:r>
        <w:rPr>
          <w:b/>
          <w:sz w:val="22"/>
        </w:rPr>
        <w:t>FINANCIAL</w:t>
      </w:r>
      <w:r>
        <w:rPr>
          <w:b/>
          <w:spacing w:val="-16"/>
          <w:sz w:val="22"/>
        </w:rPr>
        <w:t> </w:t>
      </w:r>
      <w:r>
        <w:rPr>
          <w:b/>
          <w:sz w:val="22"/>
        </w:rPr>
        <w:t>ASSETS </w:t>
      </w:r>
      <w:r>
        <w:rPr>
          <w:b/>
          <w:spacing w:val="-4"/>
          <w:sz w:val="22"/>
        </w:rPr>
        <w:t>(ANFA)</w:t>
      </w:r>
    </w:p>
    <w:p>
      <w:pPr>
        <w:pStyle w:val="BodyText"/>
        <w:spacing w:before="1"/>
        <w:rPr>
          <w:b/>
          <w:sz w:val="23"/>
        </w:rPr>
      </w:pPr>
    </w:p>
    <w:p>
      <w:pPr>
        <w:pStyle w:val="BodyText"/>
        <w:spacing w:line="364" w:lineRule="auto"/>
        <w:ind w:left="120" w:right="112" w:firstLine="298"/>
        <w:jc w:val="both"/>
      </w:pPr>
      <w:r>
        <w:rPr/>
        <w:t>Daniel Hoffmann’s doctoral thesis (</w:t>
      </w:r>
      <w:hyperlink w:history="true" w:anchor="_bookmark17">
        <w:r>
          <w:rPr>
            <w:color w:val="BF0000"/>
          </w:rPr>
          <w:t>Hoffmann</w:t>
        </w:r>
      </w:hyperlink>
      <w:r>
        <w:rPr/>
        <w:t>, </w:t>
      </w:r>
      <w:hyperlink w:history="true" w:anchor="_bookmark17">
        <w:r>
          <w:rPr>
            <w:color w:val="BF0000"/>
          </w:rPr>
          <w:t>2015</w:t>
        </w:r>
      </w:hyperlink>
      <w:r>
        <w:rPr/>
        <w:t>, </w:t>
      </w:r>
      <w:hyperlink w:history="true" w:anchor="_bookmark18">
        <w:r>
          <w:rPr>
            <w:color w:val="BF0000"/>
          </w:rPr>
          <w:t>2016</w:t>
        </w:r>
      </w:hyperlink>
      <w:r>
        <w:rPr/>
        <w:t>) at the TU Berlin uncovered </w:t>
      </w:r>
      <w:r>
        <w:rPr>
          <w:spacing w:val="-4"/>
        </w:rPr>
        <w:t>that </w:t>
      </w:r>
      <w:r>
        <w:rPr/>
        <w:t>national central banks had secretly created money to buy assets, generating profits for their gov- ernments. This practice, amounting to 650 billion Euro in </w:t>
      </w:r>
      <w:r>
        <w:rPr>
          <w:spacing w:val="-5"/>
        </w:rPr>
        <w:t>ANFA </w:t>
      </w:r>
      <w:r>
        <w:rPr/>
        <w:t>credits in 2011, caused tensions within the ECB council. A confidential agreement was made to limit the </w:t>
      </w:r>
      <w:r>
        <w:rPr>
          <w:spacing w:val="-3"/>
        </w:rPr>
        <w:t>activity, </w:t>
      </w:r>
      <w:r>
        <w:rPr/>
        <w:t>but</w:t>
      </w:r>
      <w:r>
        <w:rPr>
          <w:spacing w:val="-29"/>
        </w:rPr>
        <w:t> </w:t>
      </w:r>
      <w:r>
        <w:rPr/>
        <w:t>Hoffmann’s work</w:t>
      </w:r>
      <w:r>
        <w:rPr>
          <w:spacing w:val="25"/>
        </w:rPr>
        <w:t> </w:t>
      </w:r>
      <w:r>
        <w:rPr/>
        <w:t>exposed</w:t>
      </w:r>
      <w:r>
        <w:rPr>
          <w:spacing w:val="25"/>
        </w:rPr>
        <w:t> </w:t>
      </w:r>
      <w:r>
        <w:rPr/>
        <w:t>it,</w:t>
      </w:r>
      <w:r>
        <w:rPr>
          <w:spacing w:val="32"/>
        </w:rPr>
        <w:t> </w:t>
      </w:r>
      <w:r>
        <w:rPr/>
        <w:t>leading</w:t>
      </w:r>
      <w:r>
        <w:rPr>
          <w:spacing w:val="25"/>
        </w:rPr>
        <w:t> </w:t>
      </w:r>
      <w:r>
        <w:rPr/>
        <w:t>to</w:t>
      </w:r>
      <w:r>
        <w:rPr>
          <w:spacing w:val="25"/>
        </w:rPr>
        <w:t> </w:t>
      </w:r>
      <w:r>
        <w:rPr/>
        <w:t>the</w:t>
      </w:r>
      <w:r>
        <w:rPr>
          <w:spacing w:val="25"/>
        </w:rPr>
        <w:t> </w:t>
      </w:r>
      <w:r>
        <w:rPr/>
        <w:t>eventual</w:t>
      </w:r>
      <w:r>
        <w:rPr>
          <w:spacing w:val="25"/>
        </w:rPr>
        <w:t> </w:t>
      </w:r>
      <w:r>
        <w:rPr/>
        <w:t>public</w:t>
      </w:r>
      <w:r>
        <w:rPr>
          <w:spacing w:val="25"/>
        </w:rPr>
        <w:t> </w:t>
      </w:r>
      <w:r>
        <w:rPr/>
        <w:t>release</w:t>
      </w:r>
      <w:r>
        <w:rPr>
          <w:spacing w:val="25"/>
        </w:rPr>
        <w:t> </w:t>
      </w:r>
      <w:r>
        <w:rPr/>
        <w:t>of</w:t>
      </w:r>
      <w:r>
        <w:rPr>
          <w:spacing w:val="25"/>
        </w:rPr>
        <w:t> </w:t>
      </w:r>
      <w:r>
        <w:rPr/>
        <w:t>the</w:t>
      </w:r>
      <w:r>
        <w:rPr>
          <w:spacing w:val="26"/>
        </w:rPr>
        <w:t> </w:t>
      </w:r>
      <w:r>
        <w:rPr/>
        <w:t>details</w:t>
      </w:r>
      <w:r>
        <w:rPr>
          <w:spacing w:val="25"/>
        </w:rPr>
        <w:t> </w:t>
      </w:r>
      <w:r>
        <w:rPr/>
        <w:t>(</w:t>
      </w:r>
      <w:hyperlink w:history="true" w:anchor="_bookmark9">
        <w:r>
          <w:rPr>
            <w:color w:val="BF0000"/>
          </w:rPr>
          <w:t>European</w:t>
        </w:r>
        <w:r>
          <w:rPr>
            <w:color w:val="BF0000"/>
            <w:spacing w:val="25"/>
          </w:rPr>
          <w:t> </w:t>
        </w:r>
        <w:r>
          <w:rPr>
            <w:color w:val="BF0000"/>
          </w:rPr>
          <w:t>Central</w:t>
        </w:r>
        <w:r>
          <w:rPr>
            <w:color w:val="BF0000"/>
            <w:spacing w:val="25"/>
          </w:rPr>
          <w:t> </w:t>
        </w:r>
        <w:r>
          <w:rPr>
            <w:color w:val="BF0000"/>
            <w:spacing w:val="-4"/>
          </w:rPr>
          <w:t>Bank</w:t>
        </w:r>
      </w:hyperlink>
      <w:r>
        <w:rPr>
          <w:spacing w:val="-4"/>
        </w:rPr>
        <w:t>,</w:t>
      </w:r>
    </w:p>
    <w:p>
      <w:pPr>
        <w:spacing w:after="0" w:line="364" w:lineRule="auto"/>
        <w:jc w:val="both"/>
        <w:sectPr>
          <w:pgSz w:w="12240" w:h="15840"/>
          <w:pgMar w:header="0" w:footer="563" w:top="1340" w:bottom="760" w:left="1320" w:right="1360"/>
        </w:sectPr>
      </w:pPr>
    </w:p>
    <w:p>
      <w:pPr>
        <w:pStyle w:val="BodyText"/>
        <w:spacing w:before="75"/>
        <w:ind w:left="120"/>
        <w:jc w:val="both"/>
      </w:pPr>
      <w:hyperlink w:history="true" w:anchor="_bookmark9">
        <w:r>
          <w:rPr>
            <w:color w:val="BF0000"/>
          </w:rPr>
          <w:t>2016</w:t>
        </w:r>
      </w:hyperlink>
      <w:r>
        <w:rPr/>
        <w:t>, </w:t>
      </w:r>
      <w:hyperlink w:history="true" w:anchor="_bookmark11">
        <w:r>
          <w:rPr>
            <w:color w:val="BF0000"/>
          </w:rPr>
          <w:t>2022</w:t>
        </w:r>
      </w:hyperlink>
      <w:r>
        <w:rPr/>
        <w:t>).</w:t>
      </w:r>
    </w:p>
    <w:p>
      <w:pPr>
        <w:pStyle w:val="BodyText"/>
        <w:rPr>
          <w:sz w:val="28"/>
        </w:rPr>
      </w:pPr>
    </w:p>
    <w:p>
      <w:pPr>
        <w:pStyle w:val="BodyText"/>
        <w:spacing w:before="10"/>
        <w:rPr>
          <w:sz w:val="34"/>
        </w:rPr>
      </w:pPr>
    </w:p>
    <w:p>
      <w:pPr>
        <w:pStyle w:val="ListParagraph"/>
        <w:numPr>
          <w:ilvl w:val="0"/>
          <w:numId w:val="2"/>
        </w:numPr>
        <w:tabs>
          <w:tab w:pos="719" w:val="left" w:leader="none"/>
          <w:tab w:pos="720" w:val="left" w:leader="none"/>
        </w:tabs>
        <w:spacing w:line="410" w:lineRule="auto" w:before="0" w:after="0"/>
        <w:ind w:left="120" w:right="112" w:firstLine="0"/>
        <w:jc w:val="left"/>
        <w:rPr>
          <w:b/>
          <w:sz w:val="22"/>
        </w:rPr>
      </w:pPr>
      <w:bookmarkStart w:name="Strategem 6: Perpetual (Re)Issuing and C" w:id="17"/>
      <w:bookmarkEnd w:id="17"/>
      <w:r>
        <w:rPr/>
      </w:r>
      <w:bookmarkStart w:name="Strategem 6: Perpetual (Re)Issuing and C" w:id="18"/>
      <w:bookmarkEnd w:id="18"/>
      <w:r>
        <w:rPr>
          <w:b/>
          <w:spacing w:val="-3"/>
          <w:sz w:val="22"/>
        </w:rPr>
        <w:t>STR</w:t>
      </w:r>
      <w:r>
        <w:rPr>
          <w:b/>
          <w:spacing w:val="-3"/>
          <w:sz w:val="22"/>
        </w:rPr>
        <w:t>ATEGEM </w:t>
      </w:r>
      <w:r>
        <w:rPr>
          <w:b/>
          <w:sz w:val="22"/>
        </w:rPr>
        <w:t>6: PERPETUAL (RE)ISSUING AND CHAINING OF SOVEREIGN BONDS AS EUROSYSTEM</w:t>
      </w:r>
      <w:r>
        <w:rPr>
          <w:b/>
          <w:spacing w:val="-3"/>
          <w:sz w:val="22"/>
        </w:rPr>
        <w:t> COLLATERAL</w:t>
      </w:r>
    </w:p>
    <w:p>
      <w:pPr>
        <w:pStyle w:val="BodyText"/>
        <w:spacing w:before="1"/>
        <w:rPr>
          <w:b/>
          <w:sz w:val="23"/>
        </w:rPr>
      </w:pPr>
    </w:p>
    <w:p>
      <w:pPr>
        <w:pStyle w:val="BodyText"/>
        <w:spacing w:line="364" w:lineRule="auto"/>
        <w:ind w:left="120" w:right="112" w:firstLine="298"/>
        <w:jc w:val="both"/>
      </w:pPr>
      <w:r>
        <w:rPr/>
        <w:t>It is common practice among all sovereign states to chain an unlimited number of sovereign bonds (</w:t>
      </w:r>
      <w:hyperlink w:history="true" w:anchor="_bookmark16">
        <w:r>
          <w:rPr>
            <w:color w:val="BF0000"/>
          </w:rPr>
          <w:t>Hannoun et al.</w:t>
        </w:r>
      </w:hyperlink>
      <w:r>
        <w:rPr/>
        <w:t>, </w:t>
      </w:r>
      <w:hyperlink w:history="true" w:anchor="_bookmark16">
        <w:r>
          <w:rPr>
            <w:color w:val="BF0000"/>
          </w:rPr>
          <w:t>2019</w:t>
        </w:r>
      </w:hyperlink>
      <w:r>
        <w:rPr/>
        <w:t>, 3), and thereby to roll over more and more debt without ever being able to pay it back. In this process, the original principal is devalued by compounded inflation— an effect welcomed by the (sovereign) deptors—while at the same time the required amount of money created grows exponentially (by that compounding inflation).</w:t>
      </w:r>
    </w:p>
    <w:p>
      <w:pPr>
        <w:pStyle w:val="BodyText"/>
        <w:spacing w:before="9"/>
        <w:ind w:left="120" w:firstLine="298"/>
        <w:jc w:val="both"/>
      </w:pPr>
      <w:r>
        <w:rPr/>
        <w:t>Instead of going into too much detail here I just recall the answer of a prominent OECD re-</w:t>
      </w:r>
    </w:p>
    <w:p>
      <w:pPr>
        <w:spacing w:line="420" w:lineRule="atLeast" w:before="0"/>
        <w:ind w:left="120" w:right="112" w:firstLine="0"/>
        <w:jc w:val="both"/>
        <w:rPr>
          <w:sz w:val="24"/>
        </w:rPr>
      </w:pPr>
      <w:r>
        <w:rPr>
          <w:sz w:val="24"/>
        </w:rPr>
        <w:t>searcher to my question </w:t>
      </w:r>
      <w:r>
        <w:rPr>
          <w:i/>
          <w:sz w:val="24"/>
        </w:rPr>
        <w:t>“will any government ever pay back this sovereign debt, or </w:t>
      </w:r>
      <w:r>
        <w:rPr>
          <w:i/>
          <w:spacing w:val="-3"/>
          <w:sz w:val="24"/>
        </w:rPr>
        <w:t>are </w:t>
      </w:r>
      <w:r>
        <w:rPr>
          <w:i/>
          <w:sz w:val="24"/>
        </w:rPr>
        <w:t>they at </w:t>
      </w:r>
      <w:r>
        <w:rPr>
          <w:i/>
          <w:w w:val="99"/>
          <w:sz w:val="24"/>
        </w:rPr>
        <w:t>least</w:t>
      </w:r>
      <w:r>
        <w:rPr>
          <w:i/>
          <w:spacing w:val="-14"/>
          <w:sz w:val="24"/>
        </w:rPr>
        <w:t> </w:t>
      </w:r>
      <w:r>
        <w:rPr>
          <w:i/>
          <w:w w:val="99"/>
          <w:sz w:val="24"/>
        </w:rPr>
        <w:t>committed</w:t>
      </w:r>
      <w:r>
        <w:rPr>
          <w:i/>
          <w:spacing w:val="-14"/>
          <w:sz w:val="24"/>
        </w:rPr>
        <w:t> </w:t>
      </w:r>
      <w:r>
        <w:rPr>
          <w:i/>
          <w:w w:val="99"/>
          <w:sz w:val="24"/>
        </w:rPr>
        <w:t>to</w:t>
      </w:r>
      <w:r>
        <w:rPr>
          <w:i/>
          <w:spacing w:val="-14"/>
          <w:sz w:val="24"/>
        </w:rPr>
        <w:t> </w:t>
      </w:r>
      <w:r>
        <w:rPr>
          <w:i/>
          <w:w w:val="99"/>
          <w:sz w:val="24"/>
        </w:rPr>
        <w:t>do</w:t>
      </w:r>
      <w:r>
        <w:rPr>
          <w:i/>
          <w:spacing w:val="-14"/>
          <w:sz w:val="24"/>
        </w:rPr>
        <w:t> </w:t>
      </w:r>
      <w:r>
        <w:rPr>
          <w:i/>
          <w:w w:val="99"/>
          <w:sz w:val="24"/>
        </w:rPr>
        <w:t>so?”</w:t>
      </w:r>
      <w:r>
        <w:rPr>
          <w:i/>
          <w:spacing w:val="9"/>
          <w:sz w:val="24"/>
        </w:rPr>
        <w:t> </w:t>
      </w:r>
      <w:r>
        <w:rPr>
          <w:w w:val="99"/>
          <w:sz w:val="24"/>
        </w:rPr>
        <w:t>at</w:t>
      </w:r>
      <w:r>
        <w:rPr>
          <w:spacing w:val="-14"/>
          <w:sz w:val="24"/>
        </w:rPr>
        <w:t> </w:t>
      </w:r>
      <w:r>
        <w:rPr>
          <w:w w:val="99"/>
          <w:sz w:val="24"/>
        </w:rPr>
        <w:t>a</w:t>
      </w:r>
      <w:r>
        <w:rPr>
          <w:spacing w:val="-14"/>
          <w:sz w:val="24"/>
        </w:rPr>
        <w:t> </w:t>
      </w:r>
      <w:r>
        <w:rPr>
          <w:w w:val="98"/>
          <w:sz w:val="24"/>
        </w:rPr>
        <w:t>scientific</w:t>
      </w:r>
      <w:r>
        <w:rPr>
          <w:spacing w:val="-14"/>
          <w:sz w:val="24"/>
        </w:rPr>
        <w:t> </w:t>
      </w:r>
      <w:r>
        <w:rPr>
          <w:w w:val="99"/>
          <w:sz w:val="24"/>
        </w:rPr>
        <w:t>meeting</w:t>
      </w:r>
      <w:r>
        <w:rPr>
          <w:spacing w:val="-14"/>
          <w:sz w:val="24"/>
        </w:rPr>
        <w:t> </w:t>
      </w:r>
      <w:r>
        <w:rPr>
          <w:w w:val="99"/>
          <w:sz w:val="24"/>
        </w:rPr>
        <w:t>o</w:t>
      </w:r>
      <w:r>
        <w:rPr>
          <w:spacing w:val="-5"/>
          <w:w w:val="99"/>
          <w:sz w:val="24"/>
        </w:rPr>
        <w:t>r</w:t>
      </w:r>
      <w:r>
        <w:rPr>
          <w:spacing w:val="-2"/>
          <w:w w:val="99"/>
          <w:sz w:val="24"/>
        </w:rPr>
        <w:t>g</w:t>
      </w:r>
      <w:r>
        <w:rPr>
          <w:w w:val="99"/>
          <w:sz w:val="24"/>
        </w:rPr>
        <w:t>anized</w:t>
      </w:r>
      <w:r>
        <w:rPr>
          <w:spacing w:val="-14"/>
          <w:sz w:val="24"/>
        </w:rPr>
        <w:t> </w:t>
      </w:r>
      <w:r>
        <w:rPr>
          <w:w w:val="99"/>
          <w:sz w:val="24"/>
        </w:rPr>
        <w:t>by</w:t>
      </w:r>
      <w:r>
        <w:rPr>
          <w:spacing w:val="-14"/>
          <w:sz w:val="24"/>
        </w:rPr>
        <w:t> </w:t>
      </w:r>
      <w:r>
        <w:rPr>
          <w:w w:val="99"/>
          <w:sz w:val="24"/>
        </w:rPr>
        <w:t>the</w:t>
      </w:r>
      <w:r>
        <w:rPr>
          <w:spacing w:val="-14"/>
          <w:sz w:val="24"/>
        </w:rPr>
        <w:t> </w:t>
      </w:r>
      <w:r>
        <w:rPr>
          <w:w w:val="99"/>
          <w:sz w:val="24"/>
        </w:rPr>
        <w:t>Austrian</w:t>
      </w:r>
      <w:r>
        <w:rPr>
          <w:spacing w:val="-14"/>
          <w:sz w:val="24"/>
        </w:rPr>
        <w:t> </w:t>
      </w:r>
      <w:r>
        <w:rPr>
          <w:w w:val="99"/>
          <w:sz w:val="24"/>
        </w:rPr>
        <w:t>National</w:t>
      </w:r>
      <w:r>
        <w:rPr>
          <w:spacing w:val="-14"/>
          <w:sz w:val="24"/>
        </w:rPr>
        <w:t> </w:t>
      </w:r>
      <w:r>
        <w:rPr>
          <w:w w:val="99"/>
          <w:sz w:val="24"/>
        </w:rPr>
        <w:t>Bank</w:t>
      </w:r>
      <w:r>
        <w:rPr>
          <w:spacing w:val="-14"/>
          <w:sz w:val="24"/>
        </w:rPr>
        <w:t> </w:t>
      </w:r>
      <w:r>
        <w:rPr>
          <w:spacing w:val="-1"/>
          <w:w w:val="99"/>
          <w:sz w:val="24"/>
        </w:rPr>
        <w:t>(</w:t>
      </w:r>
      <w:r>
        <w:rPr>
          <w:spacing w:val="-127"/>
          <w:w w:val="99"/>
          <w:sz w:val="24"/>
        </w:rPr>
        <w:t>O</w:t>
      </w:r>
      <w:r>
        <w:rPr>
          <w:w w:val="99"/>
          <w:position w:val="6"/>
          <w:sz w:val="24"/>
        </w:rPr>
        <w:t>¨</w:t>
      </w:r>
      <w:r>
        <w:rPr>
          <w:spacing w:val="-14"/>
          <w:position w:val="6"/>
          <w:sz w:val="24"/>
        </w:rPr>
        <w:t> </w:t>
      </w:r>
      <w:r>
        <w:rPr>
          <w:w w:val="99"/>
          <w:sz w:val="24"/>
        </w:rPr>
        <w:t>NB): </w:t>
      </w:r>
      <w:r>
        <w:rPr>
          <w:sz w:val="24"/>
        </w:rPr>
        <w:t>his answer was a staightforward </w:t>
      </w:r>
      <w:r>
        <w:rPr>
          <w:i/>
          <w:sz w:val="24"/>
        </w:rPr>
        <w:t>“no”</w:t>
      </w:r>
      <w:r>
        <w:rPr>
          <w:sz w:val="24"/>
        </w:rPr>
        <w:t>, after he checked that I am not a journalist. In that way the sovereign debt can be perpetually rolled </w:t>
      </w:r>
      <w:r>
        <w:rPr>
          <w:spacing w:val="-4"/>
          <w:sz w:val="24"/>
        </w:rPr>
        <w:t>over, </w:t>
      </w:r>
      <w:r>
        <w:rPr>
          <w:sz w:val="24"/>
        </w:rPr>
        <w:t>and, without disruption, the required amount of money created grows</w:t>
      </w:r>
      <w:r>
        <w:rPr>
          <w:spacing w:val="-5"/>
          <w:sz w:val="24"/>
        </w:rPr>
        <w:t> </w:t>
      </w:r>
      <w:r>
        <w:rPr>
          <w:sz w:val="24"/>
        </w:rPr>
        <w:t>exponentially.</w:t>
      </w:r>
    </w:p>
    <w:p>
      <w:pPr>
        <w:pStyle w:val="BodyText"/>
        <w:rPr>
          <w:sz w:val="28"/>
        </w:rPr>
      </w:pPr>
    </w:p>
    <w:p>
      <w:pPr>
        <w:pStyle w:val="BodyText"/>
        <w:spacing w:before="2"/>
        <w:rPr>
          <w:sz w:val="34"/>
        </w:rPr>
      </w:pPr>
    </w:p>
    <w:p>
      <w:pPr>
        <w:pStyle w:val="ListParagraph"/>
        <w:numPr>
          <w:ilvl w:val="0"/>
          <w:numId w:val="2"/>
        </w:numPr>
        <w:tabs>
          <w:tab w:pos="804" w:val="left" w:leader="none"/>
          <w:tab w:pos="805" w:val="left" w:leader="none"/>
        </w:tabs>
        <w:spacing w:line="240" w:lineRule="auto" w:before="0" w:after="0"/>
        <w:ind w:left="804" w:right="0" w:hanging="685"/>
        <w:jc w:val="left"/>
        <w:rPr>
          <w:b/>
          <w:sz w:val="22"/>
        </w:rPr>
      </w:pPr>
      <w:bookmarkStart w:name="Reflections of the origin and avoidance " w:id="19"/>
      <w:bookmarkEnd w:id="19"/>
      <w:r>
        <w:rPr/>
      </w:r>
      <w:bookmarkStart w:name="Reflections of the origin and avoidance " w:id="20"/>
      <w:bookmarkEnd w:id="20"/>
      <w:r>
        <w:rPr>
          <w:b/>
          <w:sz w:val="22"/>
        </w:rPr>
        <w:t>REFLECTIONS</w:t>
      </w:r>
      <w:r>
        <w:rPr>
          <w:b/>
          <w:sz w:val="22"/>
        </w:rPr>
        <w:t> OF THE ORIGIN AND </w:t>
      </w:r>
      <w:r>
        <w:rPr>
          <w:b/>
          <w:spacing w:val="-6"/>
          <w:sz w:val="22"/>
        </w:rPr>
        <w:t>AVOIDANCE </w:t>
      </w:r>
      <w:r>
        <w:rPr>
          <w:b/>
          <w:sz w:val="22"/>
        </w:rPr>
        <w:t>OF THE</w:t>
      </w:r>
      <w:r>
        <w:rPr>
          <w:b/>
          <w:spacing w:val="-16"/>
          <w:sz w:val="22"/>
        </w:rPr>
        <w:t> </w:t>
      </w:r>
      <w:r>
        <w:rPr>
          <w:b/>
          <w:spacing w:val="-3"/>
          <w:sz w:val="22"/>
        </w:rPr>
        <w:t>STRATEGEMS</w:t>
      </w:r>
    </w:p>
    <w:p>
      <w:pPr>
        <w:pStyle w:val="BodyText"/>
        <w:spacing w:before="8"/>
        <w:rPr>
          <w:b/>
          <w:sz w:val="38"/>
        </w:rPr>
      </w:pPr>
    </w:p>
    <w:p>
      <w:pPr>
        <w:pStyle w:val="BodyText"/>
        <w:spacing w:line="364" w:lineRule="auto"/>
        <w:ind w:left="120" w:right="112" w:firstLine="298"/>
        <w:jc w:val="both"/>
      </w:pPr>
      <w:r>
        <w:rPr/>
        <w:t>Many of the aforementioned strategems involve securing ‘free’ loans from the Eurosystem, followed by de facto default: With infinite time horizons and for practical purposes, repaying the collateral and compounded interest becomes illusory. Moreover, if the interest rate is effectively zero, the constraints on purchasing equity are primarily determined by the (im)possibility of con- cealing such transactions from public scrutiny. In the (unrealistic) limit, it would be theoretically possible to acquire ‘everything for nothing’.</w:t>
      </w:r>
    </w:p>
    <w:p>
      <w:pPr>
        <w:pStyle w:val="BodyText"/>
        <w:spacing w:line="364" w:lineRule="auto" w:before="9"/>
        <w:ind w:left="120" w:right="112" w:firstLine="298"/>
        <w:jc w:val="both"/>
      </w:pPr>
      <w:r>
        <w:rPr/>
        <w:t>The viability of these strategies relies on the utilization of non-physical fiat currencies, in</w:t>
      </w:r>
      <w:r>
        <w:rPr>
          <w:spacing w:val="-38"/>
        </w:rPr>
        <w:t> </w:t>
      </w:r>
      <w:r>
        <w:rPr/>
        <w:t>con- trast to those backed by a limited medium of exchange, such as gold, silver, or algorithmically secured ‘hard’ currencies. I do not aim to dispute the advantages of fiat money in general, since  I believe that only fiat currency can provide the necessary adaptability to meet the requirements of emerging technologies and an expanding economy. </w:t>
      </w:r>
      <w:r>
        <w:rPr>
          <w:spacing w:val="-4"/>
        </w:rPr>
        <w:t>However, </w:t>
      </w:r>
      <w:r>
        <w:rPr/>
        <w:t>the intangible nature of fiat cur- rencies makes them vulnerable to manipulation, resulting in unintended wealth redistribution</w:t>
      </w:r>
      <w:r>
        <w:rPr>
          <w:spacing w:val="-17"/>
        </w:rPr>
        <w:t> </w:t>
      </w:r>
      <w:r>
        <w:rPr/>
        <w:t>and concentration, as exemplified by the Free Rider Problem (</w:t>
      </w:r>
      <w:hyperlink w:history="true" w:anchor="_bookmark6">
        <w:r>
          <w:rPr>
            <w:color w:val="BF0000"/>
          </w:rPr>
          <w:t>Congdon</w:t>
        </w:r>
      </w:hyperlink>
      <w:r>
        <w:rPr/>
        <w:t>, </w:t>
      </w:r>
      <w:hyperlink w:history="true" w:anchor="_bookmark6">
        <w:r>
          <w:rPr>
            <w:color w:val="BF0000"/>
          </w:rPr>
          <w:t>2022</w:t>
        </w:r>
      </w:hyperlink>
      <w:r>
        <w:rPr/>
        <w:t>). Consequently, it</w:t>
      </w:r>
      <w:r>
        <w:rPr>
          <w:spacing w:val="50"/>
        </w:rPr>
        <w:t> </w:t>
      </w:r>
      <w:r>
        <w:rPr>
          <w:spacing w:val="-4"/>
        </w:rPr>
        <w:t>has</w:t>
      </w:r>
    </w:p>
    <w:p>
      <w:pPr>
        <w:spacing w:after="0" w:line="364" w:lineRule="auto"/>
        <w:jc w:val="both"/>
        <w:sectPr>
          <w:pgSz w:w="12240" w:h="15840"/>
          <w:pgMar w:header="0" w:footer="563" w:top="1340" w:bottom="760" w:left="1320" w:right="1360"/>
        </w:sectPr>
      </w:pPr>
    </w:p>
    <w:p>
      <w:pPr>
        <w:pStyle w:val="BodyText"/>
        <w:spacing w:line="348" w:lineRule="auto" w:before="75"/>
        <w:ind w:left="120" w:right="112"/>
        <w:jc w:val="both"/>
      </w:pPr>
      <w:r>
        <w:rPr/>
        <w:t>been proposed that “a new constitutional consensus for the EU, endowed with sound economic foundations, is [[</w:t>
      </w:r>
      <w:r>
        <w:rPr>
          <w:rFonts w:ascii="Verdana" w:hAnsi="Verdana"/>
          <w:i/>
        </w:rPr>
        <w:t>.</w:t>
      </w:r>
      <w:r>
        <w:rPr>
          <w:rFonts w:ascii="Verdana" w:hAnsi="Verdana"/>
          <w:i/>
          <w:spacing w:val="-59"/>
        </w:rPr>
        <w:t> </w:t>
      </w:r>
      <w:r>
        <w:rPr>
          <w:rFonts w:ascii="Verdana" w:hAnsi="Verdana"/>
          <w:i/>
        </w:rPr>
        <w:t>.</w:t>
      </w:r>
      <w:r>
        <w:rPr>
          <w:rFonts w:ascii="Verdana" w:hAnsi="Verdana"/>
          <w:i/>
          <w:spacing w:val="-58"/>
        </w:rPr>
        <w:t> </w:t>
      </w:r>
      <w:r>
        <w:rPr>
          <w:rFonts w:ascii="Verdana" w:hAnsi="Verdana"/>
          <w:i/>
        </w:rPr>
        <w:t>.</w:t>
      </w:r>
      <w:r>
        <w:rPr/>
        <w:t>] indispensable” (</w:t>
      </w:r>
      <w:hyperlink w:history="true" w:anchor="_bookmark20">
        <w:r>
          <w:rPr>
            <w:color w:val="BF0000"/>
          </w:rPr>
          <w:t>Ojeda</w:t>
        </w:r>
      </w:hyperlink>
      <w:r>
        <w:rPr/>
        <w:t>, </w:t>
      </w:r>
      <w:hyperlink w:history="true" w:anchor="_bookmark20">
        <w:r>
          <w:rPr>
            <w:color w:val="BF0000"/>
          </w:rPr>
          <w:t>2022</w:t>
        </w:r>
      </w:hyperlink>
      <w:r>
        <w:rPr/>
        <w:t>).</w:t>
      </w:r>
    </w:p>
    <w:p>
      <w:pPr>
        <w:pStyle w:val="BodyText"/>
        <w:spacing w:line="364" w:lineRule="auto" w:before="27"/>
        <w:ind w:left="119" w:right="112" w:firstLine="298"/>
        <w:jc w:val="both"/>
      </w:pPr>
      <w:r>
        <w:rPr/>
        <w:t>Even</w:t>
      </w:r>
      <w:r>
        <w:rPr>
          <w:spacing w:val="-14"/>
        </w:rPr>
        <w:t> </w:t>
      </w:r>
      <w:r>
        <w:rPr/>
        <w:t>if</w:t>
      </w:r>
      <w:r>
        <w:rPr>
          <w:spacing w:val="-13"/>
        </w:rPr>
        <w:t> </w:t>
      </w:r>
      <w:r>
        <w:rPr/>
        <w:t>money</w:t>
      </w:r>
      <w:r>
        <w:rPr>
          <w:spacing w:val="-13"/>
        </w:rPr>
        <w:t> </w:t>
      </w:r>
      <w:r>
        <w:rPr/>
        <w:t>creation</w:t>
      </w:r>
      <w:r>
        <w:rPr>
          <w:spacing w:val="-13"/>
        </w:rPr>
        <w:t> </w:t>
      </w:r>
      <w:r>
        <w:rPr/>
        <w:t>is</w:t>
      </w:r>
      <w:r>
        <w:rPr>
          <w:spacing w:val="-13"/>
        </w:rPr>
        <w:t> </w:t>
      </w:r>
      <w:r>
        <w:rPr/>
        <w:t>executed</w:t>
      </w:r>
      <w:r>
        <w:rPr>
          <w:spacing w:val="-13"/>
        </w:rPr>
        <w:t> </w:t>
      </w:r>
      <w:r>
        <w:rPr/>
        <w:t>in</w:t>
      </w:r>
      <w:r>
        <w:rPr>
          <w:spacing w:val="-13"/>
        </w:rPr>
        <w:t> </w:t>
      </w:r>
      <w:r>
        <w:rPr/>
        <w:t>large</w:t>
      </w:r>
      <w:r>
        <w:rPr>
          <w:spacing w:val="-13"/>
        </w:rPr>
        <w:t> </w:t>
      </w:r>
      <w:r>
        <w:rPr/>
        <w:t>quantities,</w:t>
      </w:r>
      <w:r>
        <w:rPr>
          <w:spacing w:val="-11"/>
        </w:rPr>
        <w:t> </w:t>
      </w:r>
      <w:r>
        <w:rPr/>
        <w:t>it</w:t>
      </w:r>
      <w:r>
        <w:rPr>
          <w:spacing w:val="-13"/>
        </w:rPr>
        <w:t> </w:t>
      </w:r>
      <w:r>
        <w:rPr/>
        <w:t>does</w:t>
      </w:r>
      <w:r>
        <w:rPr>
          <w:spacing w:val="-13"/>
        </w:rPr>
        <w:t> </w:t>
      </w:r>
      <w:r>
        <w:rPr/>
        <w:t>not</w:t>
      </w:r>
      <w:r>
        <w:rPr>
          <w:spacing w:val="-14"/>
        </w:rPr>
        <w:t> </w:t>
      </w:r>
      <w:r>
        <w:rPr/>
        <w:t>necessarily</w:t>
      </w:r>
      <w:r>
        <w:rPr>
          <w:spacing w:val="-13"/>
        </w:rPr>
        <w:t> </w:t>
      </w:r>
      <w:r>
        <w:rPr/>
        <w:t>lead</w:t>
      </w:r>
      <w:r>
        <w:rPr>
          <w:spacing w:val="-13"/>
        </w:rPr>
        <w:t> </w:t>
      </w:r>
      <w:r>
        <w:rPr/>
        <w:t>to</w:t>
      </w:r>
      <w:r>
        <w:rPr>
          <w:spacing w:val="-13"/>
        </w:rPr>
        <w:t> </w:t>
      </w:r>
      <w:r>
        <w:rPr>
          <w:spacing w:val="-4"/>
        </w:rPr>
        <w:t>‘excessive’ </w:t>
      </w:r>
      <w:r>
        <w:rPr/>
        <w:t>(more than of the order of 100% per annum) inflation, regardless of the volume or quantity of money aggregate and demand-pull inflation—too much money chasing too few goods—might suggest</w:t>
      </w:r>
      <w:r>
        <w:rPr>
          <w:spacing w:val="-9"/>
        </w:rPr>
        <w:t> </w:t>
      </w:r>
      <w:r>
        <w:rPr/>
        <w:t>(</w:t>
      </w:r>
      <w:hyperlink w:history="true" w:anchor="_bookmark2">
        <w:r>
          <w:rPr>
            <w:color w:val="BF0000"/>
          </w:rPr>
          <w:t>Barth</w:t>
        </w:r>
        <w:r>
          <w:rPr>
            <w:color w:val="BF0000"/>
            <w:spacing w:val="-9"/>
          </w:rPr>
          <w:t> </w:t>
        </w:r>
        <w:r>
          <w:rPr>
            <w:color w:val="BF0000"/>
          </w:rPr>
          <w:t>and</w:t>
        </w:r>
        <w:r>
          <w:rPr>
            <w:color w:val="BF0000"/>
            <w:spacing w:val="-9"/>
          </w:rPr>
          <w:t> </w:t>
        </w:r>
        <w:r>
          <w:rPr>
            <w:color w:val="BF0000"/>
          </w:rPr>
          <w:t>Bennett</w:t>
        </w:r>
      </w:hyperlink>
      <w:r>
        <w:rPr/>
        <w:t>,</w:t>
      </w:r>
      <w:r>
        <w:rPr>
          <w:spacing w:val="-9"/>
        </w:rPr>
        <w:t> </w:t>
      </w:r>
      <w:hyperlink w:history="true" w:anchor="_bookmark2">
        <w:r>
          <w:rPr>
            <w:color w:val="BF0000"/>
          </w:rPr>
          <w:t>1975</w:t>
        </w:r>
      </w:hyperlink>
      <w:r>
        <w:rPr/>
        <w:t>),</w:t>
      </w:r>
      <w:r>
        <w:rPr>
          <w:spacing w:val="-8"/>
        </w:rPr>
        <w:t> </w:t>
      </w:r>
      <w:r>
        <w:rPr>
          <w:spacing w:val="-3"/>
        </w:rPr>
        <w:t>even</w:t>
      </w:r>
      <w:r>
        <w:rPr>
          <w:spacing w:val="-9"/>
        </w:rPr>
        <w:t> </w:t>
      </w:r>
      <w:r>
        <w:rPr/>
        <w:t>if</w:t>
      </w:r>
      <w:r>
        <w:rPr>
          <w:spacing w:val="-9"/>
        </w:rPr>
        <w:t> </w:t>
      </w:r>
      <w:r>
        <w:rPr/>
        <w:t>the</w:t>
      </w:r>
      <w:r>
        <w:rPr>
          <w:spacing w:val="-9"/>
        </w:rPr>
        <w:t> </w:t>
      </w:r>
      <w:r>
        <w:rPr/>
        <w:t>possibility</w:t>
      </w:r>
      <w:r>
        <w:rPr>
          <w:spacing w:val="-9"/>
        </w:rPr>
        <w:t> </w:t>
      </w:r>
      <w:r>
        <w:rPr/>
        <w:t>of</w:t>
      </w:r>
      <w:r>
        <w:rPr>
          <w:spacing w:val="-9"/>
        </w:rPr>
        <w:t> </w:t>
      </w:r>
      <w:r>
        <w:rPr/>
        <w:t>‘hoarding’—stashes</w:t>
      </w:r>
      <w:r>
        <w:rPr>
          <w:spacing w:val="-9"/>
        </w:rPr>
        <w:t> </w:t>
      </w:r>
      <w:r>
        <w:rPr/>
        <w:t>of</w:t>
      </w:r>
      <w:r>
        <w:rPr>
          <w:spacing w:val="-9"/>
        </w:rPr>
        <w:t> </w:t>
      </w:r>
      <w:r>
        <w:rPr/>
        <w:t>money</w:t>
      </w:r>
      <w:r>
        <w:rPr>
          <w:spacing w:val="-9"/>
        </w:rPr>
        <w:t> </w:t>
      </w:r>
      <w:r>
        <w:rPr/>
        <w:t>stowed away somewhere and suddenly released—is taken into</w:t>
      </w:r>
      <w:r>
        <w:rPr>
          <w:spacing w:val="-13"/>
        </w:rPr>
        <w:t> </w:t>
      </w:r>
      <w:r>
        <w:rPr/>
        <w:t>consideration.</w:t>
      </w:r>
    </w:p>
    <w:p>
      <w:pPr>
        <w:pStyle w:val="BodyText"/>
        <w:spacing w:line="364" w:lineRule="auto" w:before="10"/>
        <w:ind w:left="119" w:right="112" w:firstLine="298"/>
        <w:jc w:val="both"/>
      </w:pPr>
      <w:r>
        <w:rPr/>
        <w:t>Because as long as this additional money does not show up at foreign exchanges, competing against other currencies, it will not lead to inflation (</w:t>
      </w:r>
      <w:hyperlink w:history="true" w:anchor="_bookmark25">
        <w:r>
          <w:rPr>
            <w:color w:val="BF0000"/>
          </w:rPr>
          <w:t>Sauer</w:t>
        </w:r>
      </w:hyperlink>
      <w:r>
        <w:rPr/>
        <w:t>, </w:t>
      </w:r>
      <w:hyperlink w:history="true" w:anchor="_bookmark25">
        <w:r>
          <w:rPr>
            <w:color w:val="BF0000"/>
          </w:rPr>
          <w:t>2023</w:t>
        </w:r>
      </w:hyperlink>
      <w:r>
        <w:rPr/>
        <w:t>). This can, for instance, be corroborated by the Japanese example characterized by trade surplus and internal debt (</w:t>
      </w:r>
      <w:hyperlink w:history="true" w:anchor="_bookmark30">
        <w:r>
          <w:rPr>
            <w:color w:val="BF0000"/>
          </w:rPr>
          <w:t>Werner</w:t>
        </w:r>
      </w:hyperlink>
      <w:r>
        <w:rPr/>
        <w:t>, </w:t>
      </w:r>
      <w:hyperlink w:history="true" w:anchor="_bookmark30">
        <w:r>
          <w:rPr>
            <w:color w:val="BF0000"/>
          </w:rPr>
          <w:t>2003</w:t>
        </w:r>
      </w:hyperlink>
      <w:r>
        <w:rPr/>
        <w:t>, </w:t>
      </w:r>
      <w:hyperlink w:history="true" w:anchor="_bookmark31">
        <w:r>
          <w:rPr>
            <w:color w:val="BF0000"/>
          </w:rPr>
          <w:t>2005</w:t>
        </w:r>
      </w:hyperlink>
      <w:r>
        <w:rPr/>
        <w:t>).</w:t>
      </w:r>
    </w:p>
    <w:p>
      <w:pPr>
        <w:pStyle w:val="BodyText"/>
        <w:spacing w:line="364" w:lineRule="auto" w:before="12"/>
        <w:ind w:left="119" w:right="112" w:firstLine="298"/>
        <w:jc w:val="both"/>
      </w:pPr>
      <w:r>
        <w:rPr/>
        <w:t>It is conceivable that, as long as the currency is in some way ‘demanded’ or ‘wanted’ in re- lation to other currencies—for example, due to a trade surplus, or the demand for commodities, especially those related to energy—there will be no excessive inflation. As a result, if you hold a reserve currency (that is always ‘wanted’), you can print ‘as much money as you want’, without causing excessive inflation.</w:t>
      </w:r>
    </w:p>
    <w:p>
      <w:pPr>
        <w:pStyle w:val="BodyText"/>
        <w:spacing w:line="364" w:lineRule="auto" w:before="10"/>
        <w:ind w:left="119" w:right="112" w:firstLine="298"/>
        <w:jc w:val="both"/>
      </w:pPr>
      <w:r>
        <w:rPr/>
        <w:t>The true nature of these alleged scenarios or strategems remains ambiguous to external </w:t>
      </w:r>
      <w:r>
        <w:rPr>
          <w:spacing w:val="-4"/>
        </w:rPr>
        <w:t>ob-</w:t>
      </w:r>
      <w:r>
        <w:rPr>
          <w:spacing w:val="52"/>
        </w:rPr>
        <w:t> </w:t>
      </w:r>
      <w:r>
        <w:rPr/>
        <w:t>servers:</w:t>
      </w:r>
      <w:r>
        <w:rPr>
          <w:spacing w:val="6"/>
        </w:rPr>
        <w:t> </w:t>
      </w:r>
      <w:r>
        <w:rPr/>
        <w:t>are</w:t>
      </w:r>
      <w:r>
        <w:rPr>
          <w:spacing w:val="-9"/>
        </w:rPr>
        <w:t> </w:t>
      </w:r>
      <w:r>
        <w:rPr/>
        <w:t>they</w:t>
      </w:r>
      <w:r>
        <w:rPr>
          <w:spacing w:val="-9"/>
        </w:rPr>
        <w:t> </w:t>
      </w:r>
      <w:r>
        <w:rPr/>
        <w:t>the</w:t>
      </w:r>
      <w:r>
        <w:rPr>
          <w:spacing w:val="-8"/>
        </w:rPr>
        <w:t> </w:t>
      </w:r>
      <w:r>
        <w:rPr/>
        <w:t>product</w:t>
      </w:r>
      <w:r>
        <w:rPr>
          <w:spacing w:val="-9"/>
        </w:rPr>
        <w:t> </w:t>
      </w:r>
      <w:r>
        <w:rPr/>
        <w:t>of</w:t>
      </w:r>
      <w:r>
        <w:rPr>
          <w:spacing w:val="-9"/>
        </w:rPr>
        <w:t> </w:t>
      </w:r>
      <w:r>
        <w:rPr/>
        <w:t>inadequate</w:t>
      </w:r>
      <w:r>
        <w:rPr>
          <w:spacing w:val="-8"/>
        </w:rPr>
        <w:t> </w:t>
      </w:r>
      <w:r>
        <w:rPr/>
        <w:t>design</w:t>
      </w:r>
      <w:r>
        <w:rPr>
          <w:spacing w:val="-9"/>
        </w:rPr>
        <w:t> </w:t>
      </w:r>
      <w:r>
        <w:rPr/>
        <w:t>and</w:t>
      </w:r>
      <w:r>
        <w:rPr>
          <w:spacing w:val="-9"/>
        </w:rPr>
        <w:t> </w:t>
      </w:r>
      <w:r>
        <w:rPr/>
        <w:t>unforeseen</w:t>
      </w:r>
      <w:r>
        <w:rPr>
          <w:spacing w:val="-9"/>
        </w:rPr>
        <w:t> </w:t>
      </w:r>
      <w:r>
        <w:rPr/>
        <w:t>repercussions,</w:t>
      </w:r>
      <w:r>
        <w:rPr>
          <w:spacing w:val="-7"/>
        </w:rPr>
        <w:t> </w:t>
      </w:r>
      <w:r>
        <w:rPr/>
        <w:t>or</w:t>
      </w:r>
      <w:r>
        <w:rPr>
          <w:spacing w:val="-9"/>
        </w:rPr>
        <w:t> </w:t>
      </w:r>
      <w:r>
        <w:rPr/>
        <w:t>are</w:t>
      </w:r>
      <w:r>
        <w:rPr>
          <w:spacing w:val="-9"/>
        </w:rPr>
        <w:t> </w:t>
      </w:r>
      <w:r>
        <w:rPr/>
        <w:t>they</w:t>
      </w:r>
      <w:r>
        <w:rPr>
          <w:spacing w:val="-8"/>
        </w:rPr>
        <w:t> </w:t>
      </w:r>
      <w:r>
        <w:rPr/>
        <w:t>delib- erately coordinated by factions within or outside the Eurosystem to, for instance, reassign wealth among member states (</w:t>
      </w:r>
      <w:hyperlink w:history="true" w:anchor="_bookmark6">
        <w:r>
          <w:rPr>
            <w:color w:val="BF0000"/>
          </w:rPr>
          <w:t>Congdon</w:t>
        </w:r>
      </w:hyperlink>
      <w:r>
        <w:rPr/>
        <w:t>, </w:t>
      </w:r>
      <w:hyperlink w:history="true" w:anchor="_bookmark6">
        <w:r>
          <w:rPr>
            <w:color w:val="BF0000"/>
          </w:rPr>
          <w:t>2022</w:t>
        </w:r>
      </w:hyperlink>
      <w:r>
        <w:rPr/>
        <w:t>)? Regardless of whether the impetus stems from systemic deficiencies or calculated maneuvers, the Eurosystem demands (</w:t>
      </w:r>
      <w:hyperlink w:history="true" w:anchor="_bookmark20">
        <w:r>
          <w:rPr>
            <w:color w:val="BF0000"/>
          </w:rPr>
          <w:t>Ojeda</w:t>
        </w:r>
      </w:hyperlink>
      <w:r>
        <w:rPr/>
        <w:t>, </w:t>
      </w:r>
      <w:hyperlink w:history="true" w:anchor="_bookmark20">
        <w:r>
          <w:rPr>
            <w:color w:val="BF0000"/>
          </w:rPr>
          <w:t>2022</w:t>
        </w:r>
      </w:hyperlink>
      <w:r>
        <w:rPr/>
        <w:t>) a comprehensive overhaul.</w:t>
      </w:r>
    </w:p>
    <w:p>
      <w:pPr>
        <w:pStyle w:val="BodyText"/>
        <w:rPr>
          <w:sz w:val="28"/>
        </w:rPr>
      </w:pPr>
    </w:p>
    <w:p>
      <w:pPr>
        <w:pStyle w:val="BodyText"/>
        <w:spacing w:before="3"/>
        <w:rPr>
          <w:sz w:val="22"/>
        </w:rPr>
      </w:pPr>
    </w:p>
    <w:p>
      <w:pPr>
        <w:pStyle w:val="ListParagraph"/>
        <w:numPr>
          <w:ilvl w:val="0"/>
          <w:numId w:val="2"/>
        </w:numPr>
        <w:tabs>
          <w:tab w:pos="635" w:val="left" w:leader="none"/>
          <w:tab w:pos="636" w:val="left" w:leader="none"/>
        </w:tabs>
        <w:spacing w:line="240" w:lineRule="auto" w:before="1" w:after="0"/>
        <w:ind w:left="635" w:right="0" w:hanging="517"/>
        <w:jc w:val="left"/>
        <w:rPr>
          <w:b/>
          <w:sz w:val="22"/>
        </w:rPr>
      </w:pPr>
      <w:bookmarkStart w:name="Conclusions" w:id="21"/>
      <w:bookmarkEnd w:id="21"/>
      <w:r>
        <w:rPr/>
      </w:r>
      <w:bookmarkStart w:name="Conclusions" w:id="22"/>
      <w:bookmarkEnd w:id="22"/>
      <w:r>
        <w:rPr>
          <w:b/>
          <w:sz w:val="22"/>
        </w:rPr>
        <w:t>CONCLUSIONS</w:t>
      </w:r>
    </w:p>
    <w:p>
      <w:pPr>
        <w:pStyle w:val="BodyText"/>
        <w:spacing w:before="8"/>
        <w:rPr>
          <w:b/>
          <w:sz w:val="38"/>
        </w:rPr>
      </w:pPr>
    </w:p>
    <w:p>
      <w:pPr>
        <w:pStyle w:val="BodyText"/>
        <w:spacing w:line="364" w:lineRule="auto"/>
        <w:ind w:left="119" w:right="112" w:firstLine="298"/>
        <w:jc w:val="both"/>
      </w:pPr>
      <w:r>
        <w:rPr/>
        <w:t>This</w:t>
      </w:r>
      <w:r>
        <w:rPr>
          <w:spacing w:val="-7"/>
        </w:rPr>
        <w:t> </w:t>
      </w:r>
      <w:r>
        <w:rPr/>
        <w:t>paper</w:t>
      </w:r>
      <w:r>
        <w:rPr>
          <w:spacing w:val="-6"/>
        </w:rPr>
        <w:t> </w:t>
      </w:r>
      <w:r>
        <w:rPr/>
        <w:t>has</w:t>
      </w:r>
      <w:r>
        <w:rPr>
          <w:spacing w:val="-6"/>
        </w:rPr>
        <w:t> </w:t>
      </w:r>
      <w:r>
        <w:rPr/>
        <w:t>identified</w:t>
      </w:r>
      <w:r>
        <w:rPr>
          <w:spacing w:val="-7"/>
        </w:rPr>
        <w:t> </w:t>
      </w:r>
      <w:r>
        <w:rPr/>
        <w:t>and</w:t>
      </w:r>
      <w:r>
        <w:rPr>
          <w:spacing w:val="-6"/>
        </w:rPr>
        <w:t> </w:t>
      </w:r>
      <w:r>
        <w:rPr/>
        <w:t>analyzed</w:t>
      </w:r>
      <w:r>
        <w:rPr>
          <w:spacing w:val="-6"/>
        </w:rPr>
        <w:t> </w:t>
      </w:r>
      <w:r>
        <w:rPr/>
        <w:t>six</w:t>
      </w:r>
      <w:r>
        <w:rPr>
          <w:spacing w:val="-6"/>
        </w:rPr>
        <w:t> </w:t>
      </w:r>
      <w:r>
        <w:rPr>
          <w:spacing w:val="-3"/>
        </w:rPr>
        <w:t>key</w:t>
      </w:r>
      <w:r>
        <w:rPr>
          <w:spacing w:val="-7"/>
        </w:rPr>
        <w:t> </w:t>
      </w:r>
      <w:r>
        <w:rPr/>
        <w:t>strategies</w:t>
      </w:r>
      <w:r>
        <w:rPr>
          <w:spacing w:val="-6"/>
        </w:rPr>
        <w:t> </w:t>
      </w:r>
      <w:r>
        <w:rPr/>
        <w:t>employed</w:t>
      </w:r>
      <w:r>
        <w:rPr>
          <w:spacing w:val="-6"/>
        </w:rPr>
        <w:t> </w:t>
      </w:r>
      <w:r>
        <w:rPr/>
        <w:t>to</w:t>
      </w:r>
      <w:r>
        <w:rPr>
          <w:spacing w:val="-7"/>
        </w:rPr>
        <w:t> </w:t>
      </w:r>
      <w:r>
        <w:rPr/>
        <w:t>exploit</w:t>
      </w:r>
      <w:r>
        <w:rPr>
          <w:spacing w:val="-6"/>
        </w:rPr>
        <w:t> </w:t>
      </w:r>
      <w:r>
        <w:rPr/>
        <w:t>the</w:t>
      </w:r>
      <w:r>
        <w:rPr>
          <w:spacing w:val="-6"/>
        </w:rPr>
        <w:t> </w:t>
      </w:r>
      <w:r>
        <w:rPr/>
        <w:t>Eurosystem’s financial mechanisms, highlighting significant vulnerabilities within the current structure. </w:t>
      </w:r>
      <w:r>
        <w:rPr>
          <w:spacing w:val="-3"/>
        </w:rPr>
        <w:t>These </w:t>
      </w:r>
      <w:r>
        <w:rPr/>
        <w:t>strategies include inflating </w:t>
      </w:r>
      <w:r>
        <w:rPr>
          <w:spacing w:val="-4"/>
        </w:rPr>
        <w:t>TARGET </w:t>
      </w:r>
      <w:r>
        <w:rPr/>
        <w:t>balances, leveraging collateral swaps followed by defaults, diluting self-imposed regulatory rules, issuing money through Emergency Liquidity Assistance (ELA),</w:t>
      </w:r>
      <w:r>
        <w:rPr>
          <w:spacing w:val="-15"/>
        </w:rPr>
        <w:t> </w:t>
      </w:r>
      <w:r>
        <w:rPr/>
        <w:t>acquisitions</w:t>
      </w:r>
      <w:r>
        <w:rPr>
          <w:spacing w:val="-14"/>
        </w:rPr>
        <w:t> </w:t>
      </w:r>
      <w:r>
        <w:rPr/>
        <w:t>facilitated</w:t>
      </w:r>
      <w:r>
        <w:rPr>
          <w:spacing w:val="-15"/>
        </w:rPr>
        <w:t> </w:t>
      </w:r>
      <w:r>
        <w:rPr/>
        <w:t>via</w:t>
      </w:r>
      <w:r>
        <w:rPr>
          <w:spacing w:val="-14"/>
        </w:rPr>
        <w:t> </w:t>
      </w:r>
      <w:r>
        <w:rPr/>
        <w:t>the</w:t>
      </w:r>
      <w:r>
        <w:rPr>
          <w:spacing w:val="-14"/>
        </w:rPr>
        <w:t> </w:t>
      </w:r>
      <w:r>
        <w:rPr/>
        <w:t>Agreement</w:t>
      </w:r>
      <w:r>
        <w:rPr>
          <w:spacing w:val="-15"/>
        </w:rPr>
        <w:t> </w:t>
      </w:r>
      <w:r>
        <w:rPr/>
        <w:t>on</w:t>
      </w:r>
      <w:r>
        <w:rPr>
          <w:spacing w:val="-14"/>
        </w:rPr>
        <w:t> </w:t>
      </w:r>
      <w:r>
        <w:rPr/>
        <w:t>Net</w:t>
      </w:r>
      <w:r>
        <w:rPr>
          <w:spacing w:val="-15"/>
        </w:rPr>
        <w:t> </w:t>
      </w:r>
      <w:r>
        <w:rPr/>
        <w:t>Financial</w:t>
      </w:r>
      <w:r>
        <w:rPr>
          <w:spacing w:val="-14"/>
        </w:rPr>
        <w:t> </w:t>
      </w:r>
      <w:r>
        <w:rPr/>
        <w:t>Assets</w:t>
      </w:r>
      <w:r>
        <w:rPr>
          <w:spacing w:val="-14"/>
        </w:rPr>
        <w:t> </w:t>
      </w:r>
      <w:r>
        <w:rPr>
          <w:spacing w:val="-3"/>
        </w:rPr>
        <w:t>(ANFA),</w:t>
      </w:r>
      <w:r>
        <w:rPr>
          <w:spacing w:val="-15"/>
        </w:rPr>
        <w:t> </w:t>
      </w:r>
      <w:r>
        <w:rPr/>
        <w:t>and</w:t>
      </w:r>
      <w:r>
        <w:rPr>
          <w:spacing w:val="-14"/>
        </w:rPr>
        <w:t> </w:t>
      </w:r>
      <w:r>
        <w:rPr/>
        <w:t>the</w:t>
      </w:r>
      <w:r>
        <w:rPr>
          <w:spacing w:val="-14"/>
        </w:rPr>
        <w:t> </w:t>
      </w:r>
      <w:r>
        <w:rPr/>
        <w:t>perpet- ual (re)issuance of sovereign bonds as collateral that, through </w:t>
      </w:r>
      <w:r>
        <w:rPr>
          <w:spacing w:val="-3"/>
        </w:rPr>
        <w:t>ever </w:t>
      </w:r>
      <w:r>
        <w:rPr/>
        <w:t>increasing compound interest, may enter an unsustainable</w:t>
      </w:r>
      <w:r>
        <w:rPr>
          <w:spacing w:val="-5"/>
        </w:rPr>
        <w:t> </w:t>
      </w:r>
      <w:r>
        <w:rPr/>
        <w:t>regime.</w:t>
      </w:r>
    </w:p>
    <w:p>
      <w:pPr>
        <w:spacing w:after="0" w:line="364" w:lineRule="auto"/>
        <w:jc w:val="both"/>
        <w:sectPr>
          <w:pgSz w:w="12240" w:h="15840"/>
          <w:pgMar w:header="0" w:footer="563" w:top="1340" w:bottom="760" w:left="1320" w:right="1360"/>
        </w:sectPr>
      </w:pPr>
    </w:p>
    <w:p>
      <w:pPr>
        <w:pStyle w:val="BodyText"/>
        <w:spacing w:line="364" w:lineRule="auto" w:before="75"/>
        <w:ind w:left="120" w:right="112" w:firstLine="298"/>
        <w:jc w:val="both"/>
      </w:pPr>
      <w:r>
        <w:rPr/>
        <w:t>The analysis highlights that these practices arise from either unintended systemic vulnerabil- ities or deliberate opportunism within the Eurosystem. The intangible nature of fiat currencies poses distinct challenges and opportunities for debasement and resource reallocation, which </w:t>
      </w:r>
      <w:r>
        <w:rPr>
          <w:spacing w:val="-4"/>
        </w:rPr>
        <w:t>are</w:t>
      </w:r>
      <w:r>
        <w:rPr>
          <w:spacing w:val="52"/>
        </w:rPr>
        <w:t> </w:t>
      </w:r>
      <w:r>
        <w:rPr/>
        <w:t>amplified</w:t>
      </w:r>
      <w:r>
        <w:rPr>
          <w:spacing w:val="-10"/>
        </w:rPr>
        <w:t> </w:t>
      </w:r>
      <w:r>
        <w:rPr/>
        <w:t>in</w:t>
      </w:r>
      <w:r>
        <w:rPr>
          <w:spacing w:val="-9"/>
        </w:rPr>
        <w:t> </w:t>
      </w:r>
      <w:r>
        <w:rPr/>
        <w:t>a</w:t>
      </w:r>
      <w:r>
        <w:rPr>
          <w:spacing w:val="-9"/>
        </w:rPr>
        <w:t> </w:t>
      </w:r>
      <w:r>
        <w:rPr/>
        <w:t>monetary</w:t>
      </w:r>
      <w:r>
        <w:rPr>
          <w:spacing w:val="-9"/>
        </w:rPr>
        <w:t> </w:t>
      </w:r>
      <w:r>
        <w:rPr/>
        <w:t>union</w:t>
      </w:r>
      <w:r>
        <w:rPr>
          <w:spacing w:val="-10"/>
        </w:rPr>
        <w:t> </w:t>
      </w:r>
      <w:r>
        <w:rPr/>
        <w:t>characterized</w:t>
      </w:r>
      <w:r>
        <w:rPr>
          <w:spacing w:val="-9"/>
        </w:rPr>
        <w:t> </w:t>
      </w:r>
      <w:r>
        <w:rPr/>
        <w:t>by</w:t>
      </w:r>
      <w:r>
        <w:rPr>
          <w:spacing w:val="-9"/>
        </w:rPr>
        <w:t> </w:t>
      </w:r>
      <w:r>
        <w:rPr/>
        <w:t>diverse</w:t>
      </w:r>
      <w:r>
        <w:rPr>
          <w:spacing w:val="-9"/>
        </w:rPr>
        <w:t> </w:t>
      </w:r>
      <w:r>
        <w:rPr/>
        <w:t>economic</w:t>
      </w:r>
      <w:r>
        <w:rPr>
          <w:spacing w:val="-10"/>
        </w:rPr>
        <w:t> </w:t>
      </w:r>
      <w:r>
        <w:rPr/>
        <w:t>conditions.</w:t>
      </w:r>
      <w:r>
        <w:rPr>
          <w:spacing w:val="7"/>
        </w:rPr>
        <w:t> </w:t>
      </w:r>
      <w:r>
        <w:rPr/>
        <w:t>This</w:t>
      </w:r>
      <w:r>
        <w:rPr>
          <w:spacing w:val="-10"/>
        </w:rPr>
        <w:t> </w:t>
      </w:r>
      <w:r>
        <w:rPr/>
        <w:t>emphasizes</w:t>
      </w:r>
      <w:r>
        <w:rPr>
          <w:spacing w:val="-9"/>
        </w:rPr>
        <w:t> </w:t>
      </w:r>
      <w:r>
        <w:rPr>
          <w:spacing w:val="-4"/>
        </w:rPr>
        <w:t>the </w:t>
      </w:r>
      <w:r>
        <w:rPr/>
        <w:t>necessity for comprehensive reforms to address these</w:t>
      </w:r>
      <w:r>
        <w:rPr>
          <w:spacing w:val="-12"/>
        </w:rPr>
        <w:t> </w:t>
      </w:r>
      <w:r>
        <w:rPr/>
        <w:t>vulnerabilities.</w:t>
      </w:r>
    </w:p>
    <w:p>
      <w:pPr>
        <w:pStyle w:val="BodyText"/>
        <w:spacing w:line="364" w:lineRule="auto" w:before="31"/>
        <w:ind w:left="120" w:right="112" w:firstLine="298"/>
        <w:jc w:val="both"/>
      </w:pPr>
      <w:r>
        <w:rPr/>
        <w:t>The</w:t>
      </w:r>
      <w:r>
        <w:rPr>
          <w:spacing w:val="-5"/>
        </w:rPr>
        <w:t> </w:t>
      </w:r>
      <w:r>
        <w:rPr/>
        <w:t>Eurosystem’s</w:t>
      </w:r>
      <w:r>
        <w:rPr>
          <w:spacing w:val="-5"/>
        </w:rPr>
        <w:t> </w:t>
      </w:r>
      <w:r>
        <w:rPr/>
        <w:t>current</w:t>
      </w:r>
      <w:r>
        <w:rPr>
          <w:spacing w:val="-5"/>
        </w:rPr>
        <w:t> </w:t>
      </w:r>
      <w:r>
        <w:rPr/>
        <w:t>reporting</w:t>
      </w:r>
      <w:r>
        <w:rPr>
          <w:spacing w:val="-5"/>
        </w:rPr>
        <w:t> </w:t>
      </w:r>
      <w:r>
        <w:rPr/>
        <w:t>procedures</w:t>
      </w:r>
      <w:r>
        <w:rPr>
          <w:spacing w:val="-5"/>
        </w:rPr>
        <w:t> </w:t>
      </w:r>
      <w:r>
        <w:rPr/>
        <w:t>and</w:t>
      </w:r>
      <w:r>
        <w:rPr>
          <w:spacing w:val="-4"/>
        </w:rPr>
        <w:t> </w:t>
      </w:r>
      <w:r>
        <w:rPr/>
        <w:t>lack</w:t>
      </w:r>
      <w:r>
        <w:rPr>
          <w:spacing w:val="-5"/>
        </w:rPr>
        <w:t> </w:t>
      </w:r>
      <w:r>
        <w:rPr/>
        <w:t>of</w:t>
      </w:r>
      <w:r>
        <w:rPr>
          <w:spacing w:val="-5"/>
        </w:rPr>
        <w:t> </w:t>
      </w:r>
      <w:r>
        <w:rPr/>
        <w:t>transparency</w:t>
      </w:r>
      <w:r>
        <w:rPr>
          <w:spacing w:val="-5"/>
        </w:rPr>
        <w:t> </w:t>
      </w:r>
      <w:r>
        <w:rPr/>
        <w:t>in</w:t>
      </w:r>
      <w:r>
        <w:rPr>
          <w:spacing w:val="-5"/>
        </w:rPr>
        <w:t> </w:t>
      </w:r>
      <w:r>
        <w:rPr/>
        <w:t>tracking</w:t>
      </w:r>
      <w:r>
        <w:rPr>
          <w:spacing w:val="-5"/>
        </w:rPr>
        <w:t> </w:t>
      </w:r>
      <w:r>
        <w:rPr/>
        <w:t>individual balances between National Central Banks (NCBs) pose significant challenges. The </w:t>
      </w:r>
      <w:r>
        <w:rPr>
          <w:spacing w:val="-3"/>
        </w:rPr>
        <w:t>irreversible </w:t>
      </w:r>
      <w:r>
        <w:rPr/>
        <w:t>nature</w:t>
      </w:r>
      <w:r>
        <w:rPr>
          <w:spacing w:val="-7"/>
        </w:rPr>
        <w:t> </w:t>
      </w:r>
      <w:r>
        <w:rPr/>
        <w:t>of</w:t>
      </w:r>
      <w:r>
        <w:rPr>
          <w:spacing w:val="-7"/>
        </w:rPr>
        <w:t> </w:t>
      </w:r>
      <w:r>
        <w:rPr/>
        <w:t>the</w:t>
      </w:r>
      <w:r>
        <w:rPr>
          <w:spacing w:val="-7"/>
        </w:rPr>
        <w:t> </w:t>
      </w:r>
      <w:r>
        <w:rPr/>
        <w:t>current</w:t>
      </w:r>
      <w:r>
        <w:rPr>
          <w:spacing w:val="-7"/>
        </w:rPr>
        <w:t> </w:t>
      </w:r>
      <w:r>
        <w:rPr>
          <w:spacing w:val="-4"/>
        </w:rPr>
        <w:t>TARGET</w:t>
      </w:r>
      <w:r>
        <w:rPr>
          <w:spacing w:val="-7"/>
        </w:rPr>
        <w:t> </w:t>
      </w:r>
      <w:r>
        <w:rPr/>
        <w:t>balance</w:t>
      </w:r>
      <w:r>
        <w:rPr>
          <w:spacing w:val="-7"/>
        </w:rPr>
        <w:t> </w:t>
      </w:r>
      <w:r>
        <w:rPr/>
        <w:t>reporting</w:t>
      </w:r>
      <w:r>
        <w:rPr>
          <w:spacing w:val="-7"/>
        </w:rPr>
        <w:t> </w:t>
      </w:r>
      <w:r>
        <w:rPr/>
        <w:t>makes</w:t>
      </w:r>
      <w:r>
        <w:rPr>
          <w:spacing w:val="-6"/>
        </w:rPr>
        <w:t> </w:t>
      </w:r>
      <w:r>
        <w:rPr/>
        <w:t>it</w:t>
      </w:r>
      <w:r>
        <w:rPr>
          <w:spacing w:val="-7"/>
        </w:rPr>
        <w:t> </w:t>
      </w:r>
      <w:r>
        <w:rPr/>
        <w:t>impossible</w:t>
      </w:r>
      <w:r>
        <w:rPr>
          <w:spacing w:val="-7"/>
        </w:rPr>
        <w:t> </w:t>
      </w:r>
      <w:r>
        <w:rPr/>
        <w:t>to</w:t>
      </w:r>
      <w:r>
        <w:rPr>
          <w:spacing w:val="-7"/>
        </w:rPr>
        <w:t> </w:t>
      </w:r>
      <w:r>
        <w:rPr/>
        <w:t>reconstruct</w:t>
      </w:r>
      <w:r>
        <w:rPr>
          <w:spacing w:val="-7"/>
        </w:rPr>
        <w:t> </w:t>
      </w:r>
      <w:r>
        <w:rPr/>
        <w:t>detailed</w:t>
      </w:r>
      <w:r>
        <w:rPr>
          <w:spacing w:val="-7"/>
        </w:rPr>
        <w:t> </w:t>
      </w:r>
      <w:r>
        <w:rPr/>
        <w:t>inter- NCB transactions, which is crucial for understanding and mitigating potential defaults and their implications.</w:t>
      </w:r>
    </w:p>
    <w:p>
      <w:pPr>
        <w:pStyle w:val="BodyText"/>
        <w:spacing w:line="364" w:lineRule="auto" w:before="31"/>
        <w:ind w:left="120" w:right="112" w:firstLine="298"/>
        <w:jc w:val="both"/>
      </w:pPr>
      <w:r>
        <w:rPr/>
        <w:t>Furthermore, the erosion of self-imposed regulations, including debt ceilings and collateral</w:t>
      </w:r>
      <w:r>
        <w:rPr>
          <w:spacing w:val="-32"/>
        </w:rPr>
        <w:t> </w:t>
      </w:r>
      <w:r>
        <w:rPr>
          <w:spacing w:val="-5"/>
        </w:rPr>
        <w:t>re- </w:t>
      </w:r>
      <w:r>
        <w:rPr/>
        <w:t>quirements,</w:t>
      </w:r>
      <w:r>
        <w:rPr>
          <w:spacing w:val="-3"/>
        </w:rPr>
        <w:t> </w:t>
      </w:r>
      <w:r>
        <w:rPr/>
        <w:t>as</w:t>
      </w:r>
      <w:r>
        <w:rPr>
          <w:spacing w:val="-4"/>
        </w:rPr>
        <w:t> </w:t>
      </w:r>
      <w:r>
        <w:rPr/>
        <w:t>well</w:t>
      </w:r>
      <w:r>
        <w:rPr>
          <w:spacing w:val="-4"/>
        </w:rPr>
        <w:t> </w:t>
      </w:r>
      <w:r>
        <w:rPr/>
        <w:t>as</w:t>
      </w:r>
      <w:r>
        <w:rPr>
          <w:spacing w:val="-4"/>
        </w:rPr>
        <w:t> </w:t>
      </w:r>
      <w:r>
        <w:rPr/>
        <w:t>the</w:t>
      </w:r>
      <w:r>
        <w:rPr>
          <w:spacing w:val="-4"/>
        </w:rPr>
        <w:t> </w:t>
      </w:r>
      <w:r>
        <w:rPr/>
        <w:t>utilization</w:t>
      </w:r>
      <w:r>
        <w:rPr>
          <w:spacing w:val="-4"/>
        </w:rPr>
        <w:t> </w:t>
      </w:r>
      <w:r>
        <w:rPr/>
        <w:t>of</w:t>
      </w:r>
      <w:r>
        <w:rPr>
          <w:spacing w:val="-4"/>
        </w:rPr>
        <w:t> </w:t>
      </w:r>
      <w:r>
        <w:rPr/>
        <w:t>ELA</w:t>
      </w:r>
      <w:r>
        <w:rPr>
          <w:spacing w:val="-4"/>
        </w:rPr>
        <w:t> </w:t>
      </w:r>
      <w:r>
        <w:rPr/>
        <w:t>and</w:t>
      </w:r>
      <w:r>
        <w:rPr>
          <w:spacing w:val="-3"/>
        </w:rPr>
        <w:t> </w:t>
      </w:r>
      <w:r>
        <w:rPr>
          <w:spacing w:val="-4"/>
        </w:rPr>
        <w:t>ANFA, </w:t>
      </w:r>
      <w:r>
        <w:rPr/>
        <w:t>emphasizes</w:t>
      </w:r>
      <w:r>
        <w:rPr>
          <w:spacing w:val="-4"/>
        </w:rPr>
        <w:t> </w:t>
      </w:r>
      <w:r>
        <w:rPr/>
        <w:t>the</w:t>
      </w:r>
      <w:r>
        <w:rPr>
          <w:spacing w:val="-4"/>
        </w:rPr>
        <w:t> </w:t>
      </w:r>
      <w:r>
        <w:rPr/>
        <w:t>necessity</w:t>
      </w:r>
      <w:r>
        <w:rPr>
          <w:spacing w:val="-4"/>
        </w:rPr>
        <w:t> </w:t>
      </w:r>
      <w:r>
        <w:rPr/>
        <w:t>for</w:t>
      </w:r>
      <w:r>
        <w:rPr>
          <w:spacing w:val="-4"/>
        </w:rPr>
        <w:t> </w:t>
      </w:r>
      <w:r>
        <w:rPr/>
        <w:t>more</w:t>
      </w:r>
      <w:r>
        <w:rPr>
          <w:spacing w:val="-4"/>
        </w:rPr>
        <w:t> </w:t>
      </w:r>
      <w:r>
        <w:rPr/>
        <w:t>strin- gent regulatory structures and improved governance. The continuous (re)issuance of sovereign bonds as collateral also highlights the systemic risks linked to uncontrolled debt</w:t>
      </w:r>
      <w:r>
        <w:rPr>
          <w:spacing w:val="-36"/>
        </w:rPr>
        <w:t> </w:t>
      </w:r>
      <w:r>
        <w:rPr/>
        <w:t>accumulation.</w:t>
      </w:r>
    </w:p>
    <w:p>
      <w:pPr>
        <w:pStyle w:val="BodyText"/>
        <w:spacing w:line="364" w:lineRule="auto" w:before="32"/>
        <w:ind w:left="120" w:right="112" w:firstLine="298"/>
        <w:jc w:val="both"/>
      </w:pPr>
      <w:r>
        <w:rPr/>
        <w:t>In</w:t>
      </w:r>
      <w:r>
        <w:rPr>
          <w:spacing w:val="-12"/>
        </w:rPr>
        <w:t> </w:t>
      </w:r>
      <w:r>
        <w:rPr/>
        <w:t>conclusion,</w:t>
      </w:r>
      <w:r>
        <w:rPr>
          <w:spacing w:val="-11"/>
        </w:rPr>
        <w:t> </w:t>
      </w:r>
      <w:r>
        <w:rPr/>
        <w:t>the</w:t>
      </w:r>
      <w:r>
        <w:rPr>
          <w:spacing w:val="-11"/>
        </w:rPr>
        <w:t> </w:t>
      </w:r>
      <w:r>
        <w:rPr/>
        <w:t>Eurosystem’s</w:t>
      </w:r>
      <w:r>
        <w:rPr>
          <w:spacing w:val="-11"/>
        </w:rPr>
        <w:t> </w:t>
      </w:r>
      <w:r>
        <w:rPr/>
        <w:t>vulnerabilities</w:t>
      </w:r>
      <w:r>
        <w:rPr>
          <w:spacing w:val="-11"/>
        </w:rPr>
        <w:t> </w:t>
      </w:r>
      <w:r>
        <w:rPr/>
        <w:t>necessitate</w:t>
      </w:r>
      <w:r>
        <w:rPr>
          <w:spacing w:val="-11"/>
        </w:rPr>
        <w:t> </w:t>
      </w:r>
      <w:r>
        <w:rPr/>
        <w:t>a</w:t>
      </w:r>
      <w:r>
        <w:rPr>
          <w:spacing w:val="-11"/>
        </w:rPr>
        <w:t> </w:t>
      </w:r>
      <w:r>
        <w:rPr/>
        <w:t>comprehensive</w:t>
      </w:r>
      <w:r>
        <w:rPr>
          <w:spacing w:val="-12"/>
        </w:rPr>
        <w:t> </w:t>
      </w:r>
      <w:r>
        <w:rPr/>
        <w:t>overhaul</w:t>
      </w:r>
      <w:r>
        <w:rPr>
          <w:spacing w:val="-11"/>
        </w:rPr>
        <w:t> </w:t>
      </w:r>
      <w:r>
        <w:rPr/>
        <w:t>to</w:t>
      </w:r>
      <w:r>
        <w:rPr>
          <w:spacing w:val="-11"/>
        </w:rPr>
        <w:t> </w:t>
      </w:r>
      <w:r>
        <w:rPr/>
        <w:t>ensure financial</w:t>
      </w:r>
      <w:r>
        <w:rPr>
          <w:spacing w:val="-11"/>
        </w:rPr>
        <w:t> </w:t>
      </w:r>
      <w:r>
        <w:rPr/>
        <w:t>stability</w:t>
      </w:r>
      <w:r>
        <w:rPr>
          <w:spacing w:val="-9"/>
        </w:rPr>
        <w:t> </w:t>
      </w:r>
      <w:r>
        <w:rPr/>
        <w:t>and</w:t>
      </w:r>
      <w:r>
        <w:rPr>
          <w:spacing w:val="-10"/>
        </w:rPr>
        <w:t> </w:t>
      </w:r>
      <w:r>
        <w:rPr/>
        <w:t>prevent</w:t>
      </w:r>
      <w:r>
        <w:rPr>
          <w:spacing w:val="-9"/>
        </w:rPr>
        <w:t> </w:t>
      </w:r>
      <w:r>
        <w:rPr/>
        <w:t>opportunistic</w:t>
      </w:r>
      <w:r>
        <w:rPr>
          <w:spacing w:val="-10"/>
        </w:rPr>
        <w:t> </w:t>
      </w:r>
      <w:r>
        <w:rPr/>
        <w:t>exploitation.</w:t>
      </w:r>
      <w:r>
        <w:rPr>
          <w:spacing w:val="5"/>
        </w:rPr>
        <w:t> </w:t>
      </w:r>
      <w:r>
        <w:rPr/>
        <w:t>Only</w:t>
      </w:r>
      <w:r>
        <w:rPr>
          <w:spacing w:val="-9"/>
        </w:rPr>
        <w:t> </w:t>
      </w:r>
      <w:r>
        <w:rPr/>
        <w:t>through</w:t>
      </w:r>
      <w:r>
        <w:rPr>
          <w:spacing w:val="-10"/>
        </w:rPr>
        <w:t> </w:t>
      </w:r>
      <w:r>
        <w:rPr/>
        <w:t>robust</w:t>
      </w:r>
      <w:r>
        <w:rPr>
          <w:spacing w:val="-9"/>
        </w:rPr>
        <w:t> </w:t>
      </w:r>
      <w:r>
        <w:rPr/>
        <w:t>reforms</w:t>
      </w:r>
      <w:r>
        <w:rPr>
          <w:spacing w:val="-9"/>
        </w:rPr>
        <w:t> </w:t>
      </w:r>
      <w:r>
        <w:rPr/>
        <w:t>can</w:t>
      </w:r>
      <w:r>
        <w:rPr>
          <w:spacing w:val="-11"/>
        </w:rPr>
        <w:t> </w:t>
      </w:r>
      <w:r>
        <w:rPr/>
        <w:t>the</w:t>
      </w:r>
      <w:r>
        <w:rPr>
          <w:spacing w:val="-9"/>
        </w:rPr>
        <w:t> </w:t>
      </w:r>
      <w:r>
        <w:rPr/>
        <w:t>Eu- rosystem</w:t>
      </w:r>
      <w:r>
        <w:rPr>
          <w:spacing w:val="-13"/>
        </w:rPr>
        <w:t> </w:t>
      </w:r>
      <w:r>
        <w:rPr/>
        <w:t>address</w:t>
      </w:r>
      <w:r>
        <w:rPr>
          <w:spacing w:val="-11"/>
        </w:rPr>
        <w:t> </w:t>
      </w:r>
      <w:r>
        <w:rPr/>
        <w:t>these</w:t>
      </w:r>
      <w:r>
        <w:rPr>
          <w:spacing w:val="-13"/>
        </w:rPr>
        <w:t> </w:t>
      </w:r>
      <w:r>
        <w:rPr/>
        <w:t>challenges</w:t>
      </w:r>
      <w:r>
        <w:rPr>
          <w:spacing w:val="-12"/>
        </w:rPr>
        <w:t> </w:t>
      </w:r>
      <w:r>
        <w:rPr/>
        <w:t>and</w:t>
      </w:r>
      <w:r>
        <w:rPr>
          <w:spacing w:val="-11"/>
        </w:rPr>
        <w:t> </w:t>
      </w:r>
      <w:r>
        <w:rPr/>
        <w:t>ensure</w:t>
      </w:r>
      <w:r>
        <w:rPr>
          <w:spacing w:val="-13"/>
        </w:rPr>
        <w:t> </w:t>
      </w:r>
      <w:r>
        <w:rPr/>
        <w:t>a</w:t>
      </w:r>
      <w:r>
        <w:rPr>
          <w:spacing w:val="-12"/>
        </w:rPr>
        <w:t> </w:t>
      </w:r>
      <w:r>
        <w:rPr/>
        <w:t>more</w:t>
      </w:r>
      <w:r>
        <w:rPr>
          <w:spacing w:val="-12"/>
        </w:rPr>
        <w:t> </w:t>
      </w:r>
      <w:r>
        <w:rPr/>
        <w:t>resilient</w:t>
      </w:r>
      <w:r>
        <w:rPr>
          <w:spacing w:val="-12"/>
        </w:rPr>
        <w:t> </w:t>
      </w:r>
      <w:r>
        <w:rPr/>
        <w:t>and</w:t>
      </w:r>
      <w:r>
        <w:rPr>
          <w:spacing w:val="-12"/>
        </w:rPr>
        <w:t> </w:t>
      </w:r>
      <w:r>
        <w:rPr/>
        <w:t>transparent</w:t>
      </w:r>
      <w:r>
        <w:rPr>
          <w:spacing w:val="-12"/>
        </w:rPr>
        <w:t> </w:t>
      </w:r>
      <w:r>
        <w:rPr/>
        <w:t>financial</w:t>
      </w:r>
      <w:r>
        <w:rPr>
          <w:spacing w:val="-12"/>
        </w:rPr>
        <w:t> </w:t>
      </w:r>
      <w:r>
        <w:rPr/>
        <w:t>framework for all of its member</w:t>
      </w:r>
      <w:r>
        <w:rPr>
          <w:spacing w:val="-6"/>
        </w:rPr>
        <w:t> </w:t>
      </w:r>
      <w:r>
        <w:rPr/>
        <w:t>states.</w:t>
      </w:r>
    </w:p>
    <w:p>
      <w:pPr>
        <w:pStyle w:val="BodyText"/>
        <w:rPr>
          <w:sz w:val="28"/>
        </w:rPr>
      </w:pPr>
    </w:p>
    <w:p>
      <w:pPr>
        <w:pStyle w:val="BodyText"/>
        <w:spacing w:before="4"/>
        <w:rPr>
          <w:sz w:val="34"/>
        </w:rPr>
      </w:pPr>
    </w:p>
    <w:p>
      <w:pPr>
        <w:spacing w:before="0"/>
        <w:ind w:left="418" w:right="0" w:firstLine="0"/>
        <w:jc w:val="left"/>
        <w:rPr>
          <w:b/>
          <w:sz w:val="22"/>
        </w:rPr>
      </w:pPr>
      <w:bookmarkStart w:name="Acknowledgments" w:id="23"/>
      <w:bookmarkEnd w:id="23"/>
      <w:r>
        <w:rPr/>
      </w:r>
      <w:r>
        <w:rPr>
          <w:b/>
          <w:sz w:val="22"/>
        </w:rPr>
        <w:t>ACKNOWLEDGMENTS</w:t>
      </w:r>
    </w:p>
    <w:p>
      <w:pPr>
        <w:pStyle w:val="BodyText"/>
        <w:spacing w:before="6"/>
        <w:rPr>
          <w:b/>
          <w:sz w:val="40"/>
        </w:rPr>
      </w:pPr>
    </w:p>
    <w:p>
      <w:pPr>
        <w:pStyle w:val="BodyText"/>
        <w:spacing w:line="364" w:lineRule="auto"/>
        <w:ind w:left="120" w:right="101" w:firstLine="298"/>
      </w:pPr>
      <w:r>
        <w:rPr/>
        <w:t>I</w:t>
      </w:r>
      <w:r>
        <w:rPr>
          <w:spacing w:val="-20"/>
        </w:rPr>
        <w:t> </w:t>
      </w:r>
      <w:r>
        <w:rPr/>
        <w:t>gratefully</w:t>
      </w:r>
      <w:r>
        <w:rPr>
          <w:spacing w:val="-20"/>
        </w:rPr>
        <w:t> </w:t>
      </w:r>
      <w:r>
        <w:rPr/>
        <w:t>acknowledge</w:t>
      </w:r>
      <w:r>
        <w:rPr>
          <w:spacing w:val="-19"/>
        </w:rPr>
        <w:t> </w:t>
      </w:r>
      <w:r>
        <w:rPr/>
        <w:t>invitations</w:t>
      </w:r>
      <w:r>
        <w:rPr>
          <w:spacing w:val="-20"/>
        </w:rPr>
        <w:t> </w:t>
      </w:r>
      <w:r>
        <w:rPr/>
        <w:t>to</w:t>
      </w:r>
      <w:r>
        <w:rPr>
          <w:spacing w:val="-19"/>
        </w:rPr>
        <w:t> </w:t>
      </w:r>
      <w:r>
        <w:rPr/>
        <w:t>previous</w:t>
      </w:r>
      <w:r>
        <w:rPr>
          <w:spacing w:val="-20"/>
        </w:rPr>
        <w:t> </w:t>
      </w:r>
      <w:r>
        <w:rPr/>
        <w:t>“Volkswirtschaftliche</w:t>
      </w:r>
      <w:r>
        <w:rPr>
          <w:spacing w:val="-19"/>
        </w:rPr>
        <w:t> </w:t>
      </w:r>
      <w:r>
        <w:rPr>
          <w:spacing w:val="-3"/>
        </w:rPr>
        <w:t>Tagungen”</w:t>
      </w:r>
      <w:r>
        <w:rPr>
          <w:spacing w:val="-20"/>
        </w:rPr>
        <w:t> </w:t>
      </w:r>
      <w:r>
        <w:rPr/>
        <w:t>of</w:t>
      </w:r>
      <w:r>
        <w:rPr>
          <w:spacing w:val="-20"/>
        </w:rPr>
        <w:t> </w:t>
      </w:r>
      <w:r>
        <w:rPr/>
        <w:t>the</w:t>
      </w:r>
      <w:r>
        <w:rPr>
          <w:spacing w:val="-19"/>
        </w:rPr>
        <w:t> </w:t>
      </w:r>
      <w:r>
        <w:rPr/>
        <w:t>OeNB, the Austrian NCB of the Eurosystem, where some of these issues </w:t>
      </w:r>
      <w:r>
        <w:rPr>
          <w:spacing w:val="-3"/>
        </w:rPr>
        <w:t>have </w:t>
      </w:r>
      <w:r>
        <w:rPr/>
        <w:t>been</w:t>
      </w:r>
      <w:r>
        <w:rPr>
          <w:spacing w:val="-21"/>
        </w:rPr>
        <w:t> </w:t>
      </w:r>
      <w:r>
        <w:rPr/>
        <w:t>discussed.</w:t>
      </w:r>
    </w:p>
    <w:p>
      <w:pPr>
        <w:pStyle w:val="BodyText"/>
        <w:spacing w:before="35"/>
        <w:ind w:left="418"/>
      </w:pPr>
      <w:r>
        <w:rPr/>
        <w:t>The author declares no conflict of interest.</w:t>
      </w:r>
    </w:p>
    <w:p>
      <w:pPr>
        <w:pStyle w:val="BodyText"/>
        <w:spacing w:line="364" w:lineRule="auto" w:before="179"/>
        <w:ind w:left="120" w:firstLine="298"/>
      </w:pPr>
      <w:r>
        <w:rPr/>
        <w:t>The AI assistants ChatGPT 4o from OpenAI, mistral chat of mistral.ai,as well as Claude from Anthropic were used </w:t>
      </w:r>
      <w:bookmarkStart w:name="References" w:id="24"/>
      <w:bookmarkEnd w:id="24"/>
      <w:r>
        <w:rPr/>
        <w:t>for</w:t>
      </w:r>
      <w:r>
        <w:rPr/>
        <w:t> grammar and syntax checks.</w:t>
      </w:r>
    </w:p>
    <w:p>
      <w:pPr>
        <w:pStyle w:val="BodyText"/>
        <w:spacing w:before="5"/>
        <w:rPr>
          <w:sz w:val="23"/>
        </w:rPr>
      </w:pPr>
      <w:r>
        <w:rPr/>
        <w:pict>
          <v:group style="position:absolute;margin-left:182.834pt;margin-top:15.458414pt;width:244.6pt;height:1.25pt;mso-position-horizontal-relative:page;mso-position-vertical-relative:paragraph;z-index:-15727104;mso-wrap-distance-left:0;mso-wrap-distance-right:0" coordorigin="3657,309" coordsize="4892,25">
            <v:line style="position:absolute" from="3657,322" to="8548,322" stroked="true" strokeweight=".498pt" strokecolor="#000000">
              <v:stroke dashstyle="solid"/>
            </v:line>
            <v:line style="position:absolute" from="4268,322" to="7937,322" stroked="true" strokeweight=".747pt" strokecolor="#000000">
              <v:stroke dashstyle="solid"/>
            </v:line>
            <v:line style="position:absolute" from="4880,322" to="7325,322" stroked="true" strokeweight=".996pt" strokecolor="#000000">
              <v:stroke dashstyle="solid"/>
            </v:line>
            <v:rect style="position:absolute;left:5491;top:309;width:1223;height:25" filled="true" fillcolor="#000000" stroked="false">
              <v:fill type="solid"/>
            </v:rect>
            <w10:wrap type="topAndBottom"/>
          </v:group>
        </w:pict>
      </w:r>
    </w:p>
    <w:p>
      <w:pPr>
        <w:pStyle w:val="BodyText"/>
        <w:rPr>
          <w:sz w:val="20"/>
        </w:rPr>
      </w:pPr>
    </w:p>
    <w:p>
      <w:pPr>
        <w:pStyle w:val="BodyText"/>
        <w:spacing w:before="9"/>
        <w:rPr>
          <w:sz w:val="23"/>
        </w:rPr>
      </w:pPr>
    </w:p>
    <w:p>
      <w:pPr>
        <w:spacing w:line="410" w:lineRule="auto" w:before="98"/>
        <w:ind w:left="120" w:right="112" w:firstLine="0"/>
        <w:jc w:val="both"/>
        <w:rPr>
          <w:sz w:val="22"/>
        </w:rPr>
      </w:pPr>
      <w:bookmarkStart w:name="_bookmark1" w:id="25"/>
      <w:bookmarkEnd w:id="25"/>
      <w:r>
        <w:rPr/>
      </w:r>
      <w:r>
        <w:rPr>
          <w:w w:val="99"/>
          <w:sz w:val="22"/>
        </w:rPr>
        <w:t>Ac</w:t>
      </w:r>
      <w:r>
        <w:rPr>
          <w:spacing w:val="-3"/>
          <w:w w:val="99"/>
          <w:sz w:val="22"/>
        </w:rPr>
        <w:t>k</w:t>
      </w:r>
      <w:r>
        <w:rPr>
          <w:w w:val="99"/>
          <w:sz w:val="22"/>
        </w:rPr>
        <w:t>erle</w:t>
      </w:r>
      <w:r>
        <w:rPr>
          <w:spacing w:val="-9"/>
          <w:w w:val="99"/>
          <w:sz w:val="22"/>
        </w:rPr>
        <w:t>r</w:t>
      </w:r>
      <w:r>
        <w:rPr>
          <w:w w:val="99"/>
          <w:sz w:val="22"/>
        </w:rPr>
        <w:t>,</w:t>
      </w:r>
      <w:r>
        <w:rPr>
          <w:sz w:val="22"/>
        </w:rPr>
        <w:t> </w:t>
      </w:r>
      <w:r>
        <w:rPr>
          <w:spacing w:val="-18"/>
          <w:sz w:val="22"/>
        </w:rPr>
        <w:t> </w:t>
      </w:r>
      <w:r>
        <w:rPr>
          <w:w w:val="99"/>
          <w:sz w:val="22"/>
        </w:rPr>
        <w:t>M.</w:t>
      </w:r>
      <w:r>
        <w:rPr>
          <w:sz w:val="22"/>
        </w:rPr>
        <w:t> </w:t>
      </w:r>
      <w:r>
        <w:rPr>
          <w:spacing w:val="-26"/>
          <w:sz w:val="22"/>
        </w:rPr>
        <w:t> </w:t>
      </w:r>
      <w:r>
        <w:rPr>
          <w:w w:val="99"/>
          <w:sz w:val="22"/>
        </w:rPr>
        <w:t>(2024).</w:t>
      </w:r>
      <w:r>
        <w:rPr>
          <w:sz w:val="22"/>
        </w:rPr>
        <w:t>  </w:t>
      </w:r>
      <w:r>
        <w:rPr>
          <w:spacing w:val="10"/>
          <w:sz w:val="22"/>
        </w:rPr>
        <w:t> </w:t>
      </w:r>
      <w:r>
        <w:rPr>
          <w:w w:val="99"/>
          <w:sz w:val="22"/>
        </w:rPr>
        <w:t>OeNB-</w:t>
      </w:r>
      <w:r>
        <w:rPr>
          <w:spacing w:val="-18"/>
          <w:w w:val="99"/>
          <w:sz w:val="22"/>
        </w:rPr>
        <w:t>W</w:t>
      </w:r>
      <w:r>
        <w:rPr>
          <w:w w:val="99"/>
          <w:sz w:val="22"/>
        </w:rPr>
        <w:t>ebsite:</w:t>
      </w:r>
      <w:r>
        <w:rPr>
          <w:sz w:val="22"/>
        </w:rPr>
        <w:t> </w:t>
      </w:r>
      <w:r>
        <w:rPr>
          <w:spacing w:val="18"/>
          <w:sz w:val="22"/>
        </w:rPr>
        <w:t> </w:t>
      </w:r>
      <w:r>
        <w:rPr>
          <w:w w:val="99"/>
          <w:sz w:val="22"/>
        </w:rPr>
        <w:t>Matrix</w:t>
      </w:r>
      <w:r>
        <w:rPr>
          <w:sz w:val="22"/>
        </w:rPr>
        <w:t> </w:t>
      </w:r>
      <w:r>
        <w:rPr>
          <w:spacing w:val="-26"/>
          <w:sz w:val="22"/>
        </w:rPr>
        <w:t> </w:t>
      </w:r>
      <w:r>
        <w:rPr>
          <w:w w:val="99"/>
          <w:sz w:val="22"/>
        </w:rPr>
        <w:t>der</w:t>
      </w:r>
      <w:r>
        <w:rPr>
          <w:sz w:val="22"/>
        </w:rPr>
        <w:t> </w:t>
      </w:r>
      <w:r>
        <w:rPr>
          <w:spacing w:val="-26"/>
          <w:sz w:val="22"/>
        </w:rPr>
        <w:t> </w:t>
      </w:r>
      <w:r>
        <w:rPr>
          <w:spacing w:val="-18"/>
          <w:w w:val="99"/>
          <w:sz w:val="22"/>
        </w:rPr>
        <w:t>T</w:t>
      </w:r>
      <w:r>
        <w:rPr>
          <w:w w:val="99"/>
          <w:sz w:val="22"/>
        </w:rPr>
        <w:t>a</w:t>
      </w:r>
      <w:r>
        <w:rPr>
          <w:spacing w:val="-4"/>
          <w:w w:val="99"/>
          <w:sz w:val="22"/>
        </w:rPr>
        <w:t>r</w:t>
      </w:r>
      <w:r>
        <w:rPr>
          <w:w w:val="99"/>
          <w:sz w:val="22"/>
        </w:rPr>
        <w:t>get</w:t>
      </w:r>
      <w:r>
        <w:rPr>
          <w:sz w:val="22"/>
        </w:rPr>
        <w:t> </w:t>
      </w:r>
      <w:r>
        <w:rPr>
          <w:spacing w:val="-26"/>
          <w:sz w:val="22"/>
        </w:rPr>
        <w:t> </w:t>
      </w:r>
      <w:r>
        <w:rPr>
          <w:w w:val="99"/>
          <w:sz w:val="22"/>
        </w:rPr>
        <w:t>Salden</w:t>
      </w:r>
      <w:r>
        <w:rPr>
          <w:sz w:val="22"/>
        </w:rPr>
        <w:t> </w:t>
      </w:r>
      <w:r>
        <w:rPr>
          <w:spacing w:val="-26"/>
          <w:sz w:val="22"/>
        </w:rPr>
        <w:t> </w:t>
      </w:r>
      <w:r>
        <w:rPr>
          <w:w w:val="99"/>
          <w:sz w:val="22"/>
        </w:rPr>
        <w:t>nach</w:t>
      </w:r>
      <w:r>
        <w:rPr>
          <w:sz w:val="22"/>
        </w:rPr>
        <w:t> </w:t>
      </w:r>
      <w:r>
        <w:rPr>
          <w:spacing w:val="-26"/>
          <w:sz w:val="22"/>
        </w:rPr>
        <w:t> </w:t>
      </w:r>
      <w:r>
        <w:rPr>
          <w:w w:val="99"/>
          <w:sz w:val="22"/>
        </w:rPr>
        <w:t>L</w:t>
      </w:r>
      <w:r>
        <w:rPr>
          <w:spacing w:val="-85"/>
          <w:w w:val="99"/>
          <w:sz w:val="22"/>
        </w:rPr>
        <w:t>a</w:t>
      </w:r>
      <w:r>
        <w:rPr>
          <w:spacing w:val="12"/>
          <w:w w:val="99"/>
          <w:sz w:val="22"/>
        </w:rPr>
        <w:t>¨</w:t>
      </w:r>
      <w:r>
        <w:rPr>
          <w:w w:val="99"/>
          <w:sz w:val="22"/>
        </w:rPr>
        <w:t>ndern</w:t>
      </w:r>
      <w:r>
        <w:rPr>
          <w:sz w:val="22"/>
        </w:rPr>
        <w:t> </w:t>
      </w:r>
      <w:r>
        <w:rPr>
          <w:spacing w:val="-26"/>
          <w:sz w:val="22"/>
        </w:rPr>
        <w:t> </w:t>
      </w:r>
      <w:r>
        <w:rPr>
          <w:w w:val="99"/>
          <w:sz w:val="22"/>
        </w:rPr>
        <w:t>(pro</w:t>
      </w:r>
      <w:r>
        <w:rPr>
          <w:sz w:val="22"/>
        </w:rPr>
        <w:t> </w:t>
      </w:r>
      <w:r>
        <w:rPr>
          <w:spacing w:val="-26"/>
          <w:sz w:val="22"/>
        </w:rPr>
        <w:t> </w:t>
      </w:r>
      <w:r>
        <w:rPr>
          <w:w w:val="99"/>
          <w:sz w:val="22"/>
        </w:rPr>
        <w:t>Jahr)?</w:t>
      </w:r>
      <w:r>
        <w:rPr>
          <w:sz w:val="22"/>
        </w:rPr>
        <w:t>    </w:t>
      </w:r>
      <w:r>
        <w:rPr>
          <w:spacing w:val="-27"/>
          <w:sz w:val="22"/>
        </w:rPr>
        <w:t> </w:t>
      </w:r>
      <w:r>
        <w:rPr>
          <w:w w:val="99"/>
          <w:sz w:val="22"/>
        </w:rPr>
        <w:t>Abteilung </w:t>
      </w:r>
      <w:r>
        <w:rPr>
          <w:w w:val="99"/>
          <w:sz w:val="22"/>
        </w:rPr>
        <w:t>f</w:t>
      </w:r>
      <w:r>
        <w:rPr>
          <w:spacing w:val="-91"/>
          <w:w w:val="99"/>
          <w:sz w:val="22"/>
        </w:rPr>
        <w:t>u</w:t>
      </w:r>
      <w:r>
        <w:rPr>
          <w:spacing w:val="18"/>
          <w:w w:val="99"/>
          <w:sz w:val="22"/>
        </w:rPr>
        <w:t>¨</w:t>
      </w:r>
      <w:r>
        <w:rPr>
          <w:w w:val="99"/>
          <w:sz w:val="22"/>
        </w:rPr>
        <w:t>r</w:t>
      </w:r>
      <w:r>
        <w:rPr>
          <w:spacing w:val="6"/>
          <w:sz w:val="22"/>
        </w:rPr>
        <w:t> </w:t>
      </w:r>
      <w:r>
        <w:rPr>
          <w:spacing w:val="-8"/>
          <w:w w:val="99"/>
          <w:sz w:val="22"/>
        </w:rPr>
        <w:t>K</w:t>
      </w:r>
      <w:r>
        <w:rPr>
          <w:w w:val="99"/>
          <w:sz w:val="22"/>
        </w:rPr>
        <w:t>ommunikation,</w:t>
      </w:r>
      <w:r>
        <w:rPr>
          <w:spacing w:val="8"/>
          <w:sz w:val="22"/>
        </w:rPr>
        <w:t> </w:t>
      </w:r>
      <w:r>
        <w:rPr>
          <w:w w:val="99"/>
          <w:sz w:val="22"/>
        </w:rPr>
        <w:t>Oesterreichische</w:t>
      </w:r>
      <w:r>
        <w:rPr>
          <w:spacing w:val="6"/>
          <w:sz w:val="22"/>
        </w:rPr>
        <w:t> </w:t>
      </w:r>
      <w:r>
        <w:rPr>
          <w:w w:val="99"/>
          <w:sz w:val="22"/>
        </w:rPr>
        <w:t>Nationalbank,</w:t>
      </w:r>
      <w:r>
        <w:rPr>
          <w:spacing w:val="8"/>
          <w:sz w:val="22"/>
        </w:rPr>
        <w:t> </w:t>
      </w:r>
      <w:r>
        <w:rPr>
          <w:w w:val="99"/>
          <w:sz w:val="22"/>
        </w:rPr>
        <w:t>Otto-</w:t>
      </w:r>
      <w:r>
        <w:rPr>
          <w:spacing w:val="-18"/>
          <w:w w:val="99"/>
          <w:sz w:val="22"/>
        </w:rPr>
        <w:t>W</w:t>
      </w:r>
      <w:r>
        <w:rPr>
          <w:w w:val="99"/>
          <w:sz w:val="22"/>
        </w:rPr>
        <w:t>agne</w:t>
      </w:r>
      <w:r>
        <w:rPr>
          <w:spacing w:val="-5"/>
          <w:w w:val="99"/>
          <w:sz w:val="22"/>
        </w:rPr>
        <w:t>r</w:t>
      </w:r>
      <w:r>
        <w:rPr>
          <w:w w:val="99"/>
          <w:sz w:val="22"/>
        </w:rPr>
        <w:t>-Platz</w:t>
      </w:r>
      <w:r>
        <w:rPr>
          <w:spacing w:val="6"/>
          <w:sz w:val="22"/>
        </w:rPr>
        <w:t> </w:t>
      </w:r>
      <w:r>
        <w:rPr>
          <w:w w:val="99"/>
          <w:sz w:val="22"/>
        </w:rPr>
        <w:t>3,</w:t>
      </w:r>
      <w:r>
        <w:rPr>
          <w:spacing w:val="8"/>
          <w:sz w:val="22"/>
        </w:rPr>
        <w:t> </w:t>
      </w:r>
      <w:r>
        <w:rPr>
          <w:w w:val="99"/>
          <w:sz w:val="22"/>
        </w:rPr>
        <w:t>1090</w:t>
      </w:r>
      <w:r>
        <w:rPr>
          <w:spacing w:val="6"/>
          <w:sz w:val="22"/>
        </w:rPr>
        <w:t> </w:t>
      </w:r>
      <w:r>
        <w:rPr>
          <w:spacing w:val="-9"/>
          <w:w w:val="99"/>
          <w:sz w:val="22"/>
        </w:rPr>
        <w:t>W</w:t>
      </w:r>
      <w:r>
        <w:rPr>
          <w:w w:val="99"/>
          <w:sz w:val="22"/>
        </w:rPr>
        <w:t>ien,</w:t>
      </w:r>
      <w:r>
        <w:rPr>
          <w:spacing w:val="8"/>
          <w:sz w:val="22"/>
        </w:rPr>
        <w:t> </w:t>
      </w:r>
      <w:r>
        <w:rPr>
          <w:w w:val="99"/>
          <w:sz w:val="22"/>
        </w:rPr>
        <w:t>Austria,</w:t>
      </w:r>
      <w:r>
        <w:rPr>
          <w:spacing w:val="8"/>
          <w:sz w:val="22"/>
        </w:rPr>
        <w:t> </w:t>
      </w:r>
      <w:r>
        <w:rPr>
          <w:w w:val="99"/>
          <w:sz w:val="22"/>
        </w:rPr>
        <w:t>EU,</w:t>
      </w:r>
      <w:r>
        <w:rPr>
          <w:spacing w:val="6"/>
          <w:sz w:val="22"/>
        </w:rPr>
        <w:t> </w:t>
      </w:r>
      <w:r>
        <w:rPr>
          <w:w w:val="99"/>
          <w:sz w:val="22"/>
        </w:rPr>
        <w:t>email </w:t>
      </w:r>
      <w:r>
        <w:rPr>
          <w:sz w:val="22"/>
        </w:rPr>
        <w:t>message, dated Sept. 12,</w:t>
      </w:r>
      <w:r>
        <w:rPr>
          <w:spacing w:val="-5"/>
          <w:sz w:val="22"/>
        </w:rPr>
        <w:t> </w:t>
      </w:r>
      <w:r>
        <w:rPr>
          <w:sz w:val="22"/>
        </w:rPr>
        <w:t>2024.</w:t>
      </w:r>
    </w:p>
    <w:p>
      <w:pPr>
        <w:spacing w:after="0" w:line="410" w:lineRule="auto"/>
        <w:jc w:val="both"/>
        <w:rPr>
          <w:sz w:val="22"/>
        </w:rPr>
        <w:sectPr>
          <w:pgSz w:w="12240" w:h="15840"/>
          <w:pgMar w:header="0" w:footer="563" w:top="1340" w:bottom="760" w:left="1320" w:right="1360"/>
        </w:sectPr>
      </w:pPr>
    </w:p>
    <w:p>
      <w:pPr>
        <w:spacing w:before="74"/>
        <w:ind w:left="120" w:right="0" w:firstLine="0"/>
        <w:jc w:val="both"/>
        <w:rPr>
          <w:sz w:val="22"/>
        </w:rPr>
      </w:pPr>
      <w:bookmarkStart w:name="_bookmark2" w:id="26"/>
      <w:bookmarkEnd w:id="26"/>
      <w:r>
        <w:rPr/>
      </w:r>
      <w:r>
        <w:rPr>
          <w:sz w:val="22"/>
        </w:rPr>
        <w:t>Barth, J. R. and Bennett, J. T. (1975). Cost-push versus demand-pull inflation: Some empirical evidence,</w:t>
      </w:r>
    </w:p>
    <w:p>
      <w:pPr>
        <w:spacing w:before="179"/>
        <w:ind w:left="120" w:right="0" w:firstLine="0"/>
        <w:jc w:val="both"/>
        <w:rPr>
          <w:rFonts w:ascii="Arial" w:hAnsi="Arial"/>
          <w:sz w:val="22"/>
        </w:rPr>
      </w:pPr>
      <w:bookmarkStart w:name="_bookmark3" w:id="27"/>
      <w:bookmarkEnd w:id="27"/>
      <w:r>
        <w:rPr/>
      </w:r>
      <w:r>
        <w:rPr>
          <w:i/>
          <w:sz w:val="22"/>
        </w:rPr>
        <w:t>Journal of Money, Credit and Banking </w:t>
      </w:r>
      <w:r>
        <w:rPr>
          <w:b/>
          <w:sz w:val="22"/>
        </w:rPr>
        <w:t>7</w:t>
      </w:r>
      <w:r>
        <w:rPr>
          <w:sz w:val="22"/>
        </w:rPr>
        <w:t>(3): 391–397. </w:t>
      </w:r>
      <w:hyperlink r:id="rId8">
        <w:r>
          <w:rPr>
            <w:rFonts w:ascii="Arial" w:hAnsi="Arial"/>
            <w:color w:val="0000FF"/>
            <w:sz w:val="22"/>
          </w:rPr>
          <w:t>https://doi.org/10.2307/1991632</w:t>
        </w:r>
      </w:hyperlink>
    </w:p>
    <w:p>
      <w:pPr>
        <w:tabs>
          <w:tab w:pos="6203" w:val="left" w:leader="none"/>
        </w:tabs>
        <w:spacing w:line="410" w:lineRule="auto" w:before="180"/>
        <w:ind w:left="120" w:right="112" w:firstLine="0"/>
        <w:jc w:val="both"/>
        <w:rPr>
          <w:rFonts w:ascii="Arial" w:hAnsi="Arial"/>
          <w:sz w:val="22"/>
        </w:rPr>
      </w:pPr>
      <w:r>
        <w:rPr>
          <w:sz w:val="22"/>
        </w:rPr>
        <w:t>Baudino, </w:t>
      </w:r>
      <w:r>
        <w:rPr>
          <w:spacing w:val="-9"/>
          <w:sz w:val="22"/>
        </w:rPr>
        <w:t>P., </w:t>
      </w:r>
      <w:r>
        <w:rPr>
          <w:sz w:val="22"/>
        </w:rPr>
        <w:t>Sturluson, J. </w:t>
      </w:r>
      <w:r>
        <w:rPr>
          <w:spacing w:val="-9"/>
          <w:sz w:val="22"/>
        </w:rPr>
        <w:t>T. </w:t>
      </w:r>
      <w:r>
        <w:rPr>
          <w:sz w:val="22"/>
        </w:rPr>
        <w:t>and Svoronos, </w:t>
      </w:r>
      <w:r>
        <w:rPr>
          <w:spacing w:val="-5"/>
          <w:sz w:val="22"/>
        </w:rPr>
        <w:t>J.-P. </w:t>
      </w:r>
      <w:r>
        <w:rPr>
          <w:sz w:val="22"/>
        </w:rPr>
        <w:t>(2020). The banking crisis in Iceland. FSI Crisis Manage-</w:t>
      </w:r>
      <w:bookmarkStart w:name="_bookmark5" w:id="28"/>
      <w:bookmarkEnd w:id="28"/>
      <w:r>
        <w:rPr>
          <w:sz w:val="22"/>
        </w:rPr>
      </w:r>
      <w:r>
        <w:rPr>
          <w:sz w:val="22"/>
        </w:rPr>
        <w:t> ment Series, No 1, March 26, 2020, accessed Sept.  6,  2024.  </w:t>
      </w:r>
      <w:hyperlink r:id="rId9">
        <w:r>
          <w:rPr>
            <w:rFonts w:ascii="Arial" w:hAnsi="Arial"/>
            <w:color w:val="0000FF"/>
            <w:sz w:val="22"/>
          </w:rPr>
          <w:t>https://www.bis.org/fsi/fsicms1.htm</w:t>
        </w:r>
      </w:hyperlink>
      <w:r>
        <w:rPr>
          <w:rFonts w:ascii="Arial" w:hAnsi="Arial"/>
          <w:color w:val="0000FF"/>
          <w:sz w:val="22"/>
        </w:rPr>
        <w:t> </w:t>
      </w:r>
      <w:r>
        <w:rPr>
          <w:sz w:val="22"/>
        </w:rPr>
        <w:t>Belz,   S.,   Cheng,    J.,    </w:t>
      </w:r>
      <w:r>
        <w:rPr>
          <w:spacing w:val="-3"/>
          <w:sz w:val="22"/>
        </w:rPr>
        <w:t>Wessel,    </w:t>
      </w:r>
      <w:r>
        <w:rPr>
          <w:sz w:val="22"/>
        </w:rPr>
        <w:t>D.,    Gros,    D.   and   Capolongo,    A.   (2020).    What’s   </w:t>
      </w:r>
      <w:r>
        <w:rPr>
          <w:spacing w:val="-5"/>
          <w:sz w:val="22"/>
        </w:rPr>
        <w:t>the    </w:t>
      </w:r>
      <w:r>
        <w:rPr>
          <w:sz w:val="22"/>
        </w:rPr>
        <w:t>ECB    doing    in    response    to    the</w:t>
      </w:r>
      <w:r>
        <w:rPr>
          <w:spacing w:val="17"/>
          <w:sz w:val="22"/>
        </w:rPr>
        <w:t> </w:t>
      </w:r>
      <w:r>
        <w:rPr>
          <w:sz w:val="22"/>
        </w:rPr>
        <w:t>COVID-19  </w:t>
      </w:r>
      <w:r>
        <w:rPr>
          <w:spacing w:val="30"/>
          <w:sz w:val="22"/>
        </w:rPr>
        <w:t> </w:t>
      </w:r>
      <w:r>
        <w:rPr>
          <w:sz w:val="22"/>
        </w:rPr>
        <w:t>crisis?</w:t>
        <w:tab/>
        <w:t>The Brookings Institution, </w:t>
      </w:r>
      <w:r>
        <w:rPr>
          <w:spacing w:val="-4"/>
          <w:sz w:val="22"/>
        </w:rPr>
        <w:t>pub- </w:t>
      </w:r>
      <w:r>
        <w:rPr>
          <w:sz w:val="22"/>
        </w:rPr>
        <w:t>lished June 4, 2020, accessed Sept 6, 2024. </w:t>
      </w:r>
      <w:hyperlink r:id="rId10">
        <w:r>
          <w:rPr>
            <w:rFonts w:ascii="Arial" w:hAnsi="Arial"/>
            <w:color w:val="0000FF"/>
            <w:sz w:val="22"/>
          </w:rPr>
          <w:t>https://www.brookings.edu/articles/</w:t>
        </w:r>
      </w:hyperlink>
      <w:bookmarkStart w:name="_bookmark4" w:id="29"/>
      <w:bookmarkEnd w:id="29"/>
      <w:r>
        <w:rPr>
          <w:rFonts w:ascii="Arial" w:hAnsi="Arial"/>
          <w:color w:val="0000FF"/>
          <w:sz w:val="22"/>
        </w:rPr>
      </w:r>
      <w:r>
        <w:rPr>
          <w:rFonts w:ascii="Arial" w:hAnsi="Arial"/>
          <w:color w:val="0000FF"/>
          <w:sz w:val="22"/>
        </w:rPr>
        <w:t> </w:t>
      </w:r>
      <w:hyperlink r:id="rId10">
        <w:r>
          <w:rPr>
            <w:rFonts w:ascii="Arial" w:hAnsi="Arial"/>
            <w:color w:val="0000FF"/>
            <w:sz w:val="22"/>
          </w:rPr>
          <w:t>whats-the-ecb-doing-in-response-to-the-covid-19-crisis/</w:t>
        </w:r>
      </w:hyperlink>
    </w:p>
    <w:p>
      <w:pPr>
        <w:spacing w:line="410" w:lineRule="auto" w:before="3"/>
        <w:ind w:left="120" w:right="112" w:firstLine="0"/>
        <w:jc w:val="both"/>
        <w:rPr>
          <w:rFonts w:ascii="Arial"/>
          <w:sz w:val="22"/>
        </w:rPr>
      </w:pPr>
      <w:r>
        <w:rPr>
          <w:sz w:val="22"/>
        </w:rPr>
        <w:t>Blake,</w:t>
      </w:r>
      <w:r>
        <w:rPr>
          <w:spacing w:val="-5"/>
          <w:sz w:val="22"/>
        </w:rPr>
        <w:t> </w:t>
      </w:r>
      <w:r>
        <w:rPr>
          <w:sz w:val="22"/>
        </w:rPr>
        <w:t>D.</w:t>
      </w:r>
      <w:r>
        <w:rPr>
          <w:spacing w:val="-6"/>
          <w:sz w:val="22"/>
        </w:rPr>
        <w:t> </w:t>
      </w:r>
      <w:r>
        <w:rPr>
          <w:sz w:val="22"/>
        </w:rPr>
        <w:t>(2023).</w:t>
      </w:r>
      <w:r>
        <w:rPr>
          <w:spacing w:val="19"/>
          <w:sz w:val="22"/>
        </w:rPr>
        <w:t> </w:t>
      </w:r>
      <w:r>
        <w:rPr>
          <w:spacing w:val="-3"/>
          <w:sz w:val="22"/>
        </w:rPr>
        <w:t>Target2:</w:t>
      </w:r>
      <w:r>
        <w:rPr>
          <w:spacing w:val="8"/>
          <w:sz w:val="22"/>
        </w:rPr>
        <w:t> </w:t>
      </w:r>
      <w:r>
        <w:rPr>
          <w:sz w:val="22"/>
        </w:rPr>
        <w:t>The</w:t>
      </w:r>
      <w:r>
        <w:rPr>
          <w:spacing w:val="-6"/>
          <w:sz w:val="22"/>
        </w:rPr>
        <w:t> </w:t>
      </w:r>
      <w:r>
        <w:rPr>
          <w:sz w:val="22"/>
        </w:rPr>
        <w:t>silent</w:t>
      </w:r>
      <w:r>
        <w:rPr>
          <w:spacing w:val="-5"/>
          <w:sz w:val="22"/>
        </w:rPr>
        <w:t> </w:t>
      </w:r>
      <w:r>
        <w:rPr>
          <w:sz w:val="22"/>
        </w:rPr>
        <w:t>bailout</w:t>
      </w:r>
      <w:r>
        <w:rPr>
          <w:spacing w:val="-6"/>
          <w:sz w:val="22"/>
        </w:rPr>
        <w:t> </w:t>
      </w:r>
      <w:r>
        <w:rPr>
          <w:sz w:val="22"/>
        </w:rPr>
        <w:t>system</w:t>
      </w:r>
      <w:r>
        <w:rPr>
          <w:spacing w:val="-5"/>
          <w:sz w:val="22"/>
        </w:rPr>
        <w:t> </w:t>
      </w:r>
      <w:r>
        <w:rPr>
          <w:sz w:val="22"/>
        </w:rPr>
        <w:t>that</w:t>
      </w:r>
      <w:r>
        <w:rPr>
          <w:spacing w:val="-6"/>
          <w:sz w:val="22"/>
        </w:rPr>
        <w:t> </w:t>
      </w:r>
      <w:r>
        <w:rPr>
          <w:sz w:val="22"/>
        </w:rPr>
        <w:t>keeps</w:t>
      </w:r>
      <w:r>
        <w:rPr>
          <w:spacing w:val="-5"/>
          <w:sz w:val="22"/>
        </w:rPr>
        <w:t> </w:t>
      </w:r>
      <w:r>
        <w:rPr>
          <w:sz w:val="22"/>
        </w:rPr>
        <w:t>the</w:t>
      </w:r>
      <w:r>
        <w:rPr>
          <w:spacing w:val="-6"/>
          <w:sz w:val="22"/>
        </w:rPr>
        <w:t> </w:t>
      </w:r>
      <w:r>
        <w:rPr>
          <w:sz w:val="22"/>
        </w:rPr>
        <w:t>Euro</w:t>
      </w:r>
      <w:r>
        <w:rPr>
          <w:spacing w:val="-5"/>
          <w:sz w:val="22"/>
        </w:rPr>
        <w:t> </w:t>
      </w:r>
      <w:r>
        <w:rPr>
          <w:sz w:val="22"/>
        </w:rPr>
        <w:t>afloat,</w:t>
      </w:r>
      <w:r>
        <w:rPr>
          <w:spacing w:val="-5"/>
          <w:sz w:val="22"/>
        </w:rPr>
        <w:t> </w:t>
      </w:r>
      <w:r>
        <w:rPr>
          <w:i/>
          <w:sz w:val="22"/>
        </w:rPr>
        <w:t>Journal</w:t>
      </w:r>
      <w:r>
        <w:rPr>
          <w:i/>
          <w:spacing w:val="-6"/>
          <w:sz w:val="22"/>
        </w:rPr>
        <w:t> </w:t>
      </w:r>
      <w:r>
        <w:rPr>
          <w:i/>
          <w:sz w:val="22"/>
        </w:rPr>
        <w:t>of</w:t>
      </w:r>
      <w:r>
        <w:rPr>
          <w:i/>
          <w:spacing w:val="-5"/>
          <w:sz w:val="22"/>
        </w:rPr>
        <w:t> </w:t>
      </w:r>
      <w:r>
        <w:rPr>
          <w:i/>
          <w:sz w:val="22"/>
        </w:rPr>
        <w:t>Risk</w:t>
      </w:r>
      <w:r>
        <w:rPr>
          <w:i/>
          <w:spacing w:val="-6"/>
          <w:sz w:val="22"/>
        </w:rPr>
        <w:t> </w:t>
      </w:r>
      <w:r>
        <w:rPr>
          <w:i/>
          <w:sz w:val="22"/>
        </w:rPr>
        <w:t>and</w:t>
      </w:r>
      <w:r>
        <w:rPr>
          <w:i/>
          <w:spacing w:val="-5"/>
          <w:sz w:val="22"/>
        </w:rPr>
        <w:t> </w:t>
      </w:r>
      <w:r>
        <w:rPr>
          <w:i/>
          <w:sz w:val="22"/>
        </w:rPr>
        <w:t>Finan-</w:t>
      </w:r>
      <w:bookmarkStart w:name="_bookmark6" w:id="30"/>
      <w:bookmarkEnd w:id="30"/>
      <w:r>
        <w:rPr>
          <w:i/>
          <w:sz w:val="22"/>
        </w:rPr>
      </w:r>
      <w:r>
        <w:rPr>
          <w:i/>
          <w:sz w:val="22"/>
        </w:rPr>
        <w:t> </w:t>
      </w:r>
      <w:r>
        <w:rPr>
          <w:i/>
          <w:sz w:val="22"/>
        </w:rPr>
        <w:t>cial Management </w:t>
      </w:r>
      <w:r>
        <w:rPr>
          <w:b/>
          <w:sz w:val="22"/>
        </w:rPr>
        <w:t>16</w:t>
      </w:r>
      <w:r>
        <w:rPr>
          <w:sz w:val="22"/>
        </w:rPr>
        <w:t>(12): 506.</w:t>
      </w:r>
      <w:r>
        <w:rPr>
          <w:spacing w:val="9"/>
          <w:sz w:val="22"/>
        </w:rPr>
        <w:t> </w:t>
      </w:r>
      <w:hyperlink r:id="rId11">
        <w:r>
          <w:rPr>
            <w:rFonts w:ascii="Arial"/>
            <w:color w:val="0000FF"/>
            <w:sz w:val="22"/>
          </w:rPr>
          <w:t>https://doi.org/10.3390/jrfm16120506</w:t>
        </w:r>
      </w:hyperlink>
    </w:p>
    <w:p>
      <w:pPr>
        <w:spacing w:line="410" w:lineRule="auto" w:before="1"/>
        <w:ind w:left="120" w:right="112" w:firstLine="0"/>
        <w:jc w:val="both"/>
        <w:rPr>
          <w:rFonts w:ascii="Arial" w:hAnsi="Arial"/>
          <w:sz w:val="22"/>
        </w:rPr>
      </w:pPr>
      <w:r>
        <w:rPr>
          <w:w w:val="105"/>
          <w:sz w:val="22"/>
        </w:rPr>
        <w:t>Congdon, </w:t>
      </w:r>
      <w:r>
        <w:rPr>
          <w:spacing w:val="-9"/>
          <w:w w:val="105"/>
          <w:sz w:val="22"/>
        </w:rPr>
        <w:t>T. </w:t>
      </w:r>
      <w:r>
        <w:rPr>
          <w:w w:val="105"/>
          <w:sz w:val="22"/>
        </w:rPr>
        <w:t>(2022).  Can the Eurozone manage its free rider problem?,  </w:t>
      </w:r>
      <w:r>
        <w:rPr>
          <w:i/>
          <w:w w:val="105"/>
          <w:sz w:val="22"/>
        </w:rPr>
        <w:t>Future Europe Journal  </w:t>
      </w:r>
      <w:r>
        <w:rPr>
          <w:b/>
          <w:w w:val="105"/>
          <w:sz w:val="22"/>
        </w:rPr>
        <w:t>2</w:t>
      </w:r>
      <w:r>
        <w:rPr>
          <w:w w:val="105"/>
          <w:sz w:val="22"/>
        </w:rPr>
        <w:t>(1): 61–71. </w:t>
      </w:r>
      <w:hyperlink r:id="rId12">
        <w:r>
          <w:rPr>
            <w:rFonts w:ascii="Arial" w:hAnsi="Arial"/>
            <w:color w:val="0000FF"/>
            <w:w w:val="105"/>
            <w:sz w:val="22"/>
          </w:rPr>
          <w:t>https://feu-journal.eu/wp-content/uploads/2023/03/FEU-Journal-Issue-2_</w:t>
        </w:r>
      </w:hyperlink>
      <w:bookmarkStart w:name="_bookmark7" w:id="31"/>
      <w:bookmarkEnd w:id="31"/>
      <w:r>
        <w:rPr>
          <w:rFonts w:ascii="Arial" w:hAnsi="Arial"/>
          <w:color w:val="0000FF"/>
          <w:w w:val="105"/>
          <w:sz w:val="22"/>
        </w:rPr>
      </w:r>
      <w:r>
        <w:rPr>
          <w:rFonts w:ascii="Arial" w:hAnsi="Arial"/>
          <w:color w:val="0000FF"/>
          <w:w w:val="105"/>
          <w:sz w:val="22"/>
        </w:rPr>
        <w:t> </w:t>
      </w:r>
      <w:hyperlink r:id="rId12">
        <w:r>
          <w:rPr>
            <w:rFonts w:ascii="Arial" w:hAnsi="Arial"/>
            <w:color w:val="0000FF"/>
            <w:w w:val="105"/>
            <w:sz w:val="22"/>
          </w:rPr>
          <w:t>Inflation-rising.pdf</w:t>
        </w:r>
      </w:hyperlink>
    </w:p>
    <w:p>
      <w:pPr>
        <w:spacing w:line="410" w:lineRule="auto" w:before="1"/>
        <w:ind w:left="119" w:right="112" w:firstLine="0"/>
        <w:jc w:val="both"/>
        <w:rPr>
          <w:rFonts w:ascii="Arial"/>
          <w:sz w:val="22"/>
        </w:rPr>
      </w:pPr>
      <w:r>
        <w:rPr>
          <w:sz w:val="22"/>
        </w:rPr>
        <w:t>Einaudi, L. (2001). </w:t>
      </w:r>
      <w:r>
        <w:rPr>
          <w:i/>
          <w:sz w:val="22"/>
        </w:rPr>
        <w:t>Money and </w:t>
      </w:r>
      <w:r>
        <w:rPr>
          <w:i/>
          <w:spacing w:val="-3"/>
          <w:sz w:val="22"/>
        </w:rPr>
        <w:t>Politics: </w:t>
      </w:r>
      <w:r>
        <w:rPr>
          <w:i/>
          <w:sz w:val="22"/>
        </w:rPr>
        <w:t>European Monetary Unification and the International Gold Stan- </w:t>
      </w:r>
      <w:r>
        <w:rPr>
          <w:i/>
          <w:spacing w:val="-3"/>
          <w:sz w:val="22"/>
        </w:rPr>
        <w:t>dard </w:t>
      </w:r>
      <w:r>
        <w:rPr>
          <w:i/>
          <w:sz w:val="22"/>
        </w:rPr>
        <w:t>(1865-1873)</w:t>
      </w:r>
      <w:r>
        <w:rPr>
          <w:sz w:val="22"/>
        </w:rPr>
        <w:t>, Oxford University Press, Oxford, England, UK. </w:t>
      </w:r>
      <w:hyperlink r:id="rId13">
        <w:r>
          <w:rPr>
            <w:rFonts w:ascii="Arial"/>
            <w:color w:val="0000FF"/>
            <w:sz w:val="22"/>
          </w:rPr>
          <w:t>https://doi.org/10.1093/oso/</w:t>
        </w:r>
      </w:hyperlink>
      <w:bookmarkStart w:name="_bookmark8" w:id="32"/>
      <w:bookmarkEnd w:id="32"/>
      <w:r>
        <w:rPr>
          <w:rFonts w:ascii="Arial"/>
          <w:color w:val="0000FF"/>
          <w:sz w:val="22"/>
        </w:rPr>
      </w:r>
      <w:r>
        <w:rPr>
          <w:rFonts w:ascii="Arial"/>
          <w:color w:val="0000FF"/>
          <w:sz w:val="22"/>
        </w:rPr>
        <w:t> </w:t>
      </w:r>
      <w:hyperlink r:id="rId13">
        <w:r>
          <w:rPr>
            <w:rFonts w:ascii="Arial"/>
            <w:color w:val="0000FF"/>
            <w:sz w:val="22"/>
          </w:rPr>
          <w:t>9780199243662.001.0001</w:t>
        </w:r>
      </w:hyperlink>
    </w:p>
    <w:p>
      <w:pPr>
        <w:spacing w:line="410" w:lineRule="auto" w:before="2"/>
        <w:ind w:left="120" w:right="112" w:firstLine="0"/>
        <w:jc w:val="both"/>
        <w:rPr>
          <w:rFonts w:ascii="Arial"/>
          <w:sz w:val="22"/>
        </w:rPr>
      </w:pPr>
      <w:r>
        <w:rPr>
          <w:sz w:val="22"/>
        </w:rPr>
        <w:t>European</w:t>
      </w:r>
      <w:r>
        <w:rPr>
          <w:spacing w:val="-8"/>
          <w:sz w:val="22"/>
        </w:rPr>
        <w:t> </w:t>
      </w:r>
      <w:r>
        <w:rPr>
          <w:sz w:val="22"/>
        </w:rPr>
        <w:t>Central</w:t>
      </w:r>
      <w:r>
        <w:rPr>
          <w:spacing w:val="-8"/>
          <w:sz w:val="22"/>
        </w:rPr>
        <w:t> </w:t>
      </w:r>
      <w:r>
        <w:rPr>
          <w:sz w:val="22"/>
        </w:rPr>
        <w:t>Bank</w:t>
      </w:r>
      <w:r>
        <w:rPr>
          <w:spacing w:val="-7"/>
          <w:sz w:val="22"/>
        </w:rPr>
        <w:t> </w:t>
      </w:r>
      <w:r>
        <w:rPr>
          <w:sz w:val="22"/>
        </w:rPr>
        <w:t>(2015).</w:t>
      </w:r>
      <w:r>
        <w:rPr>
          <w:spacing w:val="11"/>
          <w:sz w:val="22"/>
        </w:rPr>
        <w:t> </w:t>
      </w:r>
      <w:r>
        <w:rPr>
          <w:sz w:val="22"/>
        </w:rPr>
        <w:t>Economic</w:t>
      </w:r>
      <w:r>
        <w:rPr>
          <w:spacing w:val="-8"/>
          <w:sz w:val="22"/>
        </w:rPr>
        <w:t> </w:t>
      </w:r>
      <w:r>
        <w:rPr>
          <w:sz w:val="22"/>
        </w:rPr>
        <w:t>Bulletin</w:t>
      </w:r>
      <w:r>
        <w:rPr>
          <w:spacing w:val="-7"/>
          <w:sz w:val="22"/>
        </w:rPr>
        <w:t> </w:t>
      </w:r>
      <w:r>
        <w:rPr>
          <w:sz w:val="22"/>
        </w:rPr>
        <w:t>Issue</w:t>
      </w:r>
      <w:r>
        <w:rPr>
          <w:spacing w:val="-8"/>
          <w:sz w:val="22"/>
        </w:rPr>
        <w:t> </w:t>
      </w:r>
      <w:r>
        <w:rPr>
          <w:sz w:val="22"/>
        </w:rPr>
        <w:t>6</w:t>
      </w:r>
      <w:r>
        <w:rPr>
          <w:spacing w:val="-8"/>
          <w:sz w:val="22"/>
        </w:rPr>
        <w:t> </w:t>
      </w:r>
      <w:r>
        <w:rPr>
          <w:sz w:val="22"/>
        </w:rPr>
        <w:t>/</w:t>
      </w:r>
      <w:r>
        <w:rPr>
          <w:spacing w:val="-7"/>
          <w:sz w:val="22"/>
        </w:rPr>
        <w:t> </w:t>
      </w:r>
      <w:r>
        <w:rPr>
          <w:sz w:val="22"/>
        </w:rPr>
        <w:t>2015.</w:t>
      </w:r>
      <w:r>
        <w:rPr>
          <w:spacing w:val="11"/>
          <w:sz w:val="22"/>
        </w:rPr>
        <w:t> </w:t>
      </w:r>
      <w:r>
        <w:rPr>
          <w:sz w:val="22"/>
        </w:rPr>
        <w:t>European</w:t>
      </w:r>
      <w:r>
        <w:rPr>
          <w:spacing w:val="-7"/>
          <w:sz w:val="22"/>
        </w:rPr>
        <w:t> </w:t>
      </w:r>
      <w:r>
        <w:rPr>
          <w:sz w:val="22"/>
        </w:rPr>
        <w:t>Central</w:t>
      </w:r>
      <w:r>
        <w:rPr>
          <w:spacing w:val="-8"/>
          <w:sz w:val="22"/>
        </w:rPr>
        <w:t> </w:t>
      </w:r>
      <w:r>
        <w:rPr>
          <w:sz w:val="22"/>
        </w:rPr>
        <w:t>Bank,</w:t>
      </w:r>
      <w:r>
        <w:rPr>
          <w:spacing w:val="-8"/>
          <w:sz w:val="22"/>
        </w:rPr>
        <w:t> </w:t>
      </w:r>
      <w:r>
        <w:rPr>
          <w:sz w:val="22"/>
        </w:rPr>
        <w:t>publishing</w:t>
      </w:r>
      <w:r>
        <w:rPr>
          <w:spacing w:val="-7"/>
          <w:sz w:val="22"/>
        </w:rPr>
        <w:t> </w:t>
      </w:r>
      <w:r>
        <w:rPr>
          <w:spacing w:val="-3"/>
          <w:sz w:val="22"/>
        </w:rPr>
        <w:t>date </w:t>
      </w:r>
      <w:r>
        <w:rPr>
          <w:sz w:val="22"/>
        </w:rPr>
        <w:t>September 17, 2015, accessed September 8th, 2024. </w:t>
      </w:r>
      <w:hyperlink r:id="rId14">
        <w:r>
          <w:rPr>
            <w:rFonts w:ascii="Arial"/>
            <w:color w:val="0000FF"/>
            <w:sz w:val="22"/>
          </w:rPr>
          <w:t>https://www.ecb.europa.eu/pub/pdf/ecbu/</w:t>
        </w:r>
      </w:hyperlink>
      <w:bookmarkStart w:name="_bookmark9" w:id="33"/>
      <w:bookmarkEnd w:id="33"/>
      <w:r>
        <w:rPr>
          <w:rFonts w:ascii="Arial"/>
          <w:color w:val="0000FF"/>
          <w:sz w:val="22"/>
        </w:rPr>
      </w:r>
      <w:r>
        <w:rPr>
          <w:rFonts w:ascii="Arial"/>
          <w:color w:val="0000FF"/>
          <w:sz w:val="22"/>
        </w:rPr>
        <w:t> </w:t>
      </w:r>
      <w:hyperlink r:id="rId14">
        <w:r>
          <w:rPr>
            <w:rFonts w:ascii="Arial"/>
            <w:color w:val="0000FF"/>
            <w:sz w:val="22"/>
          </w:rPr>
          <w:t>eb201506.en.pdf</w:t>
        </w:r>
      </w:hyperlink>
    </w:p>
    <w:p>
      <w:pPr>
        <w:spacing w:line="410" w:lineRule="auto" w:before="1"/>
        <w:ind w:left="120" w:right="112" w:firstLine="0"/>
        <w:jc w:val="both"/>
        <w:rPr>
          <w:rFonts w:ascii="Arial"/>
          <w:sz w:val="22"/>
        </w:rPr>
      </w:pPr>
      <w:r>
        <w:rPr>
          <w:sz w:val="22"/>
        </w:rPr>
        <w:t>European Central Bank (2016). What is ANFA? European Central Bank, publishing date February 5, 2016, updated on February 24, 2023, accessed September 8th, 2024. </w:t>
      </w:r>
      <w:hyperlink r:id="rId15">
        <w:r>
          <w:rPr>
            <w:rFonts w:ascii="Arial"/>
            <w:color w:val="0000FF"/>
            <w:sz w:val="22"/>
          </w:rPr>
          <w:t>https://www.ecb.europa.eu/</w:t>
        </w:r>
      </w:hyperlink>
      <w:bookmarkStart w:name="_bookmark10" w:id="34"/>
      <w:bookmarkEnd w:id="34"/>
      <w:r>
        <w:rPr>
          <w:rFonts w:ascii="Arial"/>
          <w:color w:val="0000FF"/>
          <w:sz w:val="22"/>
        </w:rPr>
      </w:r>
      <w:r>
        <w:rPr>
          <w:rFonts w:ascii="Arial"/>
          <w:color w:val="0000FF"/>
          <w:sz w:val="22"/>
        </w:rPr>
        <w:t> </w:t>
      </w:r>
      <w:hyperlink r:id="rId15">
        <w:r>
          <w:rPr>
            <w:rFonts w:ascii="Arial"/>
            <w:color w:val="0000FF"/>
            <w:sz w:val="22"/>
          </w:rPr>
          <w:t>ecb-and-you/explainers/tell-me-more/html/anfa_qa.en.html</w:t>
        </w:r>
      </w:hyperlink>
    </w:p>
    <w:p>
      <w:pPr>
        <w:spacing w:line="410" w:lineRule="auto" w:before="1"/>
        <w:ind w:left="120" w:right="112" w:firstLine="0"/>
        <w:jc w:val="both"/>
        <w:rPr>
          <w:rFonts w:ascii="Arial"/>
          <w:sz w:val="22"/>
        </w:rPr>
      </w:pPr>
      <w:r>
        <w:rPr>
          <w:w w:val="105"/>
          <w:sz w:val="22"/>
        </w:rPr>
        <w:t>European</w:t>
      </w:r>
      <w:r>
        <w:rPr>
          <w:spacing w:val="-22"/>
          <w:w w:val="105"/>
          <w:sz w:val="22"/>
        </w:rPr>
        <w:t> </w:t>
      </w:r>
      <w:r>
        <w:rPr>
          <w:w w:val="105"/>
          <w:sz w:val="22"/>
        </w:rPr>
        <w:t>Central</w:t>
      </w:r>
      <w:r>
        <w:rPr>
          <w:spacing w:val="-22"/>
          <w:w w:val="105"/>
          <w:sz w:val="22"/>
        </w:rPr>
        <w:t> </w:t>
      </w:r>
      <w:r>
        <w:rPr>
          <w:w w:val="105"/>
          <w:sz w:val="22"/>
        </w:rPr>
        <w:t>Bank</w:t>
      </w:r>
      <w:r>
        <w:rPr>
          <w:spacing w:val="-22"/>
          <w:w w:val="105"/>
          <w:sz w:val="22"/>
        </w:rPr>
        <w:t> </w:t>
      </w:r>
      <w:r>
        <w:rPr>
          <w:w w:val="105"/>
          <w:sz w:val="22"/>
        </w:rPr>
        <w:t>(2017).</w:t>
      </w:r>
      <w:r>
        <w:rPr>
          <w:spacing w:val="11"/>
          <w:w w:val="105"/>
          <w:sz w:val="22"/>
        </w:rPr>
        <w:t> </w:t>
      </w:r>
      <w:r>
        <w:rPr>
          <w:w w:val="105"/>
          <w:sz w:val="22"/>
        </w:rPr>
        <w:t>Agreement</w:t>
      </w:r>
      <w:r>
        <w:rPr>
          <w:spacing w:val="-21"/>
          <w:w w:val="105"/>
          <w:sz w:val="22"/>
        </w:rPr>
        <w:t> </w:t>
      </w:r>
      <w:r>
        <w:rPr>
          <w:w w:val="105"/>
          <w:sz w:val="22"/>
        </w:rPr>
        <w:t>on</w:t>
      </w:r>
      <w:r>
        <w:rPr>
          <w:spacing w:val="-22"/>
          <w:w w:val="105"/>
          <w:sz w:val="22"/>
        </w:rPr>
        <w:t> </w:t>
      </w:r>
      <w:r>
        <w:rPr>
          <w:w w:val="105"/>
          <w:sz w:val="22"/>
        </w:rPr>
        <w:t>emergency</w:t>
      </w:r>
      <w:r>
        <w:rPr>
          <w:spacing w:val="-22"/>
          <w:w w:val="105"/>
          <w:sz w:val="22"/>
        </w:rPr>
        <w:t> </w:t>
      </w:r>
      <w:r>
        <w:rPr>
          <w:w w:val="105"/>
          <w:sz w:val="22"/>
        </w:rPr>
        <w:t>liquidity</w:t>
      </w:r>
      <w:r>
        <w:rPr>
          <w:spacing w:val="-21"/>
          <w:w w:val="105"/>
          <w:sz w:val="22"/>
        </w:rPr>
        <w:t> </w:t>
      </w:r>
      <w:r>
        <w:rPr>
          <w:w w:val="105"/>
          <w:sz w:val="22"/>
        </w:rPr>
        <w:t>assistance.</w:t>
      </w:r>
      <w:r>
        <w:rPr>
          <w:spacing w:val="11"/>
          <w:w w:val="105"/>
          <w:sz w:val="22"/>
        </w:rPr>
        <w:t> </w:t>
      </w:r>
      <w:r>
        <w:rPr>
          <w:w w:val="105"/>
          <w:sz w:val="22"/>
        </w:rPr>
        <w:t>European</w:t>
      </w:r>
      <w:r>
        <w:rPr>
          <w:spacing w:val="-22"/>
          <w:w w:val="105"/>
          <w:sz w:val="22"/>
        </w:rPr>
        <w:t> </w:t>
      </w:r>
      <w:r>
        <w:rPr>
          <w:w w:val="105"/>
          <w:sz w:val="22"/>
        </w:rPr>
        <w:t>Central</w:t>
      </w:r>
      <w:r>
        <w:rPr>
          <w:spacing w:val="-22"/>
          <w:w w:val="105"/>
          <w:sz w:val="22"/>
        </w:rPr>
        <w:t> </w:t>
      </w:r>
      <w:r>
        <w:rPr>
          <w:spacing w:val="-3"/>
          <w:w w:val="105"/>
          <w:sz w:val="22"/>
        </w:rPr>
        <w:t>Bank, </w:t>
      </w:r>
      <w:r>
        <w:rPr>
          <w:w w:val="105"/>
          <w:sz w:val="22"/>
        </w:rPr>
        <w:t>publishing</w:t>
      </w:r>
      <w:r>
        <w:rPr>
          <w:spacing w:val="-15"/>
          <w:w w:val="105"/>
          <w:sz w:val="22"/>
        </w:rPr>
        <w:t> </w:t>
      </w:r>
      <w:r>
        <w:rPr>
          <w:w w:val="105"/>
          <w:sz w:val="22"/>
        </w:rPr>
        <w:t>date</w:t>
      </w:r>
      <w:r>
        <w:rPr>
          <w:spacing w:val="-13"/>
          <w:w w:val="105"/>
          <w:sz w:val="22"/>
        </w:rPr>
        <w:t> </w:t>
      </w:r>
      <w:r>
        <w:rPr>
          <w:w w:val="105"/>
          <w:sz w:val="22"/>
        </w:rPr>
        <w:t>June</w:t>
      </w:r>
      <w:r>
        <w:rPr>
          <w:spacing w:val="-14"/>
          <w:w w:val="105"/>
          <w:sz w:val="22"/>
        </w:rPr>
        <w:t> </w:t>
      </w:r>
      <w:r>
        <w:rPr>
          <w:w w:val="105"/>
          <w:sz w:val="22"/>
        </w:rPr>
        <w:t>16,</w:t>
      </w:r>
      <w:r>
        <w:rPr>
          <w:spacing w:val="-12"/>
          <w:w w:val="105"/>
          <w:sz w:val="22"/>
        </w:rPr>
        <w:t> </w:t>
      </w:r>
      <w:r>
        <w:rPr>
          <w:w w:val="105"/>
          <w:sz w:val="22"/>
        </w:rPr>
        <w:t>2017,</w:t>
      </w:r>
      <w:r>
        <w:rPr>
          <w:spacing w:val="-13"/>
          <w:w w:val="105"/>
          <w:sz w:val="22"/>
        </w:rPr>
        <w:t> </w:t>
      </w:r>
      <w:r>
        <w:rPr>
          <w:w w:val="105"/>
          <w:sz w:val="22"/>
        </w:rPr>
        <w:t>accessed</w:t>
      </w:r>
      <w:r>
        <w:rPr>
          <w:spacing w:val="-13"/>
          <w:w w:val="105"/>
          <w:sz w:val="22"/>
        </w:rPr>
        <w:t> </w:t>
      </w:r>
      <w:r>
        <w:rPr>
          <w:w w:val="105"/>
          <w:sz w:val="22"/>
        </w:rPr>
        <w:t>September</w:t>
      </w:r>
      <w:r>
        <w:rPr>
          <w:spacing w:val="-14"/>
          <w:w w:val="105"/>
          <w:sz w:val="22"/>
        </w:rPr>
        <w:t> </w:t>
      </w:r>
      <w:r>
        <w:rPr>
          <w:w w:val="105"/>
          <w:sz w:val="22"/>
        </w:rPr>
        <w:t>8th,</w:t>
      </w:r>
      <w:r>
        <w:rPr>
          <w:spacing w:val="-13"/>
          <w:w w:val="105"/>
          <w:sz w:val="22"/>
        </w:rPr>
        <w:t> </w:t>
      </w:r>
      <w:r>
        <w:rPr>
          <w:w w:val="105"/>
          <w:sz w:val="22"/>
        </w:rPr>
        <w:t>2024.</w:t>
      </w:r>
      <w:r>
        <w:rPr>
          <w:spacing w:val="2"/>
          <w:w w:val="105"/>
          <w:sz w:val="22"/>
        </w:rPr>
        <w:t> </w:t>
      </w:r>
      <w:hyperlink r:id="rId16">
        <w:r>
          <w:rPr>
            <w:rFonts w:ascii="Arial"/>
            <w:color w:val="0000FF"/>
            <w:w w:val="105"/>
            <w:sz w:val="22"/>
          </w:rPr>
          <w:t>https://www.ecb.europa.eu/pub/pdf/</w:t>
        </w:r>
      </w:hyperlink>
      <w:bookmarkStart w:name="_bookmark11" w:id="35"/>
      <w:bookmarkEnd w:id="35"/>
      <w:r>
        <w:rPr>
          <w:rFonts w:ascii="Arial"/>
          <w:color w:val="0000FF"/>
          <w:w w:val="105"/>
          <w:sz w:val="22"/>
        </w:rPr>
      </w:r>
      <w:r>
        <w:rPr>
          <w:rFonts w:ascii="Arial"/>
          <w:color w:val="0000FF"/>
          <w:w w:val="105"/>
          <w:sz w:val="22"/>
        </w:rPr>
        <w:t> </w:t>
      </w:r>
      <w:hyperlink r:id="rId16">
        <w:r>
          <w:rPr>
            <w:rFonts w:ascii="Arial"/>
            <w:color w:val="0000FF"/>
            <w:w w:val="105"/>
            <w:sz w:val="22"/>
          </w:rPr>
          <w:t>other/Agreement_on_emergency_liquidity_assistance_20170517.en.pdf</w:t>
        </w:r>
      </w:hyperlink>
    </w:p>
    <w:p>
      <w:pPr>
        <w:spacing w:line="410" w:lineRule="auto" w:before="2"/>
        <w:ind w:left="120" w:right="112" w:firstLine="0"/>
        <w:jc w:val="both"/>
        <w:rPr>
          <w:rFonts w:ascii="Arial"/>
          <w:sz w:val="22"/>
        </w:rPr>
      </w:pPr>
      <w:r>
        <w:rPr>
          <w:w w:val="105"/>
          <w:sz w:val="22"/>
        </w:rPr>
        <w:t>European Central Bank (2022). Agreement on Net Financial Assets of 19 December 2022. European Central Bank, publishing date December 19, 2022, accessed September 8th, 2024. </w:t>
      </w:r>
      <w:r>
        <w:rPr>
          <w:rFonts w:ascii="Arial"/>
          <w:color w:val="0000FF"/>
          <w:w w:val="105"/>
          <w:sz w:val="22"/>
        </w:rPr>
        <w:t>https://eur-lex.</w:t>
      </w:r>
      <w:bookmarkStart w:name="_bookmark12" w:id="36"/>
      <w:bookmarkEnd w:id="36"/>
      <w:r>
        <w:rPr>
          <w:rFonts w:ascii="Arial"/>
          <w:color w:val="0000FF"/>
          <w:w w:val="105"/>
          <w:sz w:val="22"/>
        </w:rPr>
      </w:r>
      <w:r>
        <w:rPr>
          <w:rFonts w:ascii="Arial"/>
          <w:color w:val="0000FF"/>
          <w:w w:val="105"/>
          <w:sz w:val="22"/>
        </w:rPr>
        <w:t> europa.eu/legal-content/EN/TXT/PDF/?uri=IMMC:AGR/2022/12191</w:t>
      </w:r>
    </w:p>
    <w:p>
      <w:pPr>
        <w:spacing w:line="410" w:lineRule="auto" w:before="1"/>
        <w:ind w:left="120" w:right="112" w:firstLine="0"/>
        <w:jc w:val="both"/>
        <w:rPr>
          <w:rFonts w:ascii="Arial"/>
          <w:sz w:val="22"/>
        </w:rPr>
      </w:pPr>
      <w:r>
        <w:rPr>
          <w:sz w:val="22"/>
        </w:rPr>
        <w:t>European Central Bank (2024).  </w:t>
      </w:r>
      <w:r>
        <w:rPr>
          <w:spacing w:val="-4"/>
          <w:sz w:val="22"/>
        </w:rPr>
        <w:t>TARGET  </w:t>
      </w:r>
      <w:r>
        <w:rPr>
          <w:sz w:val="22"/>
        </w:rPr>
        <w:t>balances of participating NCBs.  accessed October </w:t>
      </w:r>
      <w:r>
        <w:rPr>
          <w:spacing w:val="-3"/>
          <w:sz w:val="22"/>
        </w:rPr>
        <w:t>21st,   </w:t>
      </w:r>
      <w:r>
        <w:rPr>
          <w:sz w:val="22"/>
        </w:rPr>
        <w:t>2024. </w:t>
      </w:r>
      <w:hyperlink r:id="rId17">
        <w:r>
          <w:rPr>
            <w:rFonts w:ascii="Arial"/>
            <w:color w:val="0000FF"/>
            <w:sz w:val="22"/>
          </w:rPr>
          <w:t>https://www.ecb.europa.eu/stats/policy_and_exchange_rates/target_balances/</w:t>
        </w:r>
      </w:hyperlink>
      <w:r>
        <w:rPr>
          <w:rFonts w:ascii="Arial"/>
          <w:color w:val="0000FF"/>
          <w:sz w:val="22"/>
        </w:rPr>
        <w:t> </w:t>
      </w:r>
      <w:hyperlink r:id="rId17">
        <w:r>
          <w:rPr>
            <w:rFonts w:ascii="Arial"/>
            <w:color w:val="0000FF"/>
            <w:sz w:val="22"/>
          </w:rPr>
          <w:t>html/index.en.html</w:t>
        </w:r>
      </w:hyperlink>
    </w:p>
    <w:p>
      <w:pPr>
        <w:spacing w:after="0" w:line="410" w:lineRule="auto"/>
        <w:jc w:val="both"/>
        <w:rPr>
          <w:rFonts w:ascii="Arial"/>
          <w:sz w:val="22"/>
        </w:rPr>
        <w:sectPr>
          <w:pgSz w:w="12240" w:h="15840"/>
          <w:pgMar w:header="0" w:footer="563" w:top="1360" w:bottom="760" w:left="1320" w:right="1360"/>
        </w:sectPr>
      </w:pPr>
    </w:p>
    <w:p>
      <w:pPr>
        <w:spacing w:line="410" w:lineRule="auto" w:before="74"/>
        <w:ind w:left="120" w:right="112" w:firstLine="0"/>
        <w:jc w:val="both"/>
        <w:rPr>
          <w:rFonts w:ascii="Arial" w:hAnsi="Arial"/>
          <w:sz w:val="22"/>
        </w:rPr>
      </w:pPr>
      <w:bookmarkStart w:name="_bookmark13" w:id="37"/>
      <w:bookmarkEnd w:id="37"/>
      <w:r>
        <w:rPr/>
      </w:r>
      <w:r>
        <w:rPr>
          <w:w w:val="105"/>
          <w:sz w:val="22"/>
        </w:rPr>
        <w:t>Flandreau,  M. (2000).  The economics and politics of monetary unions:  A reassessment of </w:t>
      </w:r>
      <w:r>
        <w:rPr>
          <w:spacing w:val="-5"/>
          <w:w w:val="105"/>
          <w:sz w:val="22"/>
        </w:rPr>
        <w:t>the  </w:t>
      </w:r>
      <w:r>
        <w:rPr>
          <w:w w:val="105"/>
          <w:sz w:val="22"/>
        </w:rPr>
        <w:t>Latin Monetary Union, 1865-71, </w:t>
      </w:r>
      <w:r>
        <w:rPr>
          <w:i/>
          <w:w w:val="105"/>
          <w:sz w:val="22"/>
        </w:rPr>
        <w:t>Financial History Review </w:t>
      </w:r>
      <w:r>
        <w:rPr>
          <w:b/>
          <w:w w:val="105"/>
          <w:sz w:val="22"/>
        </w:rPr>
        <w:t>7</w:t>
      </w:r>
      <w:r>
        <w:rPr>
          <w:w w:val="105"/>
          <w:sz w:val="22"/>
        </w:rPr>
        <w:t>(1): 25–44. </w:t>
      </w:r>
      <w:hyperlink r:id="rId18">
        <w:r>
          <w:rPr>
            <w:rFonts w:ascii="Arial" w:hAnsi="Arial"/>
            <w:color w:val="0000FF"/>
            <w:w w:val="105"/>
            <w:sz w:val="22"/>
          </w:rPr>
          <w:t>https://doi.org/10.1017/</w:t>
        </w:r>
      </w:hyperlink>
      <w:bookmarkStart w:name="_bookmark14" w:id="38"/>
      <w:bookmarkEnd w:id="38"/>
      <w:r>
        <w:rPr>
          <w:rFonts w:ascii="Arial" w:hAnsi="Arial"/>
          <w:color w:val="0000FF"/>
          <w:w w:val="105"/>
          <w:sz w:val="22"/>
        </w:rPr>
      </w:r>
      <w:r>
        <w:rPr>
          <w:rFonts w:ascii="Arial" w:hAnsi="Arial"/>
          <w:color w:val="0000FF"/>
          <w:w w:val="105"/>
          <w:sz w:val="22"/>
        </w:rPr>
        <w:t> </w:t>
      </w:r>
      <w:hyperlink r:id="rId18">
        <w:r>
          <w:rPr>
            <w:rFonts w:ascii="Arial" w:hAnsi="Arial"/>
            <w:color w:val="0000FF"/>
            <w:w w:val="105"/>
            <w:sz w:val="22"/>
          </w:rPr>
          <w:t>s0968565000000020</w:t>
        </w:r>
      </w:hyperlink>
    </w:p>
    <w:p>
      <w:pPr>
        <w:spacing w:line="410" w:lineRule="auto" w:before="1"/>
        <w:ind w:left="120" w:right="112" w:firstLine="0"/>
        <w:jc w:val="both"/>
        <w:rPr>
          <w:rFonts w:ascii="Arial" w:hAnsi="Arial"/>
          <w:sz w:val="22"/>
        </w:rPr>
      </w:pPr>
      <w:r>
        <w:rPr>
          <w:sz w:val="22"/>
        </w:rPr>
        <w:t>Flannery,  M.  J.  (2009).  Iceland’s  failed  banks:  A  post-mortem.  Report  prepared  for  the  </w:t>
      </w:r>
      <w:r>
        <w:rPr>
          <w:spacing w:val="-3"/>
          <w:sz w:val="22"/>
        </w:rPr>
        <w:t>Ice-  </w:t>
      </w:r>
      <w:r>
        <w:rPr>
          <w:sz w:val="22"/>
        </w:rPr>
        <w:t>landic Special Investigation Commission, 9 March 2009. </w:t>
      </w:r>
      <w:hyperlink r:id="rId19">
        <w:r>
          <w:rPr>
            <w:rFonts w:ascii="Arial" w:hAnsi="Arial"/>
            <w:color w:val="0000FF"/>
            <w:sz w:val="22"/>
          </w:rPr>
          <w:t>https://www.rna.is/media/skjol/</w:t>
        </w:r>
      </w:hyperlink>
      <w:bookmarkStart w:name="_bookmark15" w:id="39"/>
      <w:bookmarkEnd w:id="39"/>
      <w:r>
        <w:rPr>
          <w:rFonts w:ascii="Arial" w:hAnsi="Arial"/>
          <w:color w:val="0000FF"/>
          <w:sz w:val="22"/>
        </w:rPr>
      </w:r>
      <w:r>
        <w:rPr>
          <w:rFonts w:ascii="Arial" w:hAnsi="Arial"/>
          <w:color w:val="0000FF"/>
          <w:sz w:val="22"/>
        </w:rPr>
        <w:t> </w:t>
      </w:r>
      <w:hyperlink r:id="rId19">
        <w:r>
          <w:rPr>
            <w:rFonts w:ascii="Arial" w:hAnsi="Arial"/>
            <w:color w:val="0000FF"/>
            <w:sz w:val="22"/>
          </w:rPr>
          <w:t>RNAvefVidauki3Enska.pdf</w:t>
        </w:r>
      </w:hyperlink>
    </w:p>
    <w:p>
      <w:pPr>
        <w:spacing w:line="410" w:lineRule="auto" w:before="1"/>
        <w:ind w:left="120" w:right="112" w:firstLine="0"/>
        <w:jc w:val="both"/>
        <w:rPr>
          <w:rFonts w:ascii="Arial"/>
          <w:sz w:val="22"/>
        </w:rPr>
      </w:pPr>
      <w:r>
        <w:rPr>
          <w:sz w:val="22"/>
        </w:rPr>
        <w:t>Gibson,</w:t>
      </w:r>
      <w:r>
        <w:rPr>
          <w:spacing w:val="-16"/>
          <w:sz w:val="22"/>
        </w:rPr>
        <w:t> </w:t>
      </w:r>
      <w:r>
        <w:rPr>
          <w:sz w:val="22"/>
        </w:rPr>
        <w:t>H.</w:t>
      </w:r>
      <w:r>
        <w:rPr>
          <w:spacing w:val="-17"/>
          <w:sz w:val="22"/>
        </w:rPr>
        <w:t> </w:t>
      </w:r>
      <w:r>
        <w:rPr>
          <w:sz w:val="22"/>
        </w:rPr>
        <w:t>D.,</w:t>
      </w:r>
      <w:r>
        <w:rPr>
          <w:spacing w:val="-15"/>
          <w:sz w:val="22"/>
        </w:rPr>
        <w:t> </w:t>
      </w:r>
      <w:r>
        <w:rPr>
          <w:sz w:val="22"/>
        </w:rPr>
        <w:t>Hall,</w:t>
      </w:r>
      <w:r>
        <w:rPr>
          <w:spacing w:val="-16"/>
          <w:sz w:val="22"/>
        </w:rPr>
        <w:t> </w:t>
      </w:r>
      <w:r>
        <w:rPr>
          <w:sz w:val="22"/>
        </w:rPr>
        <w:t>S.</w:t>
      </w:r>
      <w:r>
        <w:rPr>
          <w:spacing w:val="-17"/>
          <w:sz w:val="22"/>
        </w:rPr>
        <w:t> </w:t>
      </w:r>
      <w:r>
        <w:rPr>
          <w:sz w:val="22"/>
        </w:rPr>
        <w:t>G.,</w:t>
      </w:r>
      <w:r>
        <w:rPr>
          <w:spacing w:val="-15"/>
          <w:sz w:val="22"/>
        </w:rPr>
        <w:t> </w:t>
      </w:r>
      <w:r>
        <w:rPr>
          <w:sz w:val="22"/>
        </w:rPr>
        <w:t>Petroulas,</w:t>
      </w:r>
      <w:r>
        <w:rPr>
          <w:spacing w:val="-15"/>
          <w:sz w:val="22"/>
        </w:rPr>
        <w:t> </w:t>
      </w:r>
      <w:r>
        <w:rPr>
          <w:spacing w:val="-9"/>
          <w:sz w:val="22"/>
        </w:rPr>
        <w:t>P.,</w:t>
      </w:r>
      <w:r>
        <w:rPr>
          <w:spacing w:val="-16"/>
          <w:sz w:val="22"/>
        </w:rPr>
        <w:t> </w:t>
      </w:r>
      <w:r>
        <w:rPr>
          <w:sz w:val="22"/>
        </w:rPr>
        <w:t>Spiliotopoulos,</w:t>
      </w:r>
      <w:r>
        <w:rPr>
          <w:spacing w:val="-15"/>
          <w:sz w:val="22"/>
        </w:rPr>
        <w:t> V.</w:t>
      </w:r>
      <w:r>
        <w:rPr>
          <w:spacing w:val="-17"/>
          <w:sz w:val="22"/>
        </w:rPr>
        <w:t> </w:t>
      </w:r>
      <w:r>
        <w:rPr>
          <w:sz w:val="22"/>
        </w:rPr>
        <w:t>and</w:t>
      </w:r>
      <w:r>
        <w:rPr>
          <w:spacing w:val="-17"/>
          <w:sz w:val="22"/>
        </w:rPr>
        <w:t> </w:t>
      </w:r>
      <w:r>
        <w:rPr>
          <w:spacing w:val="-4"/>
          <w:sz w:val="22"/>
        </w:rPr>
        <w:t>Tavlas,</w:t>
      </w:r>
      <w:r>
        <w:rPr>
          <w:spacing w:val="-16"/>
          <w:sz w:val="22"/>
        </w:rPr>
        <w:t> </w:t>
      </w:r>
      <w:r>
        <w:rPr>
          <w:sz w:val="22"/>
        </w:rPr>
        <w:t>G.</w:t>
      </w:r>
      <w:r>
        <w:rPr>
          <w:spacing w:val="-17"/>
          <w:sz w:val="22"/>
        </w:rPr>
        <w:t> </w:t>
      </w:r>
      <w:r>
        <w:rPr>
          <w:sz w:val="22"/>
        </w:rPr>
        <w:t>S.</w:t>
      </w:r>
      <w:r>
        <w:rPr>
          <w:spacing w:val="-17"/>
          <w:sz w:val="22"/>
        </w:rPr>
        <w:t> </w:t>
      </w:r>
      <w:r>
        <w:rPr>
          <w:sz w:val="22"/>
        </w:rPr>
        <w:t>(2020).</w:t>
      </w:r>
      <w:r>
        <w:rPr>
          <w:spacing w:val="-9"/>
          <w:sz w:val="22"/>
        </w:rPr>
        <w:t> </w:t>
      </w:r>
      <w:r>
        <w:rPr>
          <w:sz w:val="22"/>
        </w:rPr>
        <w:t>The</w:t>
      </w:r>
      <w:r>
        <w:rPr>
          <w:spacing w:val="-17"/>
          <w:sz w:val="22"/>
        </w:rPr>
        <w:t> </w:t>
      </w:r>
      <w:r>
        <w:rPr>
          <w:sz w:val="22"/>
        </w:rPr>
        <w:t>effect</w:t>
      </w:r>
      <w:r>
        <w:rPr>
          <w:spacing w:val="-17"/>
          <w:sz w:val="22"/>
        </w:rPr>
        <w:t> </w:t>
      </w:r>
      <w:r>
        <w:rPr>
          <w:sz w:val="22"/>
        </w:rPr>
        <w:t>of</w:t>
      </w:r>
      <w:r>
        <w:rPr>
          <w:spacing w:val="-17"/>
          <w:sz w:val="22"/>
        </w:rPr>
        <w:t> </w:t>
      </w:r>
      <w:r>
        <w:rPr>
          <w:sz w:val="22"/>
        </w:rPr>
        <w:t>emergency liquidity</w:t>
      </w:r>
      <w:r>
        <w:rPr>
          <w:spacing w:val="-15"/>
          <w:sz w:val="22"/>
        </w:rPr>
        <w:t> </w:t>
      </w:r>
      <w:r>
        <w:rPr>
          <w:sz w:val="22"/>
        </w:rPr>
        <w:t>assistance</w:t>
      </w:r>
      <w:r>
        <w:rPr>
          <w:spacing w:val="-14"/>
          <w:sz w:val="22"/>
        </w:rPr>
        <w:t> </w:t>
      </w:r>
      <w:r>
        <w:rPr>
          <w:sz w:val="22"/>
        </w:rPr>
        <w:t>(ELA)</w:t>
      </w:r>
      <w:r>
        <w:rPr>
          <w:spacing w:val="-15"/>
          <w:sz w:val="22"/>
        </w:rPr>
        <w:t> </w:t>
      </w:r>
      <w:r>
        <w:rPr>
          <w:sz w:val="22"/>
        </w:rPr>
        <w:t>on</w:t>
      </w:r>
      <w:r>
        <w:rPr>
          <w:spacing w:val="-14"/>
          <w:sz w:val="22"/>
        </w:rPr>
        <w:t> </w:t>
      </w:r>
      <w:r>
        <w:rPr>
          <w:sz w:val="22"/>
        </w:rPr>
        <w:t>bank</w:t>
      </w:r>
      <w:r>
        <w:rPr>
          <w:spacing w:val="-15"/>
          <w:sz w:val="22"/>
        </w:rPr>
        <w:t> </w:t>
      </w:r>
      <w:r>
        <w:rPr>
          <w:sz w:val="22"/>
        </w:rPr>
        <w:t>lending</w:t>
      </w:r>
      <w:r>
        <w:rPr>
          <w:spacing w:val="-14"/>
          <w:sz w:val="22"/>
        </w:rPr>
        <w:t> </w:t>
      </w:r>
      <w:r>
        <w:rPr>
          <w:sz w:val="22"/>
        </w:rPr>
        <w:t>during</w:t>
      </w:r>
      <w:r>
        <w:rPr>
          <w:spacing w:val="-15"/>
          <w:sz w:val="22"/>
        </w:rPr>
        <w:t> </w:t>
      </w:r>
      <w:r>
        <w:rPr>
          <w:sz w:val="22"/>
        </w:rPr>
        <w:t>the</w:t>
      </w:r>
      <w:r>
        <w:rPr>
          <w:spacing w:val="-14"/>
          <w:sz w:val="22"/>
        </w:rPr>
        <w:t> </w:t>
      </w:r>
      <w:r>
        <w:rPr>
          <w:sz w:val="22"/>
        </w:rPr>
        <w:t>Eeuro</w:t>
      </w:r>
      <w:r>
        <w:rPr>
          <w:spacing w:val="-15"/>
          <w:sz w:val="22"/>
        </w:rPr>
        <w:t> </w:t>
      </w:r>
      <w:r>
        <w:rPr>
          <w:sz w:val="22"/>
        </w:rPr>
        <w:t>area</w:t>
      </w:r>
      <w:r>
        <w:rPr>
          <w:spacing w:val="-14"/>
          <w:sz w:val="22"/>
        </w:rPr>
        <w:t> </w:t>
      </w:r>
      <w:r>
        <w:rPr>
          <w:sz w:val="22"/>
        </w:rPr>
        <w:t>crisis,</w:t>
      </w:r>
      <w:r>
        <w:rPr>
          <w:spacing w:val="-13"/>
          <w:sz w:val="22"/>
        </w:rPr>
        <w:t> </w:t>
      </w:r>
      <w:r>
        <w:rPr>
          <w:i/>
          <w:sz w:val="22"/>
        </w:rPr>
        <w:t>Journal</w:t>
      </w:r>
      <w:r>
        <w:rPr>
          <w:i/>
          <w:spacing w:val="-14"/>
          <w:sz w:val="22"/>
        </w:rPr>
        <w:t> </w:t>
      </w:r>
      <w:r>
        <w:rPr>
          <w:i/>
          <w:sz w:val="22"/>
        </w:rPr>
        <w:t>of</w:t>
      </w:r>
      <w:r>
        <w:rPr>
          <w:i/>
          <w:spacing w:val="-15"/>
          <w:sz w:val="22"/>
        </w:rPr>
        <w:t> </w:t>
      </w:r>
      <w:r>
        <w:rPr>
          <w:i/>
          <w:sz w:val="22"/>
        </w:rPr>
        <w:t>International</w:t>
      </w:r>
      <w:r>
        <w:rPr>
          <w:i/>
          <w:spacing w:val="-14"/>
          <w:sz w:val="22"/>
        </w:rPr>
        <w:t> </w:t>
      </w:r>
      <w:r>
        <w:rPr>
          <w:i/>
          <w:sz w:val="22"/>
        </w:rPr>
        <w:t>Money</w:t>
      </w:r>
      <w:r>
        <w:rPr>
          <w:i/>
          <w:spacing w:val="-15"/>
          <w:sz w:val="22"/>
        </w:rPr>
        <w:t> </w:t>
      </w:r>
      <w:r>
        <w:rPr>
          <w:i/>
          <w:sz w:val="22"/>
        </w:rPr>
        <w:t>and</w:t>
      </w:r>
      <w:bookmarkStart w:name="_bookmark16" w:id="40"/>
      <w:bookmarkEnd w:id="40"/>
      <w:r>
        <w:rPr>
          <w:i/>
          <w:sz w:val="22"/>
        </w:rPr>
      </w:r>
      <w:r>
        <w:rPr>
          <w:i/>
          <w:sz w:val="22"/>
        </w:rPr>
        <w:t> </w:t>
      </w:r>
      <w:r>
        <w:rPr>
          <w:i/>
          <w:sz w:val="22"/>
        </w:rPr>
        <w:t>Finance </w:t>
      </w:r>
      <w:r>
        <w:rPr>
          <w:b/>
          <w:sz w:val="22"/>
        </w:rPr>
        <w:t>108</w:t>
      </w:r>
      <w:r>
        <w:rPr>
          <w:sz w:val="22"/>
        </w:rPr>
        <w:t>: 102154.</w:t>
      </w:r>
      <w:r>
        <w:rPr>
          <w:spacing w:val="30"/>
          <w:sz w:val="22"/>
        </w:rPr>
        <w:t> </w:t>
      </w:r>
      <w:hyperlink r:id="rId20">
        <w:r>
          <w:rPr>
            <w:rFonts w:ascii="Arial"/>
            <w:color w:val="0000FF"/>
            <w:sz w:val="22"/>
          </w:rPr>
          <w:t>https://doi.org/10.1016/j.jimonfin.2020.102154</w:t>
        </w:r>
      </w:hyperlink>
    </w:p>
    <w:p>
      <w:pPr>
        <w:spacing w:line="410" w:lineRule="auto" w:before="2"/>
        <w:ind w:left="119" w:right="112" w:firstLine="0"/>
        <w:jc w:val="left"/>
        <w:rPr>
          <w:sz w:val="22"/>
        </w:rPr>
      </w:pPr>
      <w:r>
        <w:rPr>
          <w:w w:val="99"/>
          <w:sz w:val="22"/>
        </w:rPr>
        <w:t>Hannoun,</w:t>
      </w:r>
      <w:r>
        <w:rPr>
          <w:spacing w:val="8"/>
          <w:sz w:val="22"/>
        </w:rPr>
        <w:t> </w:t>
      </w:r>
      <w:r>
        <w:rPr>
          <w:w w:val="99"/>
          <w:sz w:val="22"/>
        </w:rPr>
        <w:t>H.,</w:t>
      </w:r>
      <w:r>
        <w:rPr>
          <w:spacing w:val="8"/>
          <w:sz w:val="22"/>
        </w:rPr>
        <w:t> </w:t>
      </w:r>
      <w:r>
        <w:rPr>
          <w:w w:val="99"/>
          <w:sz w:val="22"/>
        </w:rPr>
        <w:t>Issing,</w:t>
      </w:r>
      <w:r>
        <w:rPr>
          <w:spacing w:val="8"/>
          <w:sz w:val="22"/>
        </w:rPr>
        <w:t> </w:t>
      </w:r>
      <w:r>
        <w:rPr>
          <w:w w:val="99"/>
          <w:sz w:val="22"/>
        </w:rPr>
        <w:t>O.,</w:t>
      </w:r>
      <w:r>
        <w:rPr>
          <w:spacing w:val="8"/>
          <w:sz w:val="22"/>
        </w:rPr>
        <w:t> </w:t>
      </w:r>
      <w:r>
        <w:rPr>
          <w:w w:val="99"/>
          <w:sz w:val="22"/>
        </w:rPr>
        <w:t>Liebsche</w:t>
      </w:r>
      <w:r>
        <w:rPr>
          <w:spacing w:val="-9"/>
          <w:w w:val="99"/>
          <w:sz w:val="22"/>
        </w:rPr>
        <w:t>r</w:t>
      </w:r>
      <w:r>
        <w:rPr>
          <w:w w:val="99"/>
          <w:sz w:val="22"/>
        </w:rPr>
        <w:t>,</w:t>
      </w:r>
      <w:r>
        <w:rPr>
          <w:spacing w:val="8"/>
          <w:sz w:val="22"/>
        </w:rPr>
        <w:t> </w:t>
      </w:r>
      <w:r>
        <w:rPr>
          <w:w w:val="99"/>
          <w:sz w:val="22"/>
        </w:rPr>
        <w:t>K.,</w:t>
      </w:r>
      <w:r>
        <w:rPr>
          <w:spacing w:val="8"/>
          <w:sz w:val="22"/>
        </w:rPr>
        <w:t> </w:t>
      </w:r>
      <w:r>
        <w:rPr>
          <w:w w:val="99"/>
          <w:sz w:val="22"/>
        </w:rPr>
        <w:t>Schlesinge</w:t>
      </w:r>
      <w:r>
        <w:rPr>
          <w:spacing w:val="-9"/>
          <w:w w:val="99"/>
          <w:sz w:val="22"/>
        </w:rPr>
        <w:t>r</w:t>
      </w:r>
      <w:r>
        <w:rPr>
          <w:w w:val="99"/>
          <w:sz w:val="22"/>
        </w:rPr>
        <w:t>,</w:t>
      </w:r>
      <w:r>
        <w:rPr>
          <w:spacing w:val="8"/>
          <w:sz w:val="22"/>
        </w:rPr>
        <w:t> </w:t>
      </w:r>
      <w:r>
        <w:rPr>
          <w:w w:val="99"/>
          <w:sz w:val="22"/>
        </w:rPr>
        <w:t>H.,</w:t>
      </w:r>
      <w:r>
        <w:rPr>
          <w:spacing w:val="8"/>
          <w:sz w:val="22"/>
        </w:rPr>
        <w:t> </w:t>
      </w:r>
      <w:r>
        <w:rPr>
          <w:w w:val="99"/>
          <w:sz w:val="22"/>
        </w:rPr>
        <w:t>Stark,</w:t>
      </w:r>
      <w:r>
        <w:rPr>
          <w:spacing w:val="8"/>
          <w:sz w:val="22"/>
        </w:rPr>
        <w:t> </w:t>
      </w:r>
      <w:r>
        <w:rPr>
          <w:w w:val="99"/>
          <w:sz w:val="22"/>
        </w:rPr>
        <w:t>J.,</w:t>
      </w:r>
      <w:r>
        <w:rPr>
          <w:spacing w:val="8"/>
          <w:sz w:val="22"/>
        </w:rPr>
        <w:t> </w:t>
      </w:r>
      <w:r>
        <w:rPr>
          <w:spacing w:val="-18"/>
          <w:w w:val="99"/>
          <w:sz w:val="22"/>
        </w:rPr>
        <w:t>W</w:t>
      </w:r>
      <w:r>
        <w:rPr>
          <w:w w:val="99"/>
          <w:sz w:val="22"/>
        </w:rPr>
        <w:t>ellink,</w:t>
      </w:r>
      <w:r>
        <w:rPr>
          <w:spacing w:val="8"/>
          <w:sz w:val="22"/>
        </w:rPr>
        <w:t> </w:t>
      </w:r>
      <w:r>
        <w:rPr>
          <w:w w:val="99"/>
          <w:sz w:val="22"/>
        </w:rPr>
        <w:t>N.,</w:t>
      </w:r>
      <w:r>
        <w:rPr>
          <w:spacing w:val="8"/>
          <w:sz w:val="22"/>
        </w:rPr>
        <w:t> </w:t>
      </w:r>
      <w:r>
        <w:rPr>
          <w:w w:val="99"/>
          <w:sz w:val="22"/>
        </w:rPr>
        <w:t>de</w:t>
      </w:r>
      <w:r>
        <w:rPr>
          <w:spacing w:val="6"/>
          <w:sz w:val="22"/>
        </w:rPr>
        <w:t> </w:t>
      </w:r>
      <w:r>
        <w:rPr>
          <w:spacing w:val="-1"/>
          <w:w w:val="99"/>
          <w:sz w:val="22"/>
        </w:rPr>
        <w:t>L</w:t>
      </w:r>
      <w:r>
        <w:rPr>
          <w:w w:val="99"/>
          <w:sz w:val="22"/>
        </w:rPr>
        <w:t>arosi</w:t>
      </w:r>
      <w:r>
        <w:rPr>
          <w:spacing w:val="-85"/>
          <w:w w:val="99"/>
          <w:sz w:val="22"/>
        </w:rPr>
        <w:t>e</w:t>
      </w:r>
      <w:r>
        <w:rPr>
          <w:spacing w:val="12"/>
          <w:w w:val="99"/>
          <w:sz w:val="22"/>
        </w:rPr>
        <w:t>`</w:t>
      </w:r>
      <w:r>
        <w:rPr>
          <w:w w:val="99"/>
          <w:sz w:val="22"/>
        </w:rPr>
        <w:t>re</w:t>
      </w:r>
      <w:r>
        <w:rPr>
          <w:spacing w:val="6"/>
          <w:sz w:val="22"/>
        </w:rPr>
        <w:t> </w:t>
      </w:r>
      <w:r>
        <w:rPr>
          <w:w w:val="99"/>
          <w:sz w:val="22"/>
        </w:rPr>
        <w:t>and</w:t>
      </w:r>
      <w:r>
        <w:rPr>
          <w:spacing w:val="6"/>
          <w:sz w:val="22"/>
        </w:rPr>
        <w:t> </w:t>
      </w:r>
      <w:r>
        <w:rPr>
          <w:w w:val="99"/>
          <w:sz w:val="22"/>
        </w:rPr>
        <w:t>N</w:t>
      </w:r>
      <w:r>
        <w:rPr>
          <w:spacing w:val="-3"/>
          <w:w w:val="99"/>
          <w:sz w:val="22"/>
        </w:rPr>
        <w:t>o</w:t>
      </w:r>
      <w:r>
        <w:rPr>
          <w:w w:val="99"/>
          <w:sz w:val="22"/>
        </w:rPr>
        <w:t>ye</w:t>
      </w:r>
      <w:r>
        <w:rPr>
          <w:spacing w:val="-9"/>
          <w:w w:val="99"/>
          <w:sz w:val="22"/>
        </w:rPr>
        <w:t>r</w:t>
      </w:r>
      <w:r>
        <w:rPr>
          <w:w w:val="99"/>
          <w:sz w:val="22"/>
        </w:rPr>
        <w:t>,</w:t>
      </w:r>
      <w:r>
        <w:rPr>
          <w:spacing w:val="8"/>
          <w:sz w:val="22"/>
        </w:rPr>
        <w:t> </w:t>
      </w:r>
      <w:r>
        <w:rPr>
          <w:w w:val="99"/>
          <w:sz w:val="22"/>
        </w:rPr>
        <w:t>C. </w:t>
      </w:r>
      <w:r>
        <w:rPr>
          <w:sz w:val="22"/>
        </w:rPr>
        <w:t>(2019). Memorandum on the </w:t>
      </w:r>
      <w:r>
        <w:rPr>
          <w:spacing w:val="-3"/>
          <w:sz w:val="22"/>
        </w:rPr>
        <w:t>ECB’s </w:t>
      </w:r>
      <w:r>
        <w:rPr>
          <w:sz w:val="22"/>
        </w:rPr>
        <w:t>monetary </w:t>
      </w:r>
      <w:r>
        <w:rPr>
          <w:spacing w:val="-3"/>
          <w:sz w:val="22"/>
        </w:rPr>
        <w:t>policy. </w:t>
      </w:r>
      <w:r>
        <w:rPr>
          <w:sz w:val="22"/>
        </w:rPr>
        <w:t>Published October 4, 2019, accessed 9. Sep. </w:t>
      </w:r>
      <w:r>
        <w:rPr>
          <w:spacing w:val="-3"/>
          <w:sz w:val="22"/>
        </w:rPr>
        <w:t>2024.</w:t>
      </w:r>
      <w:bookmarkStart w:name="_bookmark17" w:id="41"/>
      <w:bookmarkEnd w:id="41"/>
      <w:r>
        <w:rPr>
          <w:spacing w:val="-3"/>
          <w:sz w:val="22"/>
        </w:rPr>
      </w:r>
      <w:r>
        <w:rPr>
          <w:spacing w:val="-3"/>
          <w:sz w:val="22"/>
        </w:rPr>
        <w:t> </w:t>
      </w:r>
      <w:hyperlink r:id="rId21">
        <w:r>
          <w:rPr>
            <w:rFonts w:ascii="Arial" w:hAnsi="Arial"/>
            <w:color w:val="0000FF"/>
            <w:sz w:val="22"/>
          </w:rPr>
          <w:t>https://www.hanswernersinn.de/dcs/Memorand-ECB-Monetary-Policy-04102019.pdf</w:t>
        </w:r>
      </w:hyperlink>
      <w:r>
        <w:rPr>
          <w:rFonts w:ascii="Arial" w:hAnsi="Arial"/>
          <w:color w:val="0000FF"/>
          <w:sz w:val="22"/>
        </w:rPr>
        <w:t>    </w:t>
      </w:r>
      <w:r>
        <w:rPr>
          <w:sz w:val="22"/>
        </w:rPr>
        <w:t>Hoffmann, D. (2015). </w:t>
      </w:r>
      <w:r>
        <w:rPr>
          <w:i/>
          <w:sz w:val="22"/>
        </w:rPr>
        <w:t>DIE EZB IN DER KRISE. Eine Analyse der wesentlichen Sondermaßnahmen von </w:t>
      </w:r>
      <w:r>
        <w:rPr>
          <w:i/>
          <w:sz w:val="22"/>
        </w:rPr>
        <w:t>2007 bis 2012</w:t>
      </w:r>
      <w:r>
        <w:rPr>
          <w:sz w:val="22"/>
        </w:rPr>
        <w:t>, PhD thesis, TU Berlin, Berlin, </w:t>
      </w:r>
      <w:r>
        <w:rPr>
          <w:spacing w:val="-3"/>
          <w:sz w:val="22"/>
        </w:rPr>
        <w:t>Germany, </w:t>
      </w:r>
      <w:r>
        <w:rPr>
          <w:sz w:val="22"/>
        </w:rPr>
        <w:t>EU. </w:t>
      </w:r>
      <w:r>
        <w:rPr>
          <w:spacing w:val="-3"/>
          <w:sz w:val="22"/>
        </w:rPr>
        <w:t>Westarp </w:t>
      </w:r>
      <w:r>
        <w:rPr>
          <w:sz w:val="22"/>
        </w:rPr>
        <w:t>BookOnDemand, Pro BUSINESS</w:t>
      </w:r>
      <w:bookmarkStart w:name="_bookmark18" w:id="42"/>
      <w:bookmarkEnd w:id="42"/>
      <w:r>
        <w:rPr>
          <w:sz w:val="22"/>
        </w:rPr>
      </w:r>
      <w:r>
        <w:rPr>
          <w:sz w:val="22"/>
        </w:rPr>
        <w:t> </w:t>
      </w:r>
      <w:r>
        <w:rPr>
          <w:spacing w:val="-4"/>
          <w:sz w:val="22"/>
        </w:rPr>
        <w:t>Verlag, </w:t>
      </w:r>
      <w:r>
        <w:rPr>
          <w:sz w:val="22"/>
        </w:rPr>
        <w:t>Artikelnummer: 14603, </w:t>
      </w:r>
      <w:r>
        <w:rPr>
          <w:spacing w:val="-4"/>
          <w:sz w:val="22"/>
        </w:rPr>
        <w:t>Nr. </w:t>
      </w:r>
      <w:r>
        <w:rPr>
          <w:sz w:val="22"/>
        </w:rPr>
        <w:t>1 der Schriftenreihe zur Erforschung des</w:t>
      </w:r>
      <w:r>
        <w:rPr>
          <w:spacing w:val="-6"/>
          <w:sz w:val="22"/>
        </w:rPr>
        <w:t> </w:t>
      </w:r>
      <w:r>
        <w:rPr>
          <w:sz w:val="22"/>
        </w:rPr>
        <w:t>Geldwesens.</w:t>
      </w:r>
    </w:p>
    <w:p>
      <w:pPr>
        <w:tabs>
          <w:tab w:pos="1274" w:val="left" w:leader="none"/>
          <w:tab w:pos="2774" w:val="left" w:leader="none"/>
          <w:tab w:pos="7017" w:val="left" w:leader="none"/>
          <w:tab w:pos="7311" w:val="left" w:leader="none"/>
        </w:tabs>
        <w:spacing w:line="410" w:lineRule="auto" w:before="4"/>
        <w:ind w:left="119" w:right="112" w:firstLine="0"/>
        <w:jc w:val="left"/>
        <w:rPr>
          <w:sz w:val="22"/>
        </w:rPr>
      </w:pPr>
      <w:r>
        <w:rPr>
          <w:w w:val="99"/>
          <w:sz w:val="22"/>
        </w:rPr>
        <w:t>Ho</w:t>
      </w:r>
      <w:r>
        <w:rPr>
          <w:spacing w:val="-6"/>
          <w:w w:val="99"/>
          <w:sz w:val="22"/>
        </w:rPr>
        <w:t>f</w:t>
      </w:r>
      <w:r>
        <w:rPr>
          <w:w w:val="99"/>
          <w:sz w:val="22"/>
        </w:rPr>
        <w:t>fmann,</w:t>
      </w:r>
      <w:r>
        <w:rPr>
          <w:sz w:val="22"/>
        </w:rPr>
        <w:tab/>
      </w:r>
      <w:r>
        <w:rPr>
          <w:w w:val="99"/>
          <w:sz w:val="22"/>
        </w:rPr>
        <w:t>D.</w:t>
      </w:r>
      <w:r>
        <w:rPr>
          <w:sz w:val="22"/>
        </w:rPr>
        <w:t>  </w:t>
      </w:r>
      <w:r>
        <w:rPr>
          <w:spacing w:val="13"/>
          <w:sz w:val="22"/>
        </w:rPr>
        <w:t> </w:t>
      </w:r>
      <w:r>
        <w:rPr>
          <w:w w:val="99"/>
          <w:sz w:val="22"/>
        </w:rPr>
        <w:t>(2016).</w:t>
      </w:r>
      <w:r>
        <w:rPr>
          <w:sz w:val="22"/>
        </w:rPr>
        <w:tab/>
      </w:r>
      <w:r>
        <w:rPr>
          <w:w w:val="99"/>
          <w:sz w:val="22"/>
        </w:rPr>
        <w:t>Erste</w:t>
      </w:r>
      <w:r>
        <w:rPr>
          <w:sz w:val="22"/>
        </w:rPr>
        <w:t>  </w:t>
      </w:r>
      <w:r>
        <w:rPr>
          <w:spacing w:val="13"/>
          <w:sz w:val="22"/>
        </w:rPr>
        <w:t> </w:t>
      </w:r>
      <w:r>
        <w:rPr>
          <w:w w:val="99"/>
          <w:sz w:val="22"/>
        </w:rPr>
        <w:t>Er</w:t>
      </w:r>
      <w:r>
        <w:rPr>
          <w:spacing w:val="-3"/>
          <w:w w:val="99"/>
          <w:sz w:val="22"/>
        </w:rPr>
        <w:t>k</w:t>
      </w:r>
      <w:r>
        <w:rPr>
          <w:w w:val="99"/>
          <w:sz w:val="22"/>
        </w:rPr>
        <w:t>enntnisse</w:t>
      </w:r>
      <w:r>
        <w:rPr>
          <w:sz w:val="22"/>
        </w:rPr>
        <w:t>  </w:t>
      </w:r>
      <w:r>
        <w:rPr>
          <w:spacing w:val="13"/>
          <w:sz w:val="22"/>
        </w:rPr>
        <w:t> </w:t>
      </w:r>
      <w:r>
        <w:rPr>
          <w:w w:val="99"/>
          <w:sz w:val="22"/>
        </w:rPr>
        <w:t>zum</w:t>
      </w:r>
      <w:r>
        <w:rPr>
          <w:sz w:val="22"/>
        </w:rPr>
        <w:t>  </w:t>
      </w:r>
      <w:r>
        <w:rPr>
          <w:spacing w:val="13"/>
          <w:sz w:val="22"/>
        </w:rPr>
        <w:t> </w:t>
      </w:r>
      <w:r>
        <w:rPr>
          <w:w w:val="99"/>
          <w:sz w:val="22"/>
        </w:rPr>
        <w:t>AN</w:t>
      </w:r>
      <w:r>
        <w:rPr>
          <w:spacing w:val="-17"/>
          <w:w w:val="99"/>
          <w:sz w:val="22"/>
        </w:rPr>
        <w:t>F</w:t>
      </w:r>
      <w:r>
        <w:rPr>
          <w:w w:val="99"/>
          <w:sz w:val="22"/>
        </w:rPr>
        <w:t>A-Ab</w:t>
      </w:r>
      <w:r>
        <w:rPr>
          <w:spacing w:val="-3"/>
          <w:w w:val="99"/>
          <w:sz w:val="22"/>
        </w:rPr>
        <w:t>k</w:t>
      </w:r>
      <w:r>
        <w:rPr>
          <w:w w:val="99"/>
          <w:sz w:val="22"/>
        </w:rPr>
        <w:t>ommen:</w:t>
      </w:r>
      <w:r>
        <w:rPr>
          <w:sz w:val="22"/>
        </w:rPr>
        <w:tab/>
        <w:tab/>
      </w:r>
      <w:r>
        <w:rPr>
          <w:w w:val="99"/>
          <w:sz w:val="22"/>
        </w:rPr>
        <w:t>AN</w:t>
      </w:r>
      <w:r>
        <w:rPr>
          <w:spacing w:val="-17"/>
          <w:w w:val="99"/>
          <w:sz w:val="22"/>
        </w:rPr>
        <w:t>F</w:t>
      </w:r>
      <w:r>
        <w:rPr>
          <w:w w:val="99"/>
          <w:sz w:val="22"/>
        </w:rPr>
        <w:t>A</w:t>
      </w:r>
      <w:r>
        <w:rPr>
          <w:sz w:val="22"/>
        </w:rPr>
        <w:t>  </w:t>
      </w:r>
      <w:r>
        <w:rPr>
          <w:spacing w:val="12"/>
          <w:sz w:val="22"/>
        </w:rPr>
        <w:t> </w:t>
      </w:r>
      <w:r>
        <w:rPr>
          <w:w w:val="99"/>
          <w:sz w:val="22"/>
        </w:rPr>
        <w:t>er</w:t>
      </w:r>
      <w:r>
        <w:rPr>
          <w:spacing w:val="-1"/>
          <w:w w:val="99"/>
          <w:sz w:val="22"/>
        </w:rPr>
        <w:t>m</w:t>
      </w:r>
      <w:r>
        <w:rPr>
          <w:spacing w:val="-91"/>
          <w:w w:val="99"/>
          <w:sz w:val="22"/>
        </w:rPr>
        <w:t>o</w:t>
      </w:r>
      <w:r>
        <w:rPr>
          <w:spacing w:val="18"/>
          <w:w w:val="99"/>
          <w:sz w:val="22"/>
        </w:rPr>
        <w:t>¨</w:t>
      </w:r>
      <w:r>
        <w:rPr>
          <w:w w:val="99"/>
          <w:sz w:val="22"/>
        </w:rPr>
        <w:t>glicht</w:t>
      </w:r>
      <w:r>
        <w:rPr>
          <w:sz w:val="22"/>
        </w:rPr>
        <w:t>  </w:t>
      </w:r>
      <w:r>
        <w:rPr>
          <w:spacing w:val="13"/>
          <w:sz w:val="22"/>
        </w:rPr>
        <w:t> </w:t>
      </w:r>
      <w:r>
        <w:rPr>
          <w:spacing w:val="-5"/>
          <w:w w:val="99"/>
          <w:sz w:val="22"/>
        </w:rPr>
        <w:t>Fi-</w:t>
      </w:r>
      <w:r>
        <w:rPr>
          <w:w w:val="99"/>
          <w:sz w:val="22"/>
        </w:rPr>
        <w:t> </w:t>
      </w:r>
      <w:r>
        <w:rPr>
          <w:sz w:val="22"/>
        </w:rPr>
        <w:t>nanzierung   von   Bankenabwicklungen   durch</w:t>
      </w:r>
      <w:r>
        <w:rPr>
          <w:spacing w:val="-6"/>
          <w:sz w:val="22"/>
        </w:rPr>
        <w:t> </w:t>
      </w:r>
      <w:r>
        <w:rPr>
          <w:sz w:val="22"/>
        </w:rPr>
        <w:t>nationale </w:t>
      </w:r>
      <w:r>
        <w:rPr>
          <w:spacing w:val="26"/>
          <w:sz w:val="22"/>
        </w:rPr>
        <w:t> </w:t>
      </w:r>
      <w:r>
        <w:rPr>
          <w:sz w:val="22"/>
        </w:rPr>
        <w:t>Zentralbanken.</w:t>
        <w:tab/>
        <w:t>ifo Schnelldienst</w:t>
      </w:r>
      <w:r>
        <w:rPr>
          <w:spacing w:val="6"/>
          <w:sz w:val="22"/>
        </w:rPr>
        <w:t> </w:t>
      </w:r>
      <w:r>
        <w:rPr>
          <w:spacing w:val="-3"/>
          <w:sz w:val="22"/>
        </w:rPr>
        <w:t>13/2016</w:t>
      </w:r>
    </w:p>
    <w:p>
      <w:pPr>
        <w:tabs>
          <w:tab w:pos="3729" w:val="left" w:leader="none"/>
          <w:tab w:pos="6581" w:val="left" w:leader="none"/>
        </w:tabs>
        <w:spacing w:line="410" w:lineRule="auto" w:before="1"/>
        <w:ind w:left="119" w:right="112" w:firstLine="0"/>
        <w:jc w:val="left"/>
        <w:rPr>
          <w:rFonts w:ascii="Arial"/>
          <w:sz w:val="22"/>
        </w:rPr>
      </w:pPr>
      <w:r>
        <w:rPr>
          <w:sz w:val="22"/>
        </w:rPr>
        <w:t>-  </w:t>
      </w:r>
      <w:r>
        <w:rPr>
          <w:spacing w:val="16"/>
          <w:sz w:val="22"/>
        </w:rPr>
        <w:t> </w:t>
      </w:r>
      <w:r>
        <w:rPr>
          <w:sz w:val="22"/>
        </w:rPr>
        <w:t>69.  </w:t>
      </w:r>
      <w:r>
        <w:rPr>
          <w:spacing w:val="16"/>
          <w:sz w:val="22"/>
        </w:rPr>
        <w:t> </w:t>
      </w:r>
      <w:r>
        <w:rPr>
          <w:sz w:val="22"/>
        </w:rPr>
        <w:t>Jahrgang  </w:t>
      </w:r>
      <w:r>
        <w:rPr>
          <w:spacing w:val="16"/>
          <w:sz w:val="22"/>
        </w:rPr>
        <w:t> </w:t>
      </w:r>
      <w:r>
        <w:rPr>
          <w:sz w:val="22"/>
        </w:rPr>
        <w:t>-  </w:t>
      </w:r>
      <w:r>
        <w:rPr>
          <w:spacing w:val="17"/>
          <w:sz w:val="22"/>
        </w:rPr>
        <w:t> </w:t>
      </w:r>
      <w:r>
        <w:rPr>
          <w:sz w:val="22"/>
        </w:rPr>
        <w:t>14.  </w:t>
      </w:r>
      <w:r>
        <w:rPr>
          <w:spacing w:val="16"/>
          <w:sz w:val="22"/>
        </w:rPr>
        <w:t> </w:t>
      </w:r>
      <w:r>
        <w:rPr>
          <w:sz w:val="22"/>
        </w:rPr>
        <w:t>Juli  </w:t>
      </w:r>
      <w:r>
        <w:rPr>
          <w:spacing w:val="16"/>
          <w:sz w:val="22"/>
        </w:rPr>
        <w:t> </w:t>
      </w:r>
      <w:r>
        <w:rPr>
          <w:sz w:val="22"/>
        </w:rPr>
        <w:t>2016,</w:t>
        <w:tab/>
        <w:t>accessed   5.  </w:t>
      </w:r>
      <w:r>
        <w:rPr>
          <w:spacing w:val="32"/>
          <w:sz w:val="22"/>
        </w:rPr>
        <w:t> </w:t>
      </w:r>
      <w:r>
        <w:rPr>
          <w:sz w:val="22"/>
        </w:rPr>
        <w:t>Sep.  </w:t>
      </w:r>
      <w:r>
        <w:rPr>
          <w:spacing w:val="16"/>
          <w:sz w:val="22"/>
        </w:rPr>
        <w:t> </w:t>
      </w:r>
      <w:r>
        <w:rPr>
          <w:sz w:val="22"/>
        </w:rPr>
        <w:t>2024.</w:t>
        <w:tab/>
      </w:r>
      <w:hyperlink r:id="rId22">
        <w:r>
          <w:rPr>
            <w:rFonts w:ascii="Arial"/>
            <w:color w:val="0000FF"/>
            <w:spacing w:val="-1"/>
            <w:sz w:val="22"/>
          </w:rPr>
          <w:t>https://www.ifo.de/DocDL/</w:t>
        </w:r>
      </w:hyperlink>
      <w:bookmarkStart w:name="_bookmark19" w:id="43"/>
      <w:bookmarkEnd w:id="43"/>
      <w:r>
        <w:rPr>
          <w:rFonts w:ascii="Arial"/>
          <w:color w:val="0000FF"/>
          <w:spacing w:val="-1"/>
          <w:sz w:val="22"/>
        </w:rPr>
      </w:r>
      <w:hyperlink r:id="rId22">
        <w:r>
          <w:rPr>
            <w:rFonts w:ascii="Arial"/>
            <w:color w:val="0000FF"/>
            <w:spacing w:val="-1"/>
            <w:sz w:val="22"/>
          </w:rPr>
          <w:t> </w:t>
        </w:r>
        <w:r>
          <w:rPr>
            <w:rFonts w:ascii="Arial"/>
            <w:color w:val="0000FF"/>
            <w:sz w:val="22"/>
          </w:rPr>
          <w:t>sd-2016-13-hoffman-anfa-irland{%}20-2016-07-14.pdf</w:t>
        </w:r>
      </w:hyperlink>
    </w:p>
    <w:p>
      <w:pPr>
        <w:spacing w:line="410" w:lineRule="auto" w:before="2"/>
        <w:ind w:left="119" w:right="112" w:firstLine="0"/>
        <w:jc w:val="both"/>
        <w:rPr>
          <w:rFonts w:ascii="Arial"/>
          <w:sz w:val="22"/>
        </w:rPr>
      </w:pPr>
      <w:r>
        <w:rPr>
          <w:sz w:val="22"/>
        </w:rPr>
        <w:t>Hreinsson, </w:t>
      </w:r>
      <w:r>
        <w:rPr>
          <w:spacing w:val="-9"/>
          <w:sz w:val="22"/>
        </w:rPr>
        <w:t>P., </w:t>
      </w:r>
      <w:r>
        <w:rPr>
          <w:sz w:val="22"/>
        </w:rPr>
        <w:t>Tryggvi, G. and Sigridur, B. (2009). Causes of the collapse of the icelanldic banks -</w:t>
      </w:r>
      <w:r>
        <w:rPr>
          <w:spacing w:val="-28"/>
          <w:sz w:val="22"/>
        </w:rPr>
        <w:t> </w:t>
      </w:r>
      <w:r>
        <w:rPr>
          <w:sz w:val="22"/>
        </w:rPr>
        <w:t>respon- sibility, mistakes and negligence. Report prepared for the Icelandic Special Investigation Commission, 9</w:t>
      </w:r>
      <w:bookmarkStart w:name="_bookmark20" w:id="44"/>
      <w:bookmarkEnd w:id="44"/>
      <w:r>
        <w:rPr>
          <w:sz w:val="22"/>
        </w:rPr>
      </w:r>
      <w:r>
        <w:rPr>
          <w:sz w:val="22"/>
        </w:rPr>
        <w:t> March 2009.</w:t>
      </w:r>
      <w:r>
        <w:rPr>
          <w:spacing w:val="15"/>
          <w:sz w:val="22"/>
        </w:rPr>
        <w:t> </w:t>
      </w:r>
      <w:hyperlink r:id="rId23">
        <w:r>
          <w:rPr>
            <w:rFonts w:ascii="Arial"/>
            <w:color w:val="0000FF"/>
            <w:sz w:val="22"/>
          </w:rPr>
          <w:t>https://www.rna.is/media/skjol/RNAvefurKafli21Enska.pdf</w:t>
        </w:r>
      </w:hyperlink>
    </w:p>
    <w:p>
      <w:pPr>
        <w:spacing w:line="410" w:lineRule="auto" w:before="1"/>
        <w:ind w:left="120" w:right="112" w:firstLine="0"/>
        <w:jc w:val="both"/>
        <w:rPr>
          <w:rFonts w:ascii="Arial" w:hAnsi="Arial"/>
          <w:sz w:val="22"/>
        </w:rPr>
      </w:pPr>
      <w:r>
        <w:rPr>
          <w:sz w:val="22"/>
        </w:rPr>
        <w:t>Ojeda,  A.  R.  (2022).   Which  constitutional  economics  for  the  two-decade-old  eurozone?,   </w:t>
      </w:r>
      <w:r>
        <w:rPr>
          <w:i/>
          <w:spacing w:val="-4"/>
          <w:sz w:val="22"/>
        </w:rPr>
        <w:t>Fu-   </w:t>
      </w:r>
      <w:r>
        <w:rPr>
          <w:i/>
          <w:spacing w:val="-3"/>
          <w:sz w:val="22"/>
        </w:rPr>
        <w:t>ture </w:t>
      </w:r>
      <w:r>
        <w:rPr>
          <w:i/>
          <w:sz w:val="22"/>
        </w:rPr>
        <w:t>Europe Journal </w:t>
      </w:r>
      <w:r>
        <w:rPr>
          <w:b/>
          <w:sz w:val="22"/>
        </w:rPr>
        <w:t>2</w:t>
      </w:r>
      <w:r>
        <w:rPr>
          <w:sz w:val="22"/>
        </w:rPr>
        <w:t>(1): 42–49. </w:t>
      </w:r>
      <w:hyperlink r:id="rId12">
        <w:r>
          <w:rPr>
            <w:rFonts w:ascii="Arial" w:hAnsi="Arial"/>
            <w:color w:val="0000FF"/>
            <w:sz w:val="22"/>
          </w:rPr>
          <w:t>https://feu-journal.eu/wp-content/uploads/2023/03/</w:t>
        </w:r>
      </w:hyperlink>
      <w:bookmarkStart w:name="_bookmark21" w:id="45"/>
      <w:bookmarkEnd w:id="45"/>
      <w:r>
        <w:rPr>
          <w:rFonts w:ascii="Arial" w:hAnsi="Arial"/>
          <w:color w:val="0000FF"/>
          <w:sz w:val="22"/>
        </w:rPr>
      </w:r>
      <w:r>
        <w:rPr>
          <w:rFonts w:ascii="Arial" w:hAnsi="Arial"/>
          <w:color w:val="0000FF"/>
          <w:sz w:val="22"/>
        </w:rPr>
        <w:t> </w:t>
      </w:r>
      <w:hyperlink r:id="rId12">
        <w:r>
          <w:rPr>
            <w:rFonts w:ascii="Arial" w:hAnsi="Arial"/>
            <w:color w:val="0000FF"/>
            <w:sz w:val="22"/>
          </w:rPr>
          <w:t>FEU-Journal-Issue-2_Inflation-rising.pdf</w:t>
        </w:r>
      </w:hyperlink>
    </w:p>
    <w:p>
      <w:pPr>
        <w:spacing w:line="410" w:lineRule="auto" w:before="1"/>
        <w:ind w:left="120" w:right="112" w:firstLine="0"/>
        <w:jc w:val="both"/>
        <w:rPr>
          <w:rFonts w:ascii="Arial" w:hAnsi="Arial"/>
          <w:sz w:val="22"/>
        </w:rPr>
      </w:pPr>
      <w:r>
        <w:rPr>
          <w:w w:val="99"/>
          <w:sz w:val="22"/>
        </w:rPr>
        <w:t>Ojeda,</w:t>
      </w:r>
      <w:r>
        <w:rPr>
          <w:sz w:val="22"/>
        </w:rPr>
        <w:t> </w:t>
      </w:r>
      <w:r>
        <w:rPr>
          <w:spacing w:val="-19"/>
          <w:sz w:val="22"/>
        </w:rPr>
        <w:t> </w:t>
      </w:r>
      <w:r>
        <w:rPr>
          <w:w w:val="99"/>
          <w:sz w:val="22"/>
        </w:rPr>
        <w:t>A.</w:t>
      </w:r>
      <w:r>
        <w:rPr>
          <w:sz w:val="22"/>
        </w:rPr>
        <w:t> </w:t>
      </w:r>
      <w:r>
        <w:rPr>
          <w:spacing w:val="-27"/>
          <w:sz w:val="22"/>
        </w:rPr>
        <w:t> </w:t>
      </w:r>
      <w:r>
        <w:rPr>
          <w:w w:val="99"/>
          <w:sz w:val="22"/>
        </w:rPr>
        <w:t>R.</w:t>
      </w:r>
      <w:r>
        <w:rPr>
          <w:sz w:val="22"/>
        </w:rPr>
        <w:t> </w:t>
      </w:r>
      <w:r>
        <w:rPr>
          <w:spacing w:val="-26"/>
          <w:sz w:val="22"/>
        </w:rPr>
        <w:t> </w:t>
      </w:r>
      <w:r>
        <w:rPr>
          <w:w w:val="99"/>
          <w:sz w:val="22"/>
        </w:rPr>
        <w:t>(2024).</w:t>
      </w:r>
      <w:r>
        <w:rPr>
          <w:sz w:val="22"/>
        </w:rPr>
        <w:t>  </w:t>
      </w:r>
      <w:r>
        <w:rPr>
          <w:spacing w:val="7"/>
          <w:sz w:val="22"/>
        </w:rPr>
        <w:t> </w:t>
      </w:r>
      <w:r>
        <w:rPr>
          <w:w w:val="99"/>
          <w:sz w:val="22"/>
        </w:rPr>
        <w:t>El</w:t>
      </w:r>
      <w:r>
        <w:rPr>
          <w:sz w:val="22"/>
        </w:rPr>
        <w:t> </w:t>
      </w:r>
      <w:r>
        <w:rPr>
          <w:spacing w:val="-27"/>
          <w:sz w:val="22"/>
        </w:rPr>
        <w:t> </w:t>
      </w:r>
      <w:r>
        <w:rPr>
          <w:w w:val="99"/>
          <w:sz w:val="22"/>
        </w:rPr>
        <w:t>Eurosistema:</w:t>
      </w:r>
      <w:r>
        <w:rPr>
          <w:sz w:val="22"/>
        </w:rPr>
        <w:t> </w:t>
      </w:r>
      <w:r>
        <w:rPr>
          <w:spacing w:val="16"/>
          <w:sz w:val="22"/>
        </w:rPr>
        <w:t> </w:t>
      </w:r>
      <w:r>
        <w:rPr>
          <w:w w:val="99"/>
          <w:sz w:val="22"/>
        </w:rPr>
        <w:t>dominancia</w:t>
      </w:r>
      <w:r>
        <w:rPr>
          <w:sz w:val="22"/>
        </w:rPr>
        <w:t> </w:t>
      </w:r>
      <w:r>
        <w:rPr>
          <w:spacing w:val="-26"/>
          <w:sz w:val="22"/>
        </w:rPr>
        <w:t> </w:t>
      </w:r>
      <w:r>
        <w:rPr>
          <w:w w:val="99"/>
          <w:sz w:val="22"/>
        </w:rPr>
        <w:t>monetaria</w:t>
      </w:r>
      <w:r>
        <w:rPr>
          <w:sz w:val="22"/>
        </w:rPr>
        <w:t> </w:t>
      </w:r>
      <w:r>
        <w:rPr>
          <w:spacing w:val="-26"/>
          <w:sz w:val="22"/>
        </w:rPr>
        <w:t> </w:t>
      </w:r>
      <w:r>
        <w:rPr>
          <w:w w:val="99"/>
          <w:sz w:val="22"/>
        </w:rPr>
        <w:t>o</w:t>
      </w:r>
      <w:r>
        <w:rPr>
          <w:sz w:val="22"/>
        </w:rPr>
        <w:t> </w:t>
      </w:r>
      <w:r>
        <w:rPr>
          <w:spacing w:val="-27"/>
          <w:sz w:val="22"/>
        </w:rPr>
        <w:t> </w:t>
      </w:r>
      <w:r>
        <w:rPr>
          <w:w w:val="99"/>
          <w:sz w:val="22"/>
        </w:rPr>
        <w:t>redistri</w:t>
      </w:r>
      <w:r>
        <w:rPr>
          <w:spacing w:val="-5"/>
          <w:w w:val="99"/>
          <w:sz w:val="22"/>
        </w:rPr>
        <w:t>b</w:t>
      </w:r>
      <w:r>
        <w:rPr>
          <w:w w:val="99"/>
          <w:sz w:val="22"/>
        </w:rPr>
        <w:t>uci</w:t>
      </w:r>
      <w:r>
        <w:rPr>
          <w:spacing w:val="-91"/>
          <w:w w:val="99"/>
          <w:sz w:val="22"/>
        </w:rPr>
        <w:t>o</w:t>
      </w:r>
      <w:r>
        <w:rPr>
          <w:spacing w:val="18"/>
          <w:w w:val="99"/>
          <w:sz w:val="22"/>
        </w:rPr>
        <w:t>´</w:t>
      </w:r>
      <w:r>
        <w:rPr>
          <w:w w:val="99"/>
          <w:sz w:val="22"/>
        </w:rPr>
        <w:t>n</w:t>
      </w:r>
      <w:r>
        <w:rPr>
          <w:sz w:val="22"/>
        </w:rPr>
        <w:t> </w:t>
      </w:r>
      <w:r>
        <w:rPr>
          <w:spacing w:val="-26"/>
          <w:sz w:val="22"/>
        </w:rPr>
        <w:t> </w:t>
      </w:r>
      <w:r>
        <w:rPr>
          <w:w w:val="99"/>
          <w:sz w:val="22"/>
        </w:rPr>
        <w:t>mediante</w:t>
      </w:r>
      <w:r>
        <w:rPr>
          <w:sz w:val="22"/>
        </w:rPr>
        <w:t> </w:t>
      </w:r>
      <w:r>
        <w:rPr>
          <w:spacing w:val="-26"/>
          <w:sz w:val="22"/>
        </w:rPr>
        <w:t> </w:t>
      </w:r>
      <w:r>
        <w:rPr>
          <w:w w:val="99"/>
          <w:sz w:val="22"/>
        </w:rPr>
        <w:t>r</w:t>
      </w:r>
      <w:r>
        <w:rPr>
          <w:spacing w:val="-4"/>
          <w:w w:val="99"/>
          <w:sz w:val="22"/>
        </w:rPr>
        <w:t>e</w:t>
      </w:r>
      <w:r>
        <w:rPr>
          <w:w w:val="99"/>
          <w:sz w:val="22"/>
        </w:rPr>
        <w:t>gulac</w:t>
      </w:r>
      <w:r>
        <w:rPr>
          <w:spacing w:val="-1"/>
          <w:w w:val="99"/>
          <w:sz w:val="22"/>
        </w:rPr>
        <w:t>i</w:t>
      </w:r>
      <w:r>
        <w:rPr>
          <w:spacing w:val="-91"/>
          <w:w w:val="99"/>
          <w:sz w:val="22"/>
        </w:rPr>
        <w:t>o</w:t>
      </w:r>
      <w:r>
        <w:rPr>
          <w:spacing w:val="18"/>
          <w:w w:val="99"/>
          <w:sz w:val="22"/>
        </w:rPr>
        <w:t>´</w:t>
      </w:r>
      <w:r>
        <w:rPr>
          <w:w w:val="99"/>
          <w:sz w:val="22"/>
        </w:rPr>
        <w:t>n.</w:t>
      </w:r>
      <w:r>
        <w:rPr>
          <w:sz w:val="22"/>
        </w:rPr>
        <w:t> </w:t>
      </w:r>
      <w:r>
        <w:rPr>
          <w:spacing w:val="-26"/>
          <w:sz w:val="22"/>
        </w:rPr>
        <w:t> </w:t>
      </w:r>
      <w:r>
        <w:rPr>
          <w:w w:val="99"/>
          <w:sz w:val="22"/>
        </w:rPr>
        <w:t>En </w:t>
      </w:r>
      <w:r>
        <w:rPr>
          <w:sz w:val="22"/>
        </w:rPr>
        <w:t>especial,</w:t>
      </w:r>
      <w:r>
        <w:rPr>
          <w:spacing w:val="-13"/>
          <w:sz w:val="22"/>
        </w:rPr>
        <w:t> </w:t>
      </w:r>
      <w:r>
        <w:rPr>
          <w:sz w:val="22"/>
        </w:rPr>
        <w:t>los</w:t>
      </w:r>
      <w:r>
        <w:rPr>
          <w:spacing w:val="-13"/>
          <w:sz w:val="22"/>
        </w:rPr>
        <w:t> </w:t>
      </w:r>
      <w:r>
        <w:rPr>
          <w:sz w:val="22"/>
        </w:rPr>
        <w:t>saldos</w:t>
      </w:r>
      <w:r>
        <w:rPr>
          <w:spacing w:val="-13"/>
          <w:sz w:val="22"/>
        </w:rPr>
        <w:t> </w:t>
      </w:r>
      <w:r>
        <w:rPr>
          <w:spacing w:val="-3"/>
          <w:sz w:val="22"/>
        </w:rPr>
        <w:t>TARGET2</w:t>
      </w:r>
      <w:r>
        <w:rPr>
          <w:spacing w:val="-12"/>
          <w:sz w:val="22"/>
        </w:rPr>
        <w:t> </w:t>
      </w:r>
      <w:r>
        <w:rPr>
          <w:sz w:val="22"/>
        </w:rPr>
        <w:t>(The</w:t>
      </w:r>
      <w:r>
        <w:rPr>
          <w:spacing w:val="-13"/>
          <w:sz w:val="22"/>
        </w:rPr>
        <w:t> </w:t>
      </w:r>
      <w:r>
        <w:rPr>
          <w:sz w:val="22"/>
        </w:rPr>
        <w:t>Eurosystem:</w:t>
      </w:r>
      <w:r>
        <w:rPr>
          <w:spacing w:val="1"/>
          <w:sz w:val="22"/>
        </w:rPr>
        <w:t> </w:t>
      </w:r>
      <w:r>
        <w:rPr>
          <w:sz w:val="22"/>
        </w:rPr>
        <w:t>monetary</w:t>
      </w:r>
      <w:r>
        <w:rPr>
          <w:spacing w:val="-13"/>
          <w:sz w:val="22"/>
        </w:rPr>
        <w:t> </w:t>
      </w:r>
      <w:r>
        <w:rPr>
          <w:sz w:val="22"/>
        </w:rPr>
        <w:t>dominance</w:t>
      </w:r>
      <w:r>
        <w:rPr>
          <w:spacing w:val="-13"/>
          <w:sz w:val="22"/>
        </w:rPr>
        <w:t> </w:t>
      </w:r>
      <w:r>
        <w:rPr>
          <w:sz w:val="22"/>
        </w:rPr>
        <w:t>or</w:t>
      </w:r>
      <w:r>
        <w:rPr>
          <w:spacing w:val="-12"/>
          <w:sz w:val="22"/>
        </w:rPr>
        <w:t> </w:t>
      </w:r>
      <w:r>
        <w:rPr>
          <w:sz w:val="22"/>
        </w:rPr>
        <w:t>redistribution</w:t>
      </w:r>
      <w:r>
        <w:rPr>
          <w:spacing w:val="-13"/>
          <w:sz w:val="22"/>
        </w:rPr>
        <w:t> </w:t>
      </w:r>
      <w:r>
        <w:rPr>
          <w:sz w:val="22"/>
        </w:rPr>
        <w:t>through</w:t>
      </w:r>
      <w:r>
        <w:rPr>
          <w:spacing w:val="-13"/>
          <w:sz w:val="22"/>
        </w:rPr>
        <w:t> </w:t>
      </w:r>
      <w:r>
        <w:rPr>
          <w:sz w:val="22"/>
        </w:rPr>
        <w:t>regulation. </w:t>
      </w:r>
      <w:r>
        <w:rPr>
          <w:w w:val="99"/>
          <w:sz w:val="22"/>
        </w:rPr>
        <w:t>In</w:t>
      </w:r>
      <w:r>
        <w:rPr>
          <w:spacing w:val="24"/>
          <w:sz w:val="22"/>
        </w:rPr>
        <w:t> </w:t>
      </w:r>
      <w:r>
        <w:rPr>
          <w:w w:val="99"/>
          <w:sz w:val="22"/>
        </w:rPr>
        <w:t>particula</w:t>
      </w:r>
      <w:r>
        <w:rPr>
          <w:spacing w:val="-9"/>
          <w:w w:val="99"/>
          <w:sz w:val="22"/>
        </w:rPr>
        <w:t>r</w:t>
      </w:r>
      <w:r>
        <w:rPr>
          <w:w w:val="99"/>
          <w:sz w:val="22"/>
        </w:rPr>
        <w:t>,</w:t>
      </w:r>
      <w:r>
        <w:rPr>
          <w:sz w:val="22"/>
        </w:rPr>
        <w:t> </w:t>
      </w:r>
      <w:r>
        <w:rPr>
          <w:spacing w:val="-25"/>
          <w:sz w:val="22"/>
        </w:rPr>
        <w:t> </w:t>
      </w:r>
      <w:r>
        <w:rPr>
          <w:spacing w:val="-21"/>
          <w:w w:val="99"/>
          <w:sz w:val="22"/>
        </w:rPr>
        <w:t>T</w:t>
      </w:r>
      <w:r>
        <w:rPr>
          <w:w w:val="99"/>
          <w:sz w:val="22"/>
        </w:rPr>
        <w:t>ARGET2</w:t>
      </w:r>
      <w:r>
        <w:rPr>
          <w:spacing w:val="24"/>
          <w:sz w:val="22"/>
        </w:rPr>
        <w:t> </w:t>
      </w:r>
      <w:r>
        <w:rPr>
          <w:w w:val="99"/>
          <w:sz w:val="22"/>
        </w:rPr>
        <w:t>balances),</w:t>
      </w:r>
      <w:r>
        <w:rPr>
          <w:sz w:val="22"/>
        </w:rPr>
        <w:t> </w:t>
      </w:r>
      <w:r>
        <w:rPr>
          <w:spacing w:val="-25"/>
          <w:sz w:val="22"/>
        </w:rPr>
        <w:t> </w:t>
      </w:r>
      <w:r>
        <w:rPr>
          <w:i/>
          <w:w w:val="99"/>
          <w:sz w:val="22"/>
        </w:rPr>
        <w:t>InD</w:t>
      </w:r>
      <w:r>
        <w:rPr>
          <w:i/>
          <w:spacing w:val="-9"/>
          <w:w w:val="99"/>
          <w:sz w:val="22"/>
        </w:rPr>
        <w:t>r</w:t>
      </w:r>
      <w:r>
        <w:rPr>
          <w:i/>
          <w:w w:val="99"/>
          <w:sz w:val="22"/>
        </w:rPr>
        <w:t>et</w:t>
      </w:r>
      <w:r>
        <w:rPr>
          <w:i/>
          <w:spacing w:val="24"/>
          <w:sz w:val="22"/>
        </w:rPr>
        <w:t> </w:t>
      </w:r>
      <w:r>
        <w:rPr>
          <w:i/>
          <w:w w:val="99"/>
          <w:sz w:val="22"/>
        </w:rPr>
        <w:t>(R</w:t>
      </w:r>
      <w:r>
        <w:rPr>
          <w:i/>
          <w:spacing w:val="-4"/>
          <w:w w:val="99"/>
          <w:sz w:val="22"/>
        </w:rPr>
        <w:t>e</w:t>
      </w:r>
      <w:r>
        <w:rPr>
          <w:i/>
          <w:w w:val="99"/>
          <w:sz w:val="22"/>
        </w:rPr>
        <w:t>vista</w:t>
      </w:r>
      <w:r>
        <w:rPr>
          <w:i/>
          <w:spacing w:val="24"/>
          <w:sz w:val="22"/>
        </w:rPr>
        <w:t> </w:t>
      </w:r>
      <w:r>
        <w:rPr>
          <w:i/>
          <w:w w:val="99"/>
          <w:sz w:val="22"/>
        </w:rPr>
        <w:t>pa</w:t>
      </w:r>
      <w:r>
        <w:rPr>
          <w:i/>
          <w:spacing w:val="-4"/>
          <w:w w:val="99"/>
          <w:sz w:val="22"/>
        </w:rPr>
        <w:t>r</w:t>
      </w:r>
      <w:r>
        <w:rPr>
          <w:i/>
          <w:w w:val="99"/>
          <w:sz w:val="22"/>
        </w:rPr>
        <w:t>a</w:t>
      </w:r>
      <w:r>
        <w:rPr>
          <w:i/>
          <w:spacing w:val="24"/>
          <w:sz w:val="22"/>
        </w:rPr>
        <w:t> </w:t>
      </w:r>
      <w:r>
        <w:rPr>
          <w:i/>
          <w:w w:val="99"/>
          <w:sz w:val="22"/>
        </w:rPr>
        <w:t>el</w:t>
      </w:r>
      <w:r>
        <w:rPr>
          <w:i/>
          <w:spacing w:val="24"/>
          <w:sz w:val="22"/>
        </w:rPr>
        <w:t> </w:t>
      </w:r>
      <w:r>
        <w:rPr>
          <w:i/>
          <w:w w:val="99"/>
          <w:sz w:val="22"/>
        </w:rPr>
        <w:t>An</w:t>
      </w:r>
      <w:r>
        <w:rPr>
          <w:i/>
          <w:spacing w:val="-92"/>
          <w:w w:val="99"/>
          <w:sz w:val="22"/>
        </w:rPr>
        <w:t>a</w:t>
      </w:r>
      <w:r>
        <w:rPr>
          <w:i/>
          <w:spacing w:val="18"/>
          <w:w w:val="99"/>
          <w:sz w:val="22"/>
        </w:rPr>
        <w:t>´</w:t>
      </w:r>
      <w:r>
        <w:rPr>
          <w:i/>
          <w:w w:val="99"/>
          <w:sz w:val="22"/>
        </w:rPr>
        <w:t>lisis</w:t>
      </w:r>
      <w:r>
        <w:rPr>
          <w:i/>
          <w:spacing w:val="24"/>
          <w:sz w:val="22"/>
        </w:rPr>
        <w:t> </w:t>
      </w:r>
      <w:r>
        <w:rPr>
          <w:i/>
          <w:w w:val="99"/>
          <w:sz w:val="22"/>
        </w:rPr>
        <w:t>del</w:t>
      </w:r>
      <w:r>
        <w:rPr>
          <w:i/>
          <w:spacing w:val="24"/>
          <w:sz w:val="22"/>
        </w:rPr>
        <w:t> </w:t>
      </w:r>
      <w:r>
        <w:rPr>
          <w:i/>
          <w:w w:val="99"/>
          <w:sz w:val="22"/>
        </w:rPr>
        <w:t>De</w:t>
      </w:r>
      <w:r>
        <w:rPr>
          <w:i/>
          <w:spacing w:val="-9"/>
          <w:w w:val="99"/>
          <w:sz w:val="22"/>
        </w:rPr>
        <w:t>r</w:t>
      </w:r>
      <w:r>
        <w:rPr>
          <w:i/>
          <w:w w:val="99"/>
          <w:sz w:val="22"/>
        </w:rPr>
        <w:t>e</w:t>
      </w:r>
      <w:r>
        <w:rPr>
          <w:i/>
          <w:spacing w:val="-4"/>
          <w:w w:val="99"/>
          <w:sz w:val="22"/>
        </w:rPr>
        <w:t>c</w:t>
      </w:r>
      <w:r>
        <w:rPr>
          <w:i/>
          <w:w w:val="99"/>
          <w:sz w:val="22"/>
        </w:rPr>
        <w:t>ho)</w:t>
      </w:r>
      <w:r>
        <w:rPr>
          <w:i/>
          <w:spacing w:val="24"/>
          <w:sz w:val="22"/>
        </w:rPr>
        <w:t> </w:t>
      </w:r>
      <w:r>
        <w:rPr>
          <w:b/>
          <w:spacing w:val="-1"/>
          <w:w w:val="99"/>
          <w:sz w:val="22"/>
        </w:rPr>
        <w:t>4</w:t>
      </w:r>
      <w:r>
        <w:rPr>
          <w:w w:val="99"/>
          <w:sz w:val="22"/>
        </w:rPr>
        <w:t>:</w:t>
      </w:r>
      <w:r>
        <w:rPr>
          <w:spacing w:val="24"/>
          <w:sz w:val="22"/>
        </w:rPr>
        <w:t> </w:t>
      </w:r>
      <w:r>
        <w:rPr>
          <w:w w:val="99"/>
          <w:sz w:val="22"/>
        </w:rPr>
        <w:t>349–408.</w:t>
      </w:r>
      <w:r>
        <w:rPr>
          <w:sz w:val="22"/>
        </w:rPr>
        <w:t>  </w:t>
      </w:r>
      <w:r>
        <w:rPr>
          <w:spacing w:val="-7"/>
          <w:sz w:val="22"/>
        </w:rPr>
        <w:t> </w:t>
      </w:r>
      <w:hyperlink r:id="rId24">
        <w:r>
          <w:rPr>
            <w:rFonts w:ascii="Arial" w:hAnsi="Arial"/>
            <w:color w:val="0000FF"/>
            <w:w w:val="127"/>
            <w:sz w:val="22"/>
          </w:rPr>
          <w:t>https:</w:t>
        </w:r>
      </w:hyperlink>
    </w:p>
    <w:p>
      <w:pPr>
        <w:spacing w:before="1"/>
        <w:ind w:left="120" w:right="0" w:firstLine="0"/>
        <w:jc w:val="left"/>
        <w:rPr>
          <w:rFonts w:ascii="Arial"/>
          <w:sz w:val="22"/>
        </w:rPr>
      </w:pPr>
      <w:bookmarkStart w:name="_bookmark22" w:id="46"/>
      <w:bookmarkEnd w:id="46"/>
      <w:r>
        <w:rPr/>
      </w:r>
      <w:hyperlink r:id="rId24">
        <w:r>
          <w:rPr>
            <w:rFonts w:ascii="Arial"/>
            <w:color w:val="0000FF"/>
            <w:w w:val="120"/>
            <w:sz w:val="22"/>
          </w:rPr>
          <w:t>//doi.org/10.31009/indret.2024.i4.11</w:t>
        </w:r>
      </w:hyperlink>
    </w:p>
    <w:p>
      <w:pPr>
        <w:spacing w:before="181"/>
        <w:ind w:left="120" w:right="0" w:firstLine="0"/>
        <w:jc w:val="left"/>
        <w:rPr>
          <w:sz w:val="22"/>
        </w:rPr>
      </w:pPr>
      <w:r>
        <w:rPr>
          <w:sz w:val="22"/>
        </w:rPr>
        <w:t>Perotti, R. (2024). Understanding the German criticism of Target, </w:t>
      </w:r>
      <w:r>
        <w:rPr>
          <w:i/>
          <w:sz w:val="22"/>
        </w:rPr>
        <w:t>Economic Policy </w:t>
      </w:r>
      <w:r>
        <w:rPr>
          <w:b/>
          <w:sz w:val="22"/>
        </w:rPr>
        <w:t>38</w:t>
      </w:r>
      <w:r>
        <w:rPr>
          <w:sz w:val="22"/>
        </w:rPr>
        <w:t>(116): 827–861.</w:t>
      </w:r>
    </w:p>
    <w:p>
      <w:pPr>
        <w:spacing w:before="180"/>
        <w:ind w:left="120" w:right="0" w:firstLine="0"/>
        <w:jc w:val="left"/>
        <w:rPr>
          <w:rFonts w:ascii="Arial"/>
          <w:sz w:val="22"/>
        </w:rPr>
      </w:pPr>
      <w:hyperlink r:id="rId25">
        <w:r>
          <w:rPr>
            <w:rFonts w:ascii="Arial"/>
            <w:color w:val="0000FF"/>
            <w:w w:val="120"/>
            <w:sz w:val="22"/>
          </w:rPr>
          <w:t>https://doi.org/10.1093/epolic/eiae009</w:t>
        </w:r>
      </w:hyperlink>
    </w:p>
    <w:p>
      <w:pPr>
        <w:spacing w:after="0"/>
        <w:jc w:val="left"/>
        <w:rPr>
          <w:rFonts w:ascii="Arial"/>
          <w:sz w:val="22"/>
        </w:rPr>
        <w:sectPr>
          <w:pgSz w:w="12240" w:h="15840"/>
          <w:pgMar w:header="0" w:footer="563" w:top="1360" w:bottom="760" w:left="1320" w:right="1360"/>
        </w:sectPr>
      </w:pPr>
    </w:p>
    <w:p>
      <w:pPr>
        <w:spacing w:line="410" w:lineRule="auto" w:before="74"/>
        <w:ind w:left="120" w:right="112" w:firstLine="0"/>
        <w:jc w:val="both"/>
        <w:rPr>
          <w:rFonts w:ascii="Arial"/>
          <w:sz w:val="22"/>
        </w:rPr>
      </w:pPr>
      <w:bookmarkStart w:name="_bookmark23" w:id="47"/>
      <w:bookmarkEnd w:id="47"/>
      <w:r>
        <w:rPr/>
      </w:r>
      <w:r>
        <w:rPr>
          <w:w w:val="105"/>
          <w:sz w:val="22"/>
        </w:rPr>
        <w:t>Preda,</w:t>
      </w:r>
      <w:r>
        <w:rPr>
          <w:spacing w:val="-9"/>
          <w:w w:val="105"/>
          <w:sz w:val="22"/>
        </w:rPr>
        <w:t> </w:t>
      </w:r>
      <w:r>
        <w:rPr>
          <w:w w:val="105"/>
          <w:sz w:val="22"/>
        </w:rPr>
        <w:t>D.</w:t>
      </w:r>
      <w:r>
        <w:rPr>
          <w:spacing w:val="-12"/>
          <w:w w:val="105"/>
          <w:sz w:val="22"/>
        </w:rPr>
        <w:t> </w:t>
      </w:r>
      <w:r>
        <w:rPr>
          <w:w w:val="105"/>
          <w:sz w:val="22"/>
        </w:rPr>
        <w:t>(2017).</w:t>
      </w:r>
      <w:r>
        <w:rPr>
          <w:spacing w:val="30"/>
          <w:w w:val="105"/>
          <w:sz w:val="22"/>
        </w:rPr>
        <w:t> </w:t>
      </w:r>
      <w:r>
        <w:rPr>
          <w:i/>
          <w:w w:val="105"/>
          <w:sz w:val="22"/>
        </w:rPr>
        <w:t>The</w:t>
      </w:r>
      <w:r>
        <w:rPr>
          <w:i/>
          <w:spacing w:val="-12"/>
          <w:w w:val="105"/>
          <w:sz w:val="22"/>
        </w:rPr>
        <w:t> </w:t>
      </w:r>
      <w:r>
        <w:rPr>
          <w:i/>
          <w:w w:val="105"/>
          <w:sz w:val="22"/>
        </w:rPr>
        <w:t>history</w:t>
      </w:r>
      <w:r>
        <w:rPr>
          <w:i/>
          <w:spacing w:val="-12"/>
          <w:w w:val="105"/>
          <w:sz w:val="22"/>
        </w:rPr>
        <w:t> </w:t>
      </w:r>
      <w:r>
        <w:rPr>
          <w:i/>
          <w:w w:val="105"/>
          <w:sz w:val="22"/>
        </w:rPr>
        <w:t>of</w:t>
      </w:r>
      <w:r>
        <w:rPr>
          <w:i/>
          <w:spacing w:val="-12"/>
          <w:w w:val="105"/>
          <w:sz w:val="22"/>
        </w:rPr>
        <w:t> </w:t>
      </w:r>
      <w:r>
        <w:rPr>
          <w:i/>
          <w:w w:val="105"/>
          <w:sz w:val="22"/>
        </w:rPr>
        <w:t>the</w:t>
      </w:r>
      <w:r>
        <w:rPr>
          <w:i/>
          <w:spacing w:val="-12"/>
          <w:w w:val="105"/>
          <w:sz w:val="22"/>
        </w:rPr>
        <w:t> </w:t>
      </w:r>
      <w:r>
        <w:rPr>
          <w:i/>
          <w:w w:val="105"/>
          <w:sz w:val="22"/>
        </w:rPr>
        <w:t>European</w:t>
      </w:r>
      <w:r>
        <w:rPr>
          <w:i/>
          <w:spacing w:val="-12"/>
          <w:w w:val="105"/>
          <w:sz w:val="22"/>
        </w:rPr>
        <w:t> </w:t>
      </w:r>
      <w:r>
        <w:rPr>
          <w:i/>
          <w:w w:val="105"/>
          <w:sz w:val="22"/>
        </w:rPr>
        <w:t>Monetary</w:t>
      </w:r>
      <w:r>
        <w:rPr>
          <w:i/>
          <w:spacing w:val="-12"/>
          <w:w w:val="105"/>
          <w:sz w:val="22"/>
        </w:rPr>
        <w:t> </w:t>
      </w:r>
      <w:r>
        <w:rPr>
          <w:i/>
          <w:w w:val="105"/>
          <w:sz w:val="22"/>
        </w:rPr>
        <w:t>Union</w:t>
      </w:r>
      <w:r>
        <w:rPr>
          <w:w w:val="105"/>
          <w:sz w:val="22"/>
        </w:rPr>
        <w:t>,</w:t>
      </w:r>
      <w:r>
        <w:rPr>
          <w:spacing w:val="-9"/>
          <w:w w:val="105"/>
          <w:sz w:val="22"/>
        </w:rPr>
        <w:t> </w:t>
      </w:r>
      <w:r>
        <w:rPr>
          <w:spacing w:val="-8"/>
          <w:w w:val="105"/>
          <w:sz w:val="22"/>
        </w:rPr>
        <w:t>Vol.</w:t>
      </w:r>
      <w:r>
        <w:rPr>
          <w:spacing w:val="-12"/>
          <w:w w:val="105"/>
          <w:sz w:val="22"/>
        </w:rPr>
        <w:t> </w:t>
      </w:r>
      <w:r>
        <w:rPr>
          <w:w w:val="105"/>
          <w:sz w:val="22"/>
        </w:rPr>
        <w:t>99</w:t>
      </w:r>
      <w:r>
        <w:rPr>
          <w:spacing w:val="-12"/>
          <w:w w:val="105"/>
          <w:sz w:val="22"/>
        </w:rPr>
        <w:t> </w:t>
      </w:r>
      <w:r>
        <w:rPr>
          <w:w w:val="105"/>
          <w:sz w:val="22"/>
        </w:rPr>
        <w:t>of</w:t>
      </w:r>
      <w:r>
        <w:rPr>
          <w:spacing w:val="-12"/>
          <w:w w:val="105"/>
          <w:sz w:val="22"/>
        </w:rPr>
        <w:t> </w:t>
      </w:r>
      <w:r>
        <w:rPr>
          <w:i/>
          <w:w w:val="105"/>
          <w:sz w:val="22"/>
        </w:rPr>
        <w:t>Euroclio</w:t>
      </w:r>
      <w:r>
        <w:rPr>
          <w:w w:val="105"/>
          <w:sz w:val="22"/>
        </w:rPr>
        <w:t>,</w:t>
      </w:r>
      <w:r>
        <w:rPr>
          <w:spacing w:val="-9"/>
          <w:w w:val="105"/>
          <w:sz w:val="22"/>
        </w:rPr>
        <w:t> </w:t>
      </w:r>
      <w:r>
        <w:rPr>
          <w:spacing w:val="-5"/>
          <w:w w:val="105"/>
          <w:sz w:val="22"/>
        </w:rPr>
        <w:t>P.I.E.</w:t>
      </w:r>
      <w:r>
        <w:rPr>
          <w:spacing w:val="-11"/>
          <w:w w:val="105"/>
          <w:sz w:val="22"/>
        </w:rPr>
        <w:t> </w:t>
      </w:r>
      <w:r>
        <w:rPr>
          <w:w w:val="105"/>
          <w:sz w:val="22"/>
        </w:rPr>
        <w:t>Peter</w:t>
      </w:r>
      <w:r>
        <w:rPr>
          <w:spacing w:val="-12"/>
          <w:w w:val="105"/>
          <w:sz w:val="22"/>
        </w:rPr>
        <w:t> </w:t>
      </w:r>
      <w:r>
        <w:rPr>
          <w:w w:val="105"/>
          <w:sz w:val="22"/>
        </w:rPr>
        <w:t>Lang, Bruxelles,</w:t>
      </w:r>
      <w:r>
        <w:rPr>
          <w:spacing w:val="-7"/>
          <w:w w:val="105"/>
          <w:sz w:val="22"/>
        </w:rPr>
        <w:t> </w:t>
      </w:r>
      <w:r>
        <w:rPr>
          <w:w w:val="105"/>
          <w:sz w:val="22"/>
        </w:rPr>
        <w:t>Bern,</w:t>
      </w:r>
      <w:r>
        <w:rPr>
          <w:spacing w:val="-7"/>
          <w:w w:val="105"/>
          <w:sz w:val="22"/>
        </w:rPr>
        <w:t> </w:t>
      </w:r>
      <w:r>
        <w:rPr>
          <w:w w:val="105"/>
          <w:sz w:val="22"/>
        </w:rPr>
        <w:t>Berlin,</w:t>
      </w:r>
      <w:r>
        <w:rPr>
          <w:spacing w:val="-6"/>
          <w:w w:val="105"/>
          <w:sz w:val="22"/>
        </w:rPr>
        <w:t> </w:t>
      </w:r>
      <w:r>
        <w:rPr>
          <w:w w:val="105"/>
          <w:sz w:val="22"/>
        </w:rPr>
        <w:t>Frankfurt</w:t>
      </w:r>
      <w:r>
        <w:rPr>
          <w:spacing w:val="-8"/>
          <w:w w:val="105"/>
          <w:sz w:val="22"/>
        </w:rPr>
        <w:t> </w:t>
      </w:r>
      <w:r>
        <w:rPr>
          <w:w w:val="105"/>
          <w:sz w:val="22"/>
        </w:rPr>
        <w:t>am</w:t>
      </w:r>
      <w:r>
        <w:rPr>
          <w:spacing w:val="-8"/>
          <w:w w:val="105"/>
          <w:sz w:val="22"/>
        </w:rPr>
        <w:t> </w:t>
      </w:r>
      <w:r>
        <w:rPr>
          <w:w w:val="105"/>
          <w:sz w:val="22"/>
        </w:rPr>
        <w:t>Main,</w:t>
      </w:r>
      <w:r>
        <w:rPr>
          <w:spacing w:val="-6"/>
          <w:w w:val="105"/>
          <w:sz w:val="22"/>
        </w:rPr>
        <w:t> </w:t>
      </w:r>
      <w:r>
        <w:rPr>
          <w:w w:val="105"/>
          <w:sz w:val="22"/>
        </w:rPr>
        <w:t>New</w:t>
      </w:r>
      <w:r>
        <w:rPr>
          <w:spacing w:val="-8"/>
          <w:w w:val="105"/>
          <w:sz w:val="22"/>
        </w:rPr>
        <w:t> </w:t>
      </w:r>
      <w:r>
        <w:rPr>
          <w:spacing w:val="-5"/>
          <w:w w:val="105"/>
          <w:sz w:val="22"/>
        </w:rPr>
        <w:t>York,</w:t>
      </w:r>
      <w:r>
        <w:rPr>
          <w:spacing w:val="-6"/>
          <w:w w:val="105"/>
          <w:sz w:val="22"/>
        </w:rPr>
        <w:t> </w:t>
      </w:r>
      <w:r>
        <w:rPr>
          <w:w w:val="105"/>
          <w:sz w:val="22"/>
        </w:rPr>
        <w:t>Oxford,</w:t>
      </w:r>
      <w:r>
        <w:rPr>
          <w:spacing w:val="-7"/>
          <w:w w:val="105"/>
          <w:sz w:val="22"/>
        </w:rPr>
        <w:t> </w:t>
      </w:r>
      <w:r>
        <w:rPr>
          <w:w w:val="105"/>
          <w:sz w:val="22"/>
        </w:rPr>
        <w:t>Wien,</w:t>
      </w:r>
      <w:r>
        <w:rPr>
          <w:spacing w:val="-7"/>
          <w:w w:val="105"/>
          <w:sz w:val="22"/>
        </w:rPr>
        <w:t> </w:t>
      </w:r>
      <w:r>
        <w:rPr>
          <w:w w:val="105"/>
          <w:sz w:val="22"/>
        </w:rPr>
        <w:t>EU.</w:t>
      </w:r>
      <w:r>
        <w:rPr>
          <w:spacing w:val="11"/>
          <w:w w:val="105"/>
          <w:sz w:val="22"/>
        </w:rPr>
        <w:t> </w:t>
      </w:r>
      <w:hyperlink r:id="rId26">
        <w:r>
          <w:rPr>
            <w:rFonts w:ascii="Arial"/>
            <w:color w:val="0000FF"/>
            <w:w w:val="105"/>
            <w:sz w:val="22"/>
          </w:rPr>
          <w:t>https://doi.org/10.3726/</w:t>
        </w:r>
      </w:hyperlink>
      <w:bookmarkStart w:name="_bookmark24" w:id="48"/>
      <w:bookmarkEnd w:id="48"/>
      <w:r>
        <w:rPr>
          <w:rFonts w:ascii="Arial"/>
          <w:color w:val="0000FF"/>
          <w:w w:val="105"/>
          <w:sz w:val="22"/>
        </w:rPr>
      </w:r>
      <w:r>
        <w:rPr>
          <w:rFonts w:ascii="Arial"/>
          <w:color w:val="0000FF"/>
          <w:w w:val="105"/>
          <w:sz w:val="22"/>
        </w:rPr>
        <w:t> </w:t>
      </w:r>
      <w:hyperlink r:id="rId26">
        <w:r>
          <w:rPr>
            <w:rFonts w:ascii="Arial"/>
            <w:color w:val="0000FF"/>
            <w:w w:val="105"/>
            <w:sz w:val="22"/>
          </w:rPr>
          <w:t>b10858</w:t>
        </w:r>
      </w:hyperlink>
    </w:p>
    <w:p>
      <w:pPr>
        <w:spacing w:line="410" w:lineRule="auto" w:before="1"/>
        <w:ind w:left="120" w:right="112" w:firstLine="0"/>
        <w:jc w:val="both"/>
        <w:rPr>
          <w:sz w:val="22"/>
        </w:rPr>
      </w:pPr>
      <w:r>
        <w:rPr>
          <w:sz w:val="22"/>
        </w:rPr>
        <w:t>Putignano, A. (2024). accounting of TARGET (#4 – 175953). Public Communication, European Central</w:t>
      </w:r>
      <w:bookmarkStart w:name="_bookmark25" w:id="49"/>
      <w:bookmarkEnd w:id="49"/>
      <w:r>
        <w:rPr>
          <w:sz w:val="22"/>
        </w:rPr>
      </w:r>
      <w:r>
        <w:rPr>
          <w:sz w:val="22"/>
        </w:rPr>
        <w:t> Bank, email message, dated Sept. 18, 2024.</w:t>
      </w:r>
    </w:p>
    <w:p>
      <w:pPr>
        <w:spacing w:line="410" w:lineRule="auto" w:before="1"/>
        <w:ind w:left="120" w:right="112" w:firstLine="0"/>
        <w:jc w:val="both"/>
        <w:rPr>
          <w:rFonts w:ascii="Arial" w:hAnsi="Arial"/>
          <w:sz w:val="22"/>
        </w:rPr>
      </w:pPr>
      <w:r>
        <w:rPr>
          <w:w w:val="105"/>
          <w:sz w:val="22"/>
        </w:rPr>
        <w:t>Sauer,</w:t>
      </w:r>
      <w:r>
        <w:rPr>
          <w:spacing w:val="-15"/>
          <w:w w:val="105"/>
          <w:sz w:val="22"/>
        </w:rPr>
        <w:t> </w:t>
      </w:r>
      <w:r>
        <w:rPr>
          <w:w w:val="105"/>
          <w:sz w:val="22"/>
        </w:rPr>
        <w:t>I.</w:t>
      </w:r>
      <w:r>
        <w:rPr>
          <w:spacing w:val="-17"/>
          <w:w w:val="105"/>
          <w:sz w:val="22"/>
        </w:rPr>
        <w:t> </w:t>
      </w:r>
      <w:r>
        <w:rPr>
          <w:w w:val="105"/>
          <w:sz w:val="22"/>
        </w:rPr>
        <w:t>(2023).</w:t>
      </w:r>
      <w:r>
        <w:rPr>
          <w:spacing w:val="15"/>
          <w:w w:val="105"/>
          <w:sz w:val="22"/>
        </w:rPr>
        <w:t> </w:t>
      </w:r>
      <w:r>
        <w:rPr>
          <w:w w:val="105"/>
          <w:sz w:val="22"/>
        </w:rPr>
        <w:t>The</w:t>
      </w:r>
      <w:r>
        <w:rPr>
          <w:spacing w:val="-16"/>
          <w:w w:val="105"/>
          <w:sz w:val="22"/>
        </w:rPr>
        <w:t> </w:t>
      </w:r>
      <w:r>
        <w:rPr>
          <w:w w:val="105"/>
          <w:sz w:val="22"/>
        </w:rPr>
        <w:t>Lessons</w:t>
      </w:r>
      <w:r>
        <w:rPr>
          <w:spacing w:val="-17"/>
          <w:w w:val="105"/>
          <w:sz w:val="22"/>
        </w:rPr>
        <w:t> </w:t>
      </w:r>
      <w:r>
        <w:rPr>
          <w:w w:val="105"/>
          <w:sz w:val="22"/>
        </w:rPr>
        <w:t>from</w:t>
      </w:r>
      <w:r>
        <w:rPr>
          <w:spacing w:val="-17"/>
          <w:w w:val="105"/>
          <w:sz w:val="22"/>
        </w:rPr>
        <w:t> </w:t>
      </w:r>
      <w:r>
        <w:rPr>
          <w:w w:val="105"/>
          <w:sz w:val="22"/>
        </w:rPr>
        <w:t>1923</w:t>
      </w:r>
      <w:r>
        <w:rPr>
          <w:spacing w:val="-17"/>
          <w:w w:val="105"/>
          <w:sz w:val="22"/>
        </w:rPr>
        <w:t> </w:t>
      </w:r>
      <w:r>
        <w:rPr>
          <w:w w:val="105"/>
          <w:sz w:val="22"/>
        </w:rPr>
        <w:t>for</w:t>
      </w:r>
      <w:r>
        <w:rPr>
          <w:spacing w:val="-16"/>
          <w:w w:val="105"/>
          <w:sz w:val="22"/>
        </w:rPr>
        <w:t> </w:t>
      </w:r>
      <w:r>
        <w:rPr>
          <w:w w:val="105"/>
          <w:sz w:val="22"/>
        </w:rPr>
        <w:t>the</w:t>
      </w:r>
      <w:r>
        <w:rPr>
          <w:spacing w:val="-17"/>
          <w:w w:val="105"/>
          <w:sz w:val="22"/>
        </w:rPr>
        <w:t> </w:t>
      </w:r>
      <w:r>
        <w:rPr>
          <w:w w:val="105"/>
          <w:sz w:val="22"/>
        </w:rPr>
        <w:t>Euro</w:t>
      </w:r>
      <w:r>
        <w:rPr>
          <w:spacing w:val="-17"/>
          <w:w w:val="105"/>
          <w:sz w:val="22"/>
        </w:rPr>
        <w:t> </w:t>
      </w:r>
      <w:r>
        <w:rPr>
          <w:w w:val="105"/>
          <w:sz w:val="22"/>
        </w:rPr>
        <w:t>Area:</w:t>
      </w:r>
      <w:r>
        <w:rPr>
          <w:spacing w:val="-1"/>
          <w:w w:val="105"/>
          <w:sz w:val="22"/>
        </w:rPr>
        <w:t> </w:t>
      </w:r>
      <w:r>
        <w:rPr>
          <w:w w:val="105"/>
          <w:sz w:val="22"/>
        </w:rPr>
        <w:t>Enlightening</w:t>
      </w:r>
      <w:r>
        <w:rPr>
          <w:spacing w:val="-17"/>
          <w:w w:val="105"/>
          <w:sz w:val="22"/>
        </w:rPr>
        <w:t> </w:t>
      </w:r>
      <w:r>
        <w:rPr>
          <w:w w:val="105"/>
          <w:sz w:val="22"/>
        </w:rPr>
        <w:t>the</w:t>
      </w:r>
      <w:r>
        <w:rPr>
          <w:spacing w:val="-16"/>
          <w:w w:val="105"/>
          <w:sz w:val="22"/>
        </w:rPr>
        <w:t> </w:t>
      </w:r>
      <w:r>
        <w:rPr>
          <w:w w:val="105"/>
          <w:sz w:val="22"/>
        </w:rPr>
        <w:t>Dark</w:t>
      </w:r>
      <w:r>
        <w:rPr>
          <w:spacing w:val="-17"/>
          <w:w w:val="105"/>
          <w:sz w:val="22"/>
        </w:rPr>
        <w:t> </w:t>
      </w:r>
      <w:r>
        <w:rPr>
          <w:w w:val="105"/>
          <w:sz w:val="22"/>
        </w:rPr>
        <w:t>Side</w:t>
      </w:r>
      <w:r>
        <w:rPr>
          <w:spacing w:val="-17"/>
          <w:w w:val="105"/>
          <w:sz w:val="22"/>
        </w:rPr>
        <w:t> </w:t>
      </w:r>
      <w:r>
        <w:rPr>
          <w:w w:val="105"/>
          <w:sz w:val="22"/>
        </w:rPr>
        <w:t>of</w:t>
      </w:r>
      <w:r>
        <w:rPr>
          <w:spacing w:val="-16"/>
          <w:w w:val="105"/>
          <w:sz w:val="22"/>
        </w:rPr>
        <w:t> </w:t>
      </w:r>
      <w:r>
        <w:rPr>
          <w:w w:val="105"/>
          <w:sz w:val="22"/>
        </w:rPr>
        <w:t>(In-)</w:t>
      </w:r>
      <w:r>
        <w:rPr>
          <w:spacing w:val="-17"/>
          <w:w w:val="105"/>
          <w:sz w:val="22"/>
        </w:rPr>
        <w:t> </w:t>
      </w:r>
      <w:r>
        <w:rPr>
          <w:spacing w:val="-3"/>
          <w:w w:val="105"/>
          <w:sz w:val="22"/>
        </w:rPr>
        <w:t>Solvent </w:t>
      </w:r>
      <w:r>
        <w:rPr>
          <w:w w:val="105"/>
          <w:sz w:val="22"/>
        </w:rPr>
        <w:t>Central Banks’ Balance Sheets, </w:t>
      </w:r>
      <w:r>
        <w:rPr>
          <w:i/>
          <w:w w:val="105"/>
          <w:sz w:val="22"/>
        </w:rPr>
        <w:t>SSRN Electronic Journal </w:t>
      </w:r>
      <w:r>
        <w:rPr>
          <w:w w:val="105"/>
          <w:sz w:val="22"/>
        </w:rPr>
        <w:t>pp. 1–360. </w:t>
      </w:r>
      <w:hyperlink r:id="rId27">
        <w:r>
          <w:rPr>
            <w:rFonts w:ascii="Arial" w:hAnsi="Arial"/>
            <w:color w:val="0000FF"/>
            <w:w w:val="105"/>
            <w:sz w:val="22"/>
          </w:rPr>
          <w:t>https://doi.org/10.2139/ssrn.</w:t>
        </w:r>
      </w:hyperlink>
      <w:bookmarkStart w:name="_bookmark26" w:id="50"/>
      <w:bookmarkEnd w:id="50"/>
      <w:r>
        <w:rPr>
          <w:rFonts w:ascii="Arial" w:hAnsi="Arial"/>
          <w:color w:val="0000FF"/>
          <w:w w:val="105"/>
          <w:sz w:val="22"/>
        </w:rPr>
      </w:r>
      <w:r>
        <w:rPr>
          <w:rFonts w:ascii="Arial" w:hAnsi="Arial"/>
          <w:color w:val="0000FF"/>
          <w:w w:val="105"/>
          <w:sz w:val="22"/>
        </w:rPr>
        <w:t> </w:t>
      </w:r>
      <w:hyperlink r:id="rId27">
        <w:r>
          <w:rPr>
            <w:rFonts w:ascii="Arial" w:hAnsi="Arial"/>
            <w:color w:val="0000FF"/>
            <w:w w:val="105"/>
            <w:sz w:val="22"/>
          </w:rPr>
          <w:t>4620462</w:t>
        </w:r>
      </w:hyperlink>
    </w:p>
    <w:p>
      <w:pPr>
        <w:tabs>
          <w:tab w:pos="1264" w:val="left" w:leader="none"/>
          <w:tab w:pos="2823" w:val="left" w:leader="none"/>
          <w:tab w:pos="5894" w:val="left" w:leader="none"/>
        </w:tabs>
        <w:spacing w:line="410" w:lineRule="auto" w:before="2"/>
        <w:ind w:left="120" w:right="112" w:firstLine="0"/>
        <w:jc w:val="both"/>
        <w:rPr>
          <w:rFonts w:ascii="Arial"/>
          <w:sz w:val="22"/>
        </w:rPr>
      </w:pPr>
      <w:r>
        <w:rPr>
          <w:sz w:val="22"/>
        </w:rPr>
        <w:t>Sibert,    </w:t>
      </w:r>
      <w:r>
        <w:rPr>
          <w:spacing w:val="24"/>
          <w:sz w:val="22"/>
        </w:rPr>
        <w:t> </w:t>
      </w:r>
      <w:r>
        <w:rPr>
          <w:sz w:val="22"/>
        </w:rPr>
        <w:t>A.   </w:t>
      </w:r>
      <w:r>
        <w:rPr>
          <w:spacing w:val="31"/>
          <w:sz w:val="22"/>
        </w:rPr>
        <w:t> </w:t>
      </w:r>
      <w:r>
        <w:rPr>
          <w:sz w:val="22"/>
        </w:rPr>
        <w:t>(2010).</w:t>
        <w:tab/>
        <w:t>Love   letters   from   Iceland:    Accountability    of    the    Eurosys-    tem.</w:t>
        <w:tab/>
      </w:r>
      <w:r>
        <w:rPr>
          <w:spacing w:val="-10"/>
          <w:sz w:val="22"/>
        </w:rPr>
        <w:t>Vox      </w:t>
      </w:r>
      <w:r>
        <w:rPr>
          <w:sz w:val="22"/>
        </w:rPr>
        <w:t>posting     from     18   </w:t>
      </w:r>
      <w:r>
        <w:rPr>
          <w:spacing w:val="17"/>
          <w:sz w:val="22"/>
        </w:rPr>
        <w:t> </w:t>
      </w:r>
      <w:r>
        <w:rPr>
          <w:sz w:val="22"/>
        </w:rPr>
        <w:t>May   </w:t>
      </w:r>
      <w:r>
        <w:rPr>
          <w:spacing w:val="44"/>
          <w:sz w:val="22"/>
        </w:rPr>
        <w:t> </w:t>
      </w:r>
      <w:r>
        <w:rPr>
          <w:sz w:val="22"/>
        </w:rPr>
        <w:t>2010.</w:t>
        <w:tab/>
      </w:r>
      <w:hyperlink r:id="rId28">
        <w:r>
          <w:rPr>
            <w:rFonts w:ascii="Arial"/>
            <w:color w:val="0000FF"/>
            <w:spacing w:val="-1"/>
            <w:sz w:val="22"/>
          </w:rPr>
          <w:t>https://cepr.org/voxeu/columns/</w:t>
        </w:r>
      </w:hyperlink>
      <w:bookmarkStart w:name="_bookmark27" w:id="51"/>
      <w:bookmarkEnd w:id="51"/>
      <w:r>
        <w:rPr>
          <w:rFonts w:ascii="Arial"/>
          <w:color w:val="0000FF"/>
          <w:spacing w:val="-1"/>
          <w:sz w:val="22"/>
        </w:rPr>
      </w:r>
      <w:r>
        <w:rPr>
          <w:rFonts w:ascii="Arial"/>
          <w:color w:val="0000FF"/>
          <w:spacing w:val="-1"/>
          <w:sz w:val="22"/>
        </w:rPr>
        <w:t> </w:t>
      </w:r>
      <w:hyperlink r:id="rId28">
        <w:r>
          <w:rPr>
            <w:rFonts w:ascii="Arial"/>
            <w:color w:val="0000FF"/>
            <w:sz w:val="22"/>
          </w:rPr>
          <w:t>love-letters-iceland-accountability-eurosystem</w:t>
        </w:r>
      </w:hyperlink>
    </w:p>
    <w:p>
      <w:pPr>
        <w:spacing w:line="410" w:lineRule="auto" w:before="1"/>
        <w:ind w:left="120" w:right="113" w:firstLine="0"/>
        <w:jc w:val="both"/>
        <w:rPr>
          <w:rFonts w:ascii="Arial"/>
          <w:sz w:val="22"/>
        </w:rPr>
      </w:pPr>
      <w:r>
        <w:rPr>
          <w:sz w:val="22"/>
        </w:rPr>
        <w:t>Sinn, H.-W. (2017). </w:t>
      </w:r>
      <w:r>
        <w:rPr>
          <w:i/>
          <w:sz w:val="22"/>
        </w:rPr>
        <w:t>The Euro Trap: On Bursting Bubbles, Budgets, and Beliefs</w:t>
      </w:r>
      <w:r>
        <w:rPr>
          <w:sz w:val="22"/>
        </w:rPr>
        <w:t>, Oxford University Press,</w:t>
      </w:r>
      <w:bookmarkStart w:name="_bookmark28" w:id="52"/>
      <w:bookmarkEnd w:id="52"/>
      <w:r>
        <w:rPr>
          <w:sz w:val="22"/>
        </w:rPr>
      </w:r>
      <w:r>
        <w:rPr>
          <w:sz w:val="22"/>
        </w:rPr>
        <w:t> Oxford, England, UK. </w:t>
      </w:r>
      <w:r>
        <w:rPr>
          <w:rFonts w:ascii="Arial"/>
          <w:color w:val="0000FF"/>
          <w:sz w:val="22"/>
        </w:rPr>
        <w:t>https://doi.org/10.1093/acprof:oso/9780198702139.001.0001</w:t>
      </w:r>
    </w:p>
    <w:p>
      <w:pPr>
        <w:spacing w:line="410" w:lineRule="auto" w:before="1"/>
        <w:ind w:left="120" w:right="112" w:firstLine="0"/>
        <w:jc w:val="both"/>
        <w:rPr>
          <w:rFonts w:ascii="Arial"/>
          <w:sz w:val="22"/>
        </w:rPr>
      </w:pPr>
      <w:r>
        <w:rPr>
          <w:w w:val="105"/>
          <w:sz w:val="22"/>
        </w:rPr>
        <w:t>Sinn,</w:t>
      </w:r>
      <w:r>
        <w:rPr>
          <w:spacing w:val="-31"/>
          <w:w w:val="105"/>
          <w:sz w:val="22"/>
        </w:rPr>
        <w:t> </w:t>
      </w:r>
      <w:r>
        <w:rPr>
          <w:spacing w:val="-5"/>
          <w:w w:val="105"/>
          <w:sz w:val="22"/>
        </w:rPr>
        <w:t>H.-W.</w:t>
      </w:r>
      <w:r>
        <w:rPr>
          <w:spacing w:val="-32"/>
          <w:w w:val="105"/>
          <w:sz w:val="22"/>
        </w:rPr>
        <w:t> </w:t>
      </w:r>
      <w:r>
        <w:rPr>
          <w:w w:val="105"/>
          <w:sz w:val="22"/>
        </w:rPr>
        <w:t>(2020).</w:t>
      </w:r>
      <w:r>
        <w:rPr>
          <w:spacing w:val="-13"/>
          <w:w w:val="105"/>
          <w:sz w:val="22"/>
        </w:rPr>
        <w:t> </w:t>
      </w:r>
      <w:r>
        <w:rPr>
          <w:i/>
          <w:w w:val="105"/>
          <w:sz w:val="22"/>
        </w:rPr>
        <w:t>The</w:t>
      </w:r>
      <w:r>
        <w:rPr>
          <w:i/>
          <w:spacing w:val="-31"/>
          <w:w w:val="105"/>
          <w:sz w:val="22"/>
        </w:rPr>
        <w:t> </w:t>
      </w:r>
      <w:r>
        <w:rPr>
          <w:i/>
          <w:w w:val="105"/>
          <w:sz w:val="22"/>
        </w:rPr>
        <w:t>economics</w:t>
      </w:r>
      <w:r>
        <w:rPr>
          <w:i/>
          <w:spacing w:val="-32"/>
          <w:w w:val="105"/>
          <w:sz w:val="22"/>
        </w:rPr>
        <w:t> </w:t>
      </w:r>
      <w:r>
        <w:rPr>
          <w:i/>
          <w:w w:val="105"/>
          <w:sz w:val="22"/>
        </w:rPr>
        <w:t>of</w:t>
      </w:r>
      <w:r>
        <w:rPr>
          <w:i/>
          <w:spacing w:val="-31"/>
          <w:w w:val="105"/>
          <w:sz w:val="22"/>
        </w:rPr>
        <w:t> </w:t>
      </w:r>
      <w:r>
        <w:rPr>
          <w:i/>
          <w:w w:val="105"/>
          <w:sz w:val="22"/>
        </w:rPr>
        <w:t>TARGET</w:t>
      </w:r>
      <w:r>
        <w:rPr>
          <w:i/>
          <w:spacing w:val="-32"/>
          <w:w w:val="105"/>
          <w:sz w:val="22"/>
        </w:rPr>
        <w:t> </w:t>
      </w:r>
      <w:r>
        <w:rPr>
          <w:i/>
          <w:w w:val="105"/>
          <w:sz w:val="22"/>
        </w:rPr>
        <w:t>balances:</w:t>
      </w:r>
      <w:r>
        <w:rPr>
          <w:i/>
          <w:spacing w:val="-22"/>
          <w:w w:val="105"/>
          <w:sz w:val="22"/>
        </w:rPr>
        <w:t> </w:t>
      </w:r>
      <w:r>
        <w:rPr>
          <w:i/>
          <w:spacing w:val="-3"/>
          <w:w w:val="105"/>
          <w:sz w:val="22"/>
        </w:rPr>
        <w:t>From</w:t>
      </w:r>
      <w:r>
        <w:rPr>
          <w:i/>
          <w:spacing w:val="-31"/>
          <w:w w:val="105"/>
          <w:sz w:val="22"/>
        </w:rPr>
        <w:t> </w:t>
      </w:r>
      <w:r>
        <w:rPr>
          <w:i/>
          <w:w w:val="105"/>
          <w:sz w:val="22"/>
        </w:rPr>
        <w:t>Lehman</w:t>
      </w:r>
      <w:r>
        <w:rPr>
          <w:i/>
          <w:spacing w:val="-32"/>
          <w:w w:val="105"/>
          <w:sz w:val="22"/>
        </w:rPr>
        <w:t> </w:t>
      </w:r>
      <w:r>
        <w:rPr>
          <w:i/>
          <w:w w:val="105"/>
          <w:sz w:val="22"/>
        </w:rPr>
        <w:t>to</w:t>
      </w:r>
      <w:r>
        <w:rPr>
          <w:i/>
          <w:spacing w:val="-31"/>
          <w:w w:val="105"/>
          <w:sz w:val="22"/>
        </w:rPr>
        <w:t> </w:t>
      </w:r>
      <w:r>
        <w:rPr>
          <w:i/>
          <w:w w:val="105"/>
          <w:sz w:val="22"/>
        </w:rPr>
        <w:t>Corona</w:t>
      </w:r>
      <w:r>
        <w:rPr>
          <w:w w:val="105"/>
          <w:sz w:val="22"/>
        </w:rPr>
        <w:t>,</w:t>
      </w:r>
      <w:r>
        <w:rPr>
          <w:spacing w:val="-31"/>
          <w:w w:val="105"/>
          <w:sz w:val="22"/>
        </w:rPr>
        <w:t> </w:t>
      </w:r>
      <w:r>
        <w:rPr>
          <w:w w:val="105"/>
          <w:sz w:val="22"/>
        </w:rPr>
        <w:t>Palgrave</w:t>
      </w:r>
      <w:r>
        <w:rPr>
          <w:spacing w:val="-32"/>
          <w:w w:val="105"/>
          <w:sz w:val="22"/>
        </w:rPr>
        <w:t> </w:t>
      </w:r>
      <w:r>
        <w:rPr>
          <w:w w:val="105"/>
          <w:sz w:val="22"/>
        </w:rPr>
        <w:t>Macmillan imprint</w:t>
      </w:r>
      <w:r>
        <w:rPr>
          <w:spacing w:val="-40"/>
          <w:w w:val="105"/>
          <w:sz w:val="22"/>
        </w:rPr>
        <w:t> </w:t>
      </w:r>
      <w:r>
        <w:rPr>
          <w:w w:val="105"/>
          <w:sz w:val="22"/>
        </w:rPr>
        <w:t>published</w:t>
      </w:r>
      <w:r>
        <w:rPr>
          <w:spacing w:val="-39"/>
          <w:w w:val="105"/>
          <w:sz w:val="22"/>
        </w:rPr>
        <w:t> </w:t>
      </w:r>
      <w:r>
        <w:rPr>
          <w:w w:val="105"/>
          <w:sz w:val="22"/>
        </w:rPr>
        <w:t>by</w:t>
      </w:r>
      <w:r>
        <w:rPr>
          <w:spacing w:val="-39"/>
          <w:w w:val="105"/>
          <w:sz w:val="22"/>
        </w:rPr>
        <w:t> </w:t>
      </w:r>
      <w:r>
        <w:rPr>
          <w:w w:val="105"/>
          <w:sz w:val="22"/>
        </w:rPr>
        <w:t>the</w:t>
      </w:r>
      <w:r>
        <w:rPr>
          <w:spacing w:val="-39"/>
          <w:w w:val="105"/>
          <w:sz w:val="22"/>
        </w:rPr>
        <w:t> </w:t>
      </w:r>
      <w:r>
        <w:rPr>
          <w:w w:val="105"/>
          <w:sz w:val="22"/>
        </w:rPr>
        <w:t>registered</w:t>
      </w:r>
      <w:r>
        <w:rPr>
          <w:spacing w:val="-40"/>
          <w:w w:val="105"/>
          <w:sz w:val="22"/>
        </w:rPr>
        <w:t> </w:t>
      </w:r>
      <w:r>
        <w:rPr>
          <w:w w:val="105"/>
          <w:sz w:val="22"/>
        </w:rPr>
        <w:t>company</w:t>
      </w:r>
      <w:r>
        <w:rPr>
          <w:spacing w:val="-39"/>
          <w:w w:val="105"/>
          <w:sz w:val="22"/>
        </w:rPr>
        <w:t> </w:t>
      </w:r>
      <w:r>
        <w:rPr>
          <w:w w:val="105"/>
          <w:sz w:val="22"/>
        </w:rPr>
        <w:t>Springer</w:t>
      </w:r>
      <w:r>
        <w:rPr>
          <w:spacing w:val="-39"/>
          <w:w w:val="105"/>
          <w:sz w:val="22"/>
        </w:rPr>
        <w:t> </w:t>
      </w:r>
      <w:r>
        <w:rPr>
          <w:w w:val="105"/>
          <w:sz w:val="22"/>
        </w:rPr>
        <w:t>Nature</w:t>
      </w:r>
      <w:r>
        <w:rPr>
          <w:spacing w:val="-39"/>
          <w:w w:val="105"/>
          <w:sz w:val="22"/>
        </w:rPr>
        <w:t> </w:t>
      </w:r>
      <w:r>
        <w:rPr>
          <w:w w:val="105"/>
          <w:sz w:val="22"/>
        </w:rPr>
        <w:t>Switzerland</w:t>
      </w:r>
      <w:r>
        <w:rPr>
          <w:spacing w:val="-40"/>
          <w:w w:val="105"/>
          <w:sz w:val="22"/>
        </w:rPr>
        <w:t> </w:t>
      </w:r>
      <w:r>
        <w:rPr>
          <w:spacing w:val="-3"/>
          <w:w w:val="105"/>
          <w:sz w:val="22"/>
        </w:rPr>
        <w:t>AG,</w:t>
      </w:r>
      <w:r>
        <w:rPr>
          <w:spacing w:val="-39"/>
          <w:w w:val="105"/>
          <w:sz w:val="22"/>
        </w:rPr>
        <w:t> </w:t>
      </w:r>
      <w:r>
        <w:rPr>
          <w:w w:val="105"/>
          <w:sz w:val="22"/>
        </w:rPr>
        <w:t>Cham,</w:t>
      </w:r>
      <w:r>
        <w:rPr>
          <w:spacing w:val="-38"/>
          <w:w w:val="105"/>
          <w:sz w:val="22"/>
        </w:rPr>
        <w:t> </w:t>
      </w:r>
      <w:r>
        <w:rPr>
          <w:w w:val="105"/>
          <w:sz w:val="22"/>
        </w:rPr>
        <w:t>Switzerland.</w:t>
      </w:r>
      <w:r>
        <w:rPr>
          <w:spacing w:val="-33"/>
          <w:w w:val="105"/>
          <w:sz w:val="22"/>
        </w:rPr>
        <w:t> </w:t>
      </w:r>
      <w:hyperlink r:id="rId29">
        <w:r>
          <w:rPr>
            <w:rFonts w:ascii="Arial"/>
            <w:color w:val="0000FF"/>
            <w:w w:val="105"/>
            <w:sz w:val="22"/>
          </w:rPr>
          <w:t>https:</w:t>
        </w:r>
      </w:hyperlink>
    </w:p>
    <w:p>
      <w:pPr>
        <w:spacing w:line="253" w:lineRule="exact" w:before="0"/>
        <w:ind w:left="120" w:right="0" w:firstLine="0"/>
        <w:jc w:val="left"/>
        <w:rPr>
          <w:rFonts w:ascii="Arial"/>
          <w:sz w:val="22"/>
        </w:rPr>
      </w:pPr>
      <w:bookmarkStart w:name="_bookmark29" w:id="53"/>
      <w:bookmarkEnd w:id="53"/>
      <w:r>
        <w:rPr/>
      </w:r>
      <w:hyperlink r:id="rId29">
        <w:r>
          <w:rPr>
            <w:rFonts w:ascii="Arial"/>
            <w:color w:val="0000FF"/>
            <w:w w:val="110"/>
            <w:sz w:val="22"/>
          </w:rPr>
          <w:t>//doi.org/10.1007/978-3-030-50170-9</w:t>
        </w:r>
      </w:hyperlink>
    </w:p>
    <w:p>
      <w:pPr>
        <w:spacing w:line="410" w:lineRule="auto" w:before="181"/>
        <w:ind w:left="120" w:right="112" w:firstLine="0"/>
        <w:jc w:val="both"/>
        <w:rPr>
          <w:rFonts w:ascii="Arial" w:hAnsi="Arial"/>
          <w:sz w:val="22"/>
        </w:rPr>
      </w:pPr>
      <w:r>
        <w:rPr>
          <w:w w:val="99"/>
          <w:sz w:val="22"/>
        </w:rPr>
        <w:t>Sinn,</w:t>
      </w:r>
      <w:r>
        <w:rPr>
          <w:sz w:val="22"/>
        </w:rPr>
        <w:t> </w:t>
      </w:r>
      <w:r>
        <w:rPr>
          <w:w w:val="99"/>
          <w:sz w:val="22"/>
        </w:rPr>
        <w:t>H.-</w:t>
      </w:r>
      <w:r>
        <w:rPr>
          <w:spacing w:val="-21"/>
          <w:w w:val="99"/>
          <w:sz w:val="22"/>
        </w:rPr>
        <w:t>W</w:t>
      </w:r>
      <w:r>
        <w:rPr>
          <w:w w:val="99"/>
          <w:sz w:val="22"/>
        </w:rPr>
        <w:t>.</w:t>
      </w:r>
      <w:r>
        <w:rPr>
          <w:sz w:val="22"/>
        </w:rPr>
        <w:t> </w:t>
      </w:r>
      <w:r>
        <w:rPr>
          <w:w w:val="99"/>
          <w:sz w:val="22"/>
        </w:rPr>
        <w:t>and</w:t>
      </w:r>
      <w:r>
        <w:rPr>
          <w:sz w:val="22"/>
        </w:rPr>
        <w:t> </w:t>
      </w:r>
      <w:r>
        <w:rPr>
          <w:spacing w:val="-18"/>
          <w:w w:val="99"/>
          <w:sz w:val="22"/>
        </w:rPr>
        <w:t>W</w:t>
      </w:r>
      <w:r>
        <w:rPr>
          <w:w w:val="99"/>
          <w:sz w:val="22"/>
        </w:rPr>
        <w:t>ollmersh</w:t>
      </w:r>
      <w:r>
        <w:rPr>
          <w:spacing w:val="-85"/>
          <w:w w:val="99"/>
          <w:sz w:val="22"/>
        </w:rPr>
        <w:t>a</w:t>
      </w:r>
      <w:r>
        <w:rPr>
          <w:spacing w:val="12"/>
          <w:w w:val="99"/>
          <w:sz w:val="22"/>
        </w:rPr>
        <w:t>¨</w:t>
      </w:r>
      <w:r>
        <w:rPr>
          <w:w w:val="99"/>
          <w:sz w:val="22"/>
        </w:rPr>
        <w:t>use</w:t>
      </w:r>
      <w:r>
        <w:rPr>
          <w:spacing w:val="-9"/>
          <w:w w:val="99"/>
          <w:sz w:val="22"/>
        </w:rPr>
        <w:t>r</w:t>
      </w:r>
      <w:r>
        <w:rPr>
          <w:w w:val="99"/>
          <w:sz w:val="22"/>
        </w:rPr>
        <w:t>,</w:t>
      </w:r>
      <w:r>
        <w:rPr>
          <w:sz w:val="22"/>
        </w:rPr>
        <w:t> </w:t>
      </w:r>
      <w:r>
        <w:rPr>
          <w:spacing w:val="-17"/>
          <w:w w:val="99"/>
          <w:sz w:val="22"/>
        </w:rPr>
        <w:t>T</w:t>
      </w:r>
      <w:r>
        <w:rPr>
          <w:w w:val="99"/>
          <w:sz w:val="22"/>
        </w:rPr>
        <w:t>.</w:t>
      </w:r>
      <w:r>
        <w:rPr>
          <w:sz w:val="22"/>
        </w:rPr>
        <w:t> </w:t>
      </w:r>
      <w:r>
        <w:rPr>
          <w:w w:val="99"/>
          <w:sz w:val="22"/>
        </w:rPr>
        <w:t>(2012).</w:t>
      </w:r>
      <w:r>
        <w:rPr>
          <w:sz w:val="22"/>
        </w:rPr>
        <w:t>  </w:t>
      </w:r>
      <w:r>
        <w:rPr>
          <w:spacing w:val="-18"/>
          <w:w w:val="99"/>
          <w:sz w:val="22"/>
        </w:rPr>
        <w:t>T</w:t>
      </w:r>
      <w:r>
        <w:rPr>
          <w:w w:val="99"/>
          <w:sz w:val="22"/>
        </w:rPr>
        <w:t>a</w:t>
      </w:r>
      <w:r>
        <w:rPr>
          <w:spacing w:val="-4"/>
          <w:w w:val="99"/>
          <w:sz w:val="22"/>
        </w:rPr>
        <w:t>r</w:t>
      </w:r>
      <w:r>
        <w:rPr>
          <w:w w:val="99"/>
          <w:sz w:val="22"/>
        </w:rPr>
        <w:t>get</w:t>
      </w:r>
      <w:r>
        <w:rPr>
          <w:sz w:val="22"/>
        </w:rPr>
        <w:t> </w:t>
      </w:r>
      <w:r>
        <w:rPr>
          <w:w w:val="99"/>
          <w:sz w:val="22"/>
        </w:rPr>
        <w:t>lo</w:t>
      </w:r>
      <w:r>
        <w:rPr>
          <w:spacing w:val="-1"/>
          <w:w w:val="99"/>
          <w:sz w:val="22"/>
        </w:rPr>
        <w:t>a</w:t>
      </w:r>
      <w:r>
        <w:rPr>
          <w:w w:val="99"/>
          <w:sz w:val="22"/>
        </w:rPr>
        <w:t>ns,</w:t>
      </w:r>
      <w:r>
        <w:rPr>
          <w:sz w:val="22"/>
        </w:rPr>
        <w:t> </w:t>
      </w:r>
      <w:r>
        <w:rPr>
          <w:w w:val="99"/>
          <w:sz w:val="22"/>
        </w:rPr>
        <w:t>current</w:t>
      </w:r>
      <w:r>
        <w:rPr>
          <w:sz w:val="22"/>
        </w:rPr>
        <w:t> </w:t>
      </w:r>
      <w:r>
        <w:rPr>
          <w:w w:val="99"/>
          <w:sz w:val="22"/>
        </w:rPr>
        <w:t>account</w:t>
      </w:r>
      <w:r>
        <w:rPr>
          <w:sz w:val="22"/>
        </w:rPr>
        <w:t> </w:t>
      </w:r>
      <w:r>
        <w:rPr>
          <w:w w:val="99"/>
          <w:sz w:val="22"/>
        </w:rPr>
        <w:t>balances</w:t>
      </w:r>
      <w:r>
        <w:rPr>
          <w:sz w:val="22"/>
        </w:rPr>
        <w:t> </w:t>
      </w:r>
      <w:r>
        <w:rPr>
          <w:w w:val="99"/>
          <w:sz w:val="22"/>
        </w:rPr>
        <w:t>and</w:t>
      </w:r>
      <w:r>
        <w:rPr>
          <w:sz w:val="22"/>
        </w:rPr>
        <w:t> </w:t>
      </w:r>
      <w:r>
        <w:rPr>
          <w:w w:val="99"/>
          <w:sz w:val="22"/>
        </w:rPr>
        <w:t>capital</w:t>
      </w:r>
      <w:r>
        <w:rPr>
          <w:sz w:val="22"/>
        </w:rPr>
        <w:t> </w:t>
      </w:r>
      <w:r>
        <w:rPr>
          <w:w w:val="94"/>
          <w:sz w:val="22"/>
        </w:rPr>
        <w:t>fl</w:t>
      </w:r>
      <w:r>
        <w:rPr>
          <w:spacing w:val="-6"/>
          <w:w w:val="94"/>
          <w:sz w:val="22"/>
        </w:rPr>
        <w:t>o</w:t>
      </w:r>
      <w:r>
        <w:rPr>
          <w:w w:val="99"/>
          <w:sz w:val="22"/>
        </w:rPr>
        <w:t>ws:</w:t>
      </w:r>
      <w:r>
        <w:rPr>
          <w:sz w:val="22"/>
        </w:rPr>
        <w:t> </w:t>
      </w:r>
      <w:r>
        <w:rPr>
          <w:w w:val="99"/>
          <w:sz w:val="22"/>
        </w:rPr>
        <w:t>The </w:t>
      </w:r>
      <w:r>
        <w:rPr>
          <w:spacing w:val="-3"/>
          <w:w w:val="105"/>
          <w:sz w:val="22"/>
        </w:rPr>
        <w:t>ECB’s </w:t>
      </w:r>
      <w:r>
        <w:rPr>
          <w:w w:val="105"/>
          <w:sz w:val="22"/>
        </w:rPr>
        <w:t>rescue facility, </w:t>
      </w:r>
      <w:r>
        <w:rPr>
          <w:i/>
          <w:w w:val="105"/>
          <w:sz w:val="22"/>
        </w:rPr>
        <w:t>International </w:t>
      </w:r>
      <w:r>
        <w:rPr>
          <w:i/>
          <w:spacing w:val="-7"/>
          <w:w w:val="105"/>
          <w:sz w:val="22"/>
        </w:rPr>
        <w:t>Tax </w:t>
      </w:r>
      <w:r>
        <w:rPr>
          <w:i/>
          <w:w w:val="105"/>
          <w:sz w:val="22"/>
        </w:rPr>
        <w:t>and Public Finance </w:t>
      </w:r>
      <w:r>
        <w:rPr>
          <w:b/>
          <w:w w:val="105"/>
          <w:sz w:val="22"/>
        </w:rPr>
        <w:t>19</w:t>
      </w:r>
      <w:r>
        <w:rPr>
          <w:w w:val="105"/>
          <w:sz w:val="22"/>
        </w:rPr>
        <w:t>: 468–508. </w:t>
      </w:r>
      <w:hyperlink r:id="rId30">
        <w:r>
          <w:rPr>
            <w:rFonts w:ascii="Arial" w:hAnsi="Arial"/>
            <w:color w:val="0000FF"/>
            <w:w w:val="105"/>
            <w:sz w:val="22"/>
          </w:rPr>
          <w:t>https://doi.org/10.1007/</w:t>
        </w:r>
      </w:hyperlink>
      <w:bookmarkStart w:name="_bookmark30" w:id="54"/>
      <w:bookmarkEnd w:id="54"/>
      <w:r>
        <w:rPr>
          <w:rFonts w:ascii="Arial" w:hAnsi="Arial"/>
          <w:color w:val="0000FF"/>
          <w:w w:val="105"/>
          <w:sz w:val="22"/>
        </w:rPr>
      </w:r>
      <w:r>
        <w:rPr>
          <w:rFonts w:ascii="Arial" w:hAnsi="Arial"/>
          <w:color w:val="0000FF"/>
          <w:w w:val="105"/>
          <w:sz w:val="22"/>
        </w:rPr>
        <w:t> </w:t>
      </w:r>
      <w:hyperlink r:id="rId30">
        <w:r>
          <w:rPr>
            <w:rFonts w:ascii="Arial" w:hAnsi="Arial"/>
            <w:color w:val="0000FF"/>
            <w:w w:val="105"/>
            <w:sz w:val="22"/>
          </w:rPr>
          <w:t>s10797-012-9236-x</w:t>
        </w:r>
      </w:hyperlink>
    </w:p>
    <w:p>
      <w:pPr>
        <w:spacing w:line="410" w:lineRule="auto" w:before="2"/>
        <w:ind w:left="120" w:right="112" w:firstLine="0"/>
        <w:jc w:val="both"/>
        <w:rPr>
          <w:rFonts w:ascii="Arial" w:hAnsi="Arial"/>
          <w:sz w:val="22"/>
        </w:rPr>
      </w:pPr>
      <w:r>
        <w:rPr>
          <w:sz w:val="22"/>
        </w:rPr>
        <w:t>Werner, R. (2003). </w:t>
      </w:r>
      <w:r>
        <w:rPr>
          <w:i/>
          <w:sz w:val="22"/>
        </w:rPr>
        <w:t>Princes of the Yen: Japan’s Central Bankers and the Transformation of the Economy</w:t>
      </w:r>
      <w:r>
        <w:rPr>
          <w:sz w:val="22"/>
        </w:rPr>
        <w:t>, second edn, Routledge, New York, NY, USA. </w:t>
      </w:r>
      <w:r>
        <w:rPr>
          <w:rFonts w:ascii="Arial" w:hAnsi="Arial"/>
          <w:color w:val="0000FF"/>
          <w:sz w:val="22"/>
        </w:rPr>
        <w:t>https://quantumpublishers.com/uk-cart/index.</w:t>
      </w:r>
      <w:bookmarkStart w:name="_bookmark31" w:id="55"/>
      <w:bookmarkEnd w:id="55"/>
      <w:r>
        <w:rPr>
          <w:rFonts w:ascii="Arial" w:hAnsi="Arial"/>
          <w:color w:val="0000FF"/>
          <w:sz w:val="22"/>
        </w:rPr>
      </w:r>
      <w:r>
        <w:rPr>
          <w:rFonts w:ascii="Arial" w:hAnsi="Arial"/>
          <w:color w:val="0000FF"/>
          <w:sz w:val="22"/>
        </w:rPr>
        <w:t> php?route=product/product{&amp;}product_id=50</w:t>
      </w:r>
    </w:p>
    <w:p>
      <w:pPr>
        <w:spacing w:line="410" w:lineRule="auto" w:before="1"/>
        <w:ind w:left="120" w:right="113" w:firstLine="0"/>
        <w:jc w:val="both"/>
        <w:rPr>
          <w:rFonts w:ascii="Arial"/>
          <w:sz w:val="22"/>
        </w:rPr>
      </w:pPr>
      <w:r>
        <w:rPr>
          <w:sz w:val="22"/>
        </w:rPr>
        <w:t>Werner, R. (2005). </w:t>
      </w:r>
      <w:r>
        <w:rPr>
          <w:i/>
          <w:sz w:val="22"/>
        </w:rPr>
        <w:t>New Paradigm in Macroeconomics: Solving the Riddle of Japanese Macroeconomic</w:t>
      </w:r>
      <w:bookmarkStart w:name="_bookmark32" w:id="56"/>
      <w:bookmarkEnd w:id="56"/>
      <w:r>
        <w:rPr>
          <w:i/>
          <w:sz w:val="22"/>
        </w:rPr>
      </w:r>
      <w:r>
        <w:rPr>
          <w:i/>
          <w:sz w:val="22"/>
        </w:rPr>
        <w:t> </w:t>
      </w:r>
      <w:r>
        <w:rPr>
          <w:i/>
          <w:sz w:val="22"/>
        </w:rPr>
        <w:t>Performance</w:t>
      </w:r>
      <w:r>
        <w:rPr>
          <w:sz w:val="22"/>
        </w:rPr>
        <w:t>, Palgrave Macmillan, London, UK. </w:t>
      </w:r>
      <w:hyperlink r:id="rId31">
        <w:r>
          <w:rPr>
            <w:rFonts w:ascii="Arial"/>
            <w:color w:val="0000FF"/>
            <w:sz w:val="22"/>
          </w:rPr>
          <w:t>https://doi.org/10.1057/9780230506077</w:t>
        </w:r>
      </w:hyperlink>
    </w:p>
    <w:p>
      <w:pPr>
        <w:spacing w:line="410" w:lineRule="auto" w:before="1"/>
        <w:ind w:left="120" w:right="112" w:firstLine="0"/>
        <w:jc w:val="both"/>
        <w:rPr>
          <w:rFonts w:ascii="Arial"/>
          <w:sz w:val="22"/>
        </w:rPr>
      </w:pPr>
      <w:r>
        <w:rPr>
          <w:spacing w:val="-4"/>
          <w:w w:val="105"/>
          <w:sz w:val="22"/>
        </w:rPr>
        <w:t>Werner,</w:t>
      </w:r>
      <w:r>
        <w:rPr>
          <w:spacing w:val="-40"/>
          <w:w w:val="105"/>
          <w:sz w:val="22"/>
        </w:rPr>
        <w:t> </w:t>
      </w:r>
      <w:r>
        <w:rPr>
          <w:w w:val="105"/>
          <w:sz w:val="22"/>
        </w:rPr>
        <w:t>R.</w:t>
      </w:r>
      <w:r>
        <w:rPr>
          <w:spacing w:val="-40"/>
          <w:w w:val="105"/>
          <w:sz w:val="22"/>
        </w:rPr>
        <w:t> </w:t>
      </w:r>
      <w:r>
        <w:rPr>
          <w:w w:val="105"/>
          <w:sz w:val="22"/>
        </w:rPr>
        <w:t>(2016).</w:t>
      </w:r>
      <w:r>
        <w:rPr>
          <w:spacing w:val="-33"/>
          <w:w w:val="105"/>
          <w:sz w:val="22"/>
        </w:rPr>
        <w:t> </w:t>
      </w:r>
      <w:r>
        <w:rPr>
          <w:w w:val="105"/>
          <w:sz w:val="22"/>
        </w:rPr>
        <w:t>Prof.</w:t>
      </w:r>
      <w:r>
        <w:rPr>
          <w:spacing w:val="-40"/>
          <w:w w:val="105"/>
          <w:sz w:val="22"/>
        </w:rPr>
        <w:t> </w:t>
      </w:r>
      <w:r>
        <w:rPr>
          <w:w w:val="105"/>
          <w:sz w:val="22"/>
        </w:rPr>
        <w:t>Richard</w:t>
      </w:r>
      <w:r>
        <w:rPr>
          <w:spacing w:val="-40"/>
          <w:w w:val="105"/>
          <w:sz w:val="22"/>
        </w:rPr>
        <w:t> </w:t>
      </w:r>
      <w:r>
        <w:rPr>
          <w:spacing w:val="-3"/>
          <w:w w:val="105"/>
          <w:sz w:val="22"/>
        </w:rPr>
        <w:t>Werner</w:t>
      </w:r>
      <w:r>
        <w:rPr>
          <w:spacing w:val="-40"/>
          <w:w w:val="105"/>
          <w:sz w:val="22"/>
        </w:rPr>
        <w:t> </w:t>
      </w:r>
      <w:r>
        <w:rPr>
          <w:w w:val="105"/>
          <w:sz w:val="22"/>
        </w:rPr>
        <w:t>-</w:t>
      </w:r>
      <w:r>
        <w:rPr>
          <w:spacing w:val="-40"/>
          <w:w w:val="105"/>
          <w:sz w:val="22"/>
        </w:rPr>
        <w:t> </w:t>
      </w:r>
      <w:r>
        <w:rPr>
          <w:w w:val="105"/>
          <w:sz w:val="22"/>
        </w:rPr>
        <w:t>Banking</w:t>
      </w:r>
      <w:r>
        <w:rPr>
          <w:spacing w:val="-40"/>
          <w:w w:val="105"/>
          <w:sz w:val="22"/>
        </w:rPr>
        <w:t> </w:t>
      </w:r>
      <w:r>
        <w:rPr>
          <w:w w:val="105"/>
          <w:sz w:val="22"/>
        </w:rPr>
        <w:t>Industry</w:t>
      </w:r>
      <w:r>
        <w:rPr>
          <w:spacing w:val="-40"/>
          <w:w w:val="105"/>
          <w:sz w:val="22"/>
        </w:rPr>
        <w:t> </w:t>
      </w:r>
      <w:r>
        <w:rPr>
          <w:w w:val="105"/>
          <w:sz w:val="22"/>
        </w:rPr>
        <w:t>Exposed</w:t>
      </w:r>
      <w:r>
        <w:rPr>
          <w:spacing w:val="-40"/>
          <w:w w:val="105"/>
          <w:sz w:val="22"/>
        </w:rPr>
        <w:t> </w:t>
      </w:r>
      <w:r>
        <w:rPr>
          <w:w w:val="105"/>
          <w:sz w:val="22"/>
        </w:rPr>
        <w:t>&amp;</w:t>
      </w:r>
      <w:r>
        <w:rPr>
          <w:spacing w:val="-40"/>
          <w:w w:val="105"/>
          <w:sz w:val="22"/>
        </w:rPr>
        <w:t> </w:t>
      </w:r>
      <w:r>
        <w:rPr>
          <w:w w:val="105"/>
          <w:sz w:val="22"/>
        </w:rPr>
        <w:t>Solutions</w:t>
      </w:r>
      <w:r>
        <w:rPr>
          <w:spacing w:val="-40"/>
          <w:w w:val="105"/>
          <w:sz w:val="22"/>
        </w:rPr>
        <w:t> </w:t>
      </w:r>
      <w:r>
        <w:rPr>
          <w:w w:val="105"/>
          <w:sz w:val="22"/>
        </w:rPr>
        <w:t>Presented</w:t>
      </w:r>
      <w:r>
        <w:rPr>
          <w:spacing w:val="-40"/>
          <w:w w:val="105"/>
          <w:sz w:val="22"/>
        </w:rPr>
        <w:t> </w:t>
      </w:r>
      <w:r>
        <w:rPr>
          <w:w w:val="105"/>
          <w:sz w:val="22"/>
        </w:rPr>
        <w:t>-</w:t>
      </w:r>
      <w:r>
        <w:rPr>
          <w:spacing w:val="-40"/>
          <w:w w:val="105"/>
          <w:sz w:val="22"/>
        </w:rPr>
        <w:t> </w:t>
      </w:r>
      <w:r>
        <w:rPr>
          <w:w w:val="105"/>
          <w:sz w:val="22"/>
        </w:rPr>
        <w:t>Dublin</w:t>
      </w:r>
      <w:r>
        <w:rPr>
          <w:spacing w:val="-40"/>
          <w:w w:val="105"/>
          <w:sz w:val="22"/>
        </w:rPr>
        <w:t> </w:t>
      </w:r>
      <w:r>
        <w:rPr>
          <w:w w:val="105"/>
          <w:sz w:val="22"/>
        </w:rPr>
        <w:t>April 2016.</w:t>
      </w:r>
      <w:r>
        <w:rPr>
          <w:spacing w:val="30"/>
          <w:w w:val="105"/>
          <w:sz w:val="22"/>
        </w:rPr>
        <w:t> </w:t>
      </w:r>
      <w:r>
        <w:rPr>
          <w:spacing w:val="-5"/>
          <w:w w:val="105"/>
          <w:sz w:val="22"/>
        </w:rPr>
        <w:t>YouTube,</w:t>
      </w:r>
      <w:r>
        <w:rPr>
          <w:spacing w:val="-10"/>
          <w:w w:val="105"/>
          <w:sz w:val="22"/>
        </w:rPr>
        <w:t> </w:t>
      </w:r>
      <w:r>
        <w:rPr>
          <w:w w:val="105"/>
          <w:sz w:val="22"/>
        </w:rPr>
        <w:t>Public</w:t>
      </w:r>
      <w:r>
        <w:rPr>
          <w:spacing w:val="-13"/>
          <w:w w:val="105"/>
          <w:sz w:val="22"/>
        </w:rPr>
        <w:t> </w:t>
      </w:r>
      <w:r>
        <w:rPr>
          <w:w w:val="105"/>
          <w:sz w:val="22"/>
        </w:rPr>
        <w:t>Banking</w:t>
      </w:r>
      <w:r>
        <w:rPr>
          <w:spacing w:val="-13"/>
          <w:w w:val="105"/>
          <w:sz w:val="22"/>
        </w:rPr>
        <w:t> </w:t>
      </w:r>
      <w:r>
        <w:rPr>
          <w:w w:val="105"/>
          <w:sz w:val="22"/>
        </w:rPr>
        <w:t>Forum</w:t>
      </w:r>
      <w:r>
        <w:rPr>
          <w:spacing w:val="-13"/>
          <w:w w:val="105"/>
          <w:sz w:val="22"/>
        </w:rPr>
        <w:t> </w:t>
      </w:r>
      <w:r>
        <w:rPr>
          <w:w w:val="105"/>
          <w:sz w:val="22"/>
        </w:rPr>
        <w:t>of</w:t>
      </w:r>
      <w:r>
        <w:rPr>
          <w:spacing w:val="-14"/>
          <w:w w:val="105"/>
          <w:sz w:val="22"/>
        </w:rPr>
        <w:t> </w:t>
      </w:r>
      <w:r>
        <w:rPr>
          <w:w w:val="105"/>
          <w:sz w:val="22"/>
        </w:rPr>
        <w:t>Ireland,</w:t>
      </w:r>
      <w:r>
        <w:rPr>
          <w:spacing w:val="-9"/>
          <w:w w:val="105"/>
          <w:sz w:val="22"/>
        </w:rPr>
        <w:t> </w:t>
      </w:r>
      <w:r>
        <w:rPr>
          <w:w w:val="105"/>
          <w:sz w:val="22"/>
        </w:rPr>
        <w:t>November</w:t>
      </w:r>
      <w:r>
        <w:rPr>
          <w:spacing w:val="-13"/>
          <w:w w:val="105"/>
          <w:sz w:val="22"/>
        </w:rPr>
        <w:t> </w:t>
      </w:r>
      <w:r>
        <w:rPr>
          <w:w w:val="105"/>
          <w:sz w:val="22"/>
        </w:rPr>
        <w:t>28,</w:t>
      </w:r>
      <w:r>
        <w:rPr>
          <w:spacing w:val="-10"/>
          <w:w w:val="105"/>
          <w:sz w:val="22"/>
        </w:rPr>
        <w:t> </w:t>
      </w:r>
      <w:r>
        <w:rPr>
          <w:w w:val="105"/>
          <w:sz w:val="22"/>
        </w:rPr>
        <w:t>2016,</w:t>
      </w:r>
      <w:r>
        <w:rPr>
          <w:spacing w:val="-10"/>
          <w:w w:val="105"/>
          <w:sz w:val="22"/>
        </w:rPr>
        <w:t> </w:t>
      </w:r>
      <w:r>
        <w:rPr>
          <w:w w:val="105"/>
          <w:sz w:val="22"/>
        </w:rPr>
        <w:t>accessed</w:t>
      </w:r>
      <w:r>
        <w:rPr>
          <w:spacing w:val="-13"/>
          <w:w w:val="105"/>
          <w:sz w:val="22"/>
        </w:rPr>
        <w:t> </w:t>
      </w:r>
      <w:r>
        <w:rPr>
          <w:w w:val="105"/>
          <w:sz w:val="22"/>
        </w:rPr>
        <w:t>September</w:t>
      </w:r>
      <w:r>
        <w:rPr>
          <w:spacing w:val="-13"/>
          <w:w w:val="105"/>
          <w:sz w:val="22"/>
        </w:rPr>
        <w:t> </w:t>
      </w:r>
      <w:r>
        <w:rPr>
          <w:w w:val="105"/>
          <w:sz w:val="22"/>
        </w:rPr>
        <w:t>12,</w:t>
      </w:r>
      <w:r>
        <w:rPr>
          <w:spacing w:val="-10"/>
          <w:w w:val="105"/>
          <w:sz w:val="22"/>
        </w:rPr>
        <w:t> </w:t>
      </w:r>
      <w:r>
        <w:rPr>
          <w:spacing w:val="-3"/>
          <w:w w:val="105"/>
          <w:sz w:val="22"/>
        </w:rPr>
        <w:t>2024.</w:t>
      </w:r>
      <w:bookmarkStart w:name="_bookmark33" w:id="57"/>
      <w:bookmarkEnd w:id="57"/>
      <w:r>
        <w:rPr>
          <w:spacing w:val="-3"/>
          <w:w w:val="105"/>
          <w:sz w:val="22"/>
        </w:rPr>
      </w:r>
      <w:r>
        <w:rPr>
          <w:spacing w:val="-3"/>
          <w:w w:val="105"/>
          <w:sz w:val="22"/>
        </w:rPr>
        <w:t> </w:t>
      </w:r>
      <w:hyperlink r:id="rId32">
        <w:r>
          <w:rPr>
            <w:rFonts w:ascii="Arial"/>
            <w:color w:val="0000FF"/>
            <w:w w:val="105"/>
            <w:sz w:val="22"/>
          </w:rPr>
          <w:t>https://youtu.be/MechH0ebs_c</w:t>
        </w:r>
      </w:hyperlink>
    </w:p>
    <w:p>
      <w:pPr>
        <w:spacing w:line="410" w:lineRule="auto" w:before="2"/>
        <w:ind w:left="120" w:right="112" w:firstLine="0"/>
        <w:jc w:val="both"/>
        <w:rPr>
          <w:rFonts w:ascii="Arial"/>
          <w:sz w:val="22"/>
        </w:rPr>
      </w:pPr>
      <w:r>
        <w:rPr>
          <w:sz w:val="22"/>
        </w:rPr>
        <w:t>Westbrook, I. (2017). Why has Barclays been charged? BBC News, dated June 20, 2017, accessed</w:t>
      </w:r>
      <w:bookmarkStart w:name="_bookmark34" w:id="58"/>
      <w:bookmarkEnd w:id="58"/>
      <w:r>
        <w:rPr>
          <w:sz w:val="22"/>
        </w:rPr>
      </w:r>
      <w:r>
        <w:rPr>
          <w:sz w:val="22"/>
        </w:rPr>
        <w:t> September 12, 2024. </w:t>
      </w:r>
      <w:hyperlink r:id="rId33">
        <w:r>
          <w:rPr>
            <w:rFonts w:ascii="Arial"/>
            <w:color w:val="0000FF"/>
            <w:sz w:val="22"/>
          </w:rPr>
          <w:t>https://www.bbc.com/news/business-40341611</w:t>
        </w:r>
      </w:hyperlink>
    </w:p>
    <w:p>
      <w:pPr>
        <w:spacing w:line="410" w:lineRule="auto" w:before="0"/>
        <w:ind w:left="120" w:right="112" w:firstLine="0"/>
        <w:jc w:val="both"/>
        <w:rPr>
          <w:rFonts w:ascii="Arial"/>
          <w:sz w:val="22"/>
        </w:rPr>
      </w:pPr>
      <w:r>
        <w:rPr>
          <w:w w:val="110"/>
          <w:sz w:val="22"/>
        </w:rPr>
        <w:t>Willis, H. </w:t>
      </w:r>
      <w:r>
        <w:rPr>
          <w:spacing w:val="-13"/>
          <w:w w:val="110"/>
          <w:sz w:val="22"/>
        </w:rPr>
        <w:t>P. </w:t>
      </w:r>
      <w:r>
        <w:rPr>
          <w:w w:val="110"/>
          <w:sz w:val="22"/>
        </w:rPr>
        <w:t>(1901). </w:t>
      </w:r>
      <w:r>
        <w:rPr>
          <w:i/>
          <w:w w:val="110"/>
          <w:sz w:val="22"/>
        </w:rPr>
        <w:t>A History of the Latin Monetary Union: A Study of International </w:t>
      </w:r>
      <w:r>
        <w:rPr>
          <w:i/>
          <w:spacing w:val="-3"/>
          <w:w w:val="110"/>
          <w:sz w:val="22"/>
        </w:rPr>
        <w:t>Mone-  </w:t>
      </w:r>
      <w:r>
        <w:rPr>
          <w:i/>
          <w:w w:val="110"/>
          <w:sz w:val="22"/>
        </w:rPr>
        <w:t>tary Action</w:t>
      </w:r>
      <w:r>
        <w:rPr>
          <w:w w:val="110"/>
          <w:sz w:val="22"/>
        </w:rPr>
        <w:t>, University of Chicago Press, Chicago, IL, USA.</w:t>
      </w:r>
      <w:r>
        <w:rPr>
          <w:spacing w:val="19"/>
          <w:w w:val="110"/>
          <w:sz w:val="22"/>
        </w:rPr>
        <w:t> </w:t>
      </w:r>
      <w:hyperlink r:id="rId34">
        <w:r>
          <w:rPr>
            <w:rFonts w:ascii="Arial"/>
            <w:color w:val="0000FF"/>
            <w:w w:val="110"/>
            <w:sz w:val="22"/>
          </w:rPr>
          <w:t>https://archive.org/details/</w:t>
        </w:r>
      </w:hyperlink>
    </w:p>
    <w:p>
      <w:pPr>
        <w:spacing w:after="0" w:line="410" w:lineRule="auto"/>
        <w:jc w:val="both"/>
        <w:rPr>
          <w:rFonts w:ascii="Arial"/>
          <w:sz w:val="22"/>
        </w:rPr>
        <w:sectPr>
          <w:pgSz w:w="12240" w:h="15840"/>
          <w:pgMar w:header="0" w:footer="563" w:top="1360" w:bottom="760" w:left="1320" w:right="1360"/>
        </w:sectPr>
      </w:pPr>
    </w:p>
    <w:p>
      <w:pPr>
        <w:spacing w:before="33"/>
        <w:ind w:left="120" w:right="0" w:firstLine="0"/>
        <w:jc w:val="left"/>
        <w:rPr>
          <w:rFonts w:ascii="Arial"/>
          <w:sz w:val="22"/>
        </w:rPr>
      </w:pPr>
      <w:hyperlink r:id="rId34">
        <w:r>
          <w:rPr>
            <w:rFonts w:ascii="Arial"/>
            <w:color w:val="0000FF"/>
            <w:w w:val="120"/>
            <w:sz w:val="22"/>
          </w:rPr>
          <w:t>historyoflatinmo00willuoft</w:t>
        </w:r>
      </w:hyperlink>
    </w:p>
    <w:sectPr>
      <w:pgSz w:w="12240" w:h="15840"/>
      <w:pgMar w:header="0" w:footer="563" w:top="1400" w:bottom="760" w:left="132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Lucida Sans Unicode">
    <w:altName w:val="Lucida Sans Unicode"/>
    <w:charset w:val="0"/>
    <w:family w:val="swiss"/>
    <w:pitch w:val="variable"/>
  </w:font>
  <w:font w:name="Arial">
    <w:altName w:val="Arial"/>
    <w:charset w:val="0"/>
    <w:family w:val="swiss"/>
    <w:pitch w:val="variable"/>
  </w:font>
  <w:font w:name="Verdana">
    <w:altName w:val="Verdana"/>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17099pt;margin-top:752.855408pt;width:18pt;height:16.45pt;mso-position-horizontal-relative:page;mso-position-vertical-relative:page;z-index:-15958528" type="#_x0000_t202" filled="false" stroked="false">
          <v:textbox inset="0,0,0,0">
            <w:txbxContent>
              <w:p>
                <w:pPr>
                  <w:pStyle w:val="BodyText"/>
                  <w:spacing w:before="17"/>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477" w:hanging="358"/>
        <w:jc w:val="left"/>
      </w:pPr>
      <w:rPr>
        <w:rFonts w:hint="default" w:ascii="Times New Roman" w:hAnsi="Times New Roman" w:eastAsia="Times New Roman" w:cs="Times New Roman"/>
        <w:b/>
        <w:bCs/>
        <w:w w:val="99"/>
        <w:sz w:val="22"/>
        <w:szCs w:val="22"/>
      </w:rPr>
    </w:lvl>
    <w:lvl w:ilvl="1">
      <w:start w:val="0"/>
      <w:numFmt w:val="bullet"/>
      <w:lvlText w:val="•"/>
      <w:lvlJc w:val="left"/>
      <w:pPr>
        <w:ind w:left="1388" w:hanging="358"/>
      </w:pPr>
      <w:rPr>
        <w:rFonts w:hint="default"/>
      </w:rPr>
    </w:lvl>
    <w:lvl w:ilvl="2">
      <w:start w:val="0"/>
      <w:numFmt w:val="bullet"/>
      <w:lvlText w:val="•"/>
      <w:lvlJc w:val="left"/>
      <w:pPr>
        <w:ind w:left="2296" w:hanging="358"/>
      </w:pPr>
      <w:rPr>
        <w:rFonts w:hint="default"/>
      </w:rPr>
    </w:lvl>
    <w:lvl w:ilvl="3">
      <w:start w:val="0"/>
      <w:numFmt w:val="bullet"/>
      <w:lvlText w:val="•"/>
      <w:lvlJc w:val="left"/>
      <w:pPr>
        <w:ind w:left="3204" w:hanging="358"/>
      </w:pPr>
      <w:rPr>
        <w:rFonts w:hint="default"/>
      </w:rPr>
    </w:lvl>
    <w:lvl w:ilvl="4">
      <w:start w:val="0"/>
      <w:numFmt w:val="bullet"/>
      <w:lvlText w:val="•"/>
      <w:lvlJc w:val="left"/>
      <w:pPr>
        <w:ind w:left="4112" w:hanging="358"/>
      </w:pPr>
      <w:rPr>
        <w:rFonts w:hint="default"/>
      </w:rPr>
    </w:lvl>
    <w:lvl w:ilvl="5">
      <w:start w:val="0"/>
      <w:numFmt w:val="bullet"/>
      <w:lvlText w:val="•"/>
      <w:lvlJc w:val="left"/>
      <w:pPr>
        <w:ind w:left="5020" w:hanging="358"/>
      </w:pPr>
      <w:rPr>
        <w:rFonts w:hint="default"/>
      </w:rPr>
    </w:lvl>
    <w:lvl w:ilvl="6">
      <w:start w:val="0"/>
      <w:numFmt w:val="bullet"/>
      <w:lvlText w:val="•"/>
      <w:lvlJc w:val="left"/>
      <w:pPr>
        <w:ind w:left="5928" w:hanging="358"/>
      </w:pPr>
      <w:rPr>
        <w:rFonts w:hint="default"/>
      </w:rPr>
    </w:lvl>
    <w:lvl w:ilvl="7">
      <w:start w:val="0"/>
      <w:numFmt w:val="bullet"/>
      <w:lvlText w:val="•"/>
      <w:lvlJc w:val="left"/>
      <w:pPr>
        <w:ind w:left="6836" w:hanging="358"/>
      </w:pPr>
      <w:rPr>
        <w:rFonts w:hint="default"/>
      </w:rPr>
    </w:lvl>
    <w:lvl w:ilvl="8">
      <w:start w:val="0"/>
      <w:numFmt w:val="bullet"/>
      <w:lvlText w:val="•"/>
      <w:lvlJc w:val="left"/>
      <w:pPr>
        <w:ind w:left="7744" w:hanging="358"/>
      </w:pPr>
      <w:rPr>
        <w:rFonts w:hint="default"/>
      </w:rPr>
    </w:lvl>
  </w:abstractNum>
  <w:abstractNum w:abstractNumId="0">
    <w:multiLevelType w:val="hybridMultilevel"/>
    <w:lvl w:ilvl="0">
      <w:start w:val="0"/>
      <w:numFmt w:val="bullet"/>
      <w:lvlText w:val="·"/>
      <w:lvlJc w:val="left"/>
      <w:pPr>
        <w:ind w:left="319" w:hanging="134"/>
      </w:pPr>
      <w:rPr>
        <w:rFonts w:hint="default" w:ascii="Lucida Sans Unicode" w:hAnsi="Lucida Sans Unicode" w:eastAsia="Lucida Sans Unicode" w:cs="Lucida Sans Unicode"/>
        <w:w w:val="83"/>
        <w:position w:val="7"/>
        <w:sz w:val="14"/>
        <w:szCs w:val="14"/>
      </w:rPr>
    </w:lvl>
    <w:lvl w:ilvl="1">
      <w:start w:val="0"/>
      <w:numFmt w:val="bullet"/>
      <w:lvlText w:val="•"/>
      <w:lvlJc w:val="left"/>
      <w:pPr>
        <w:ind w:left="1244" w:hanging="134"/>
      </w:pPr>
      <w:rPr>
        <w:rFonts w:hint="default"/>
      </w:rPr>
    </w:lvl>
    <w:lvl w:ilvl="2">
      <w:start w:val="0"/>
      <w:numFmt w:val="bullet"/>
      <w:lvlText w:val="•"/>
      <w:lvlJc w:val="left"/>
      <w:pPr>
        <w:ind w:left="2168" w:hanging="134"/>
      </w:pPr>
      <w:rPr>
        <w:rFonts w:hint="default"/>
      </w:rPr>
    </w:lvl>
    <w:lvl w:ilvl="3">
      <w:start w:val="0"/>
      <w:numFmt w:val="bullet"/>
      <w:lvlText w:val="•"/>
      <w:lvlJc w:val="left"/>
      <w:pPr>
        <w:ind w:left="3092" w:hanging="134"/>
      </w:pPr>
      <w:rPr>
        <w:rFonts w:hint="default"/>
      </w:rPr>
    </w:lvl>
    <w:lvl w:ilvl="4">
      <w:start w:val="0"/>
      <w:numFmt w:val="bullet"/>
      <w:lvlText w:val="•"/>
      <w:lvlJc w:val="left"/>
      <w:pPr>
        <w:ind w:left="4016" w:hanging="134"/>
      </w:pPr>
      <w:rPr>
        <w:rFonts w:hint="default"/>
      </w:rPr>
    </w:lvl>
    <w:lvl w:ilvl="5">
      <w:start w:val="0"/>
      <w:numFmt w:val="bullet"/>
      <w:lvlText w:val="•"/>
      <w:lvlJc w:val="left"/>
      <w:pPr>
        <w:ind w:left="4940" w:hanging="134"/>
      </w:pPr>
      <w:rPr>
        <w:rFonts w:hint="default"/>
      </w:rPr>
    </w:lvl>
    <w:lvl w:ilvl="6">
      <w:start w:val="0"/>
      <w:numFmt w:val="bullet"/>
      <w:lvlText w:val="•"/>
      <w:lvlJc w:val="left"/>
      <w:pPr>
        <w:ind w:left="5864" w:hanging="134"/>
      </w:pPr>
      <w:rPr>
        <w:rFonts w:hint="default"/>
      </w:rPr>
    </w:lvl>
    <w:lvl w:ilvl="7">
      <w:start w:val="0"/>
      <w:numFmt w:val="bullet"/>
      <w:lvlText w:val="•"/>
      <w:lvlJc w:val="left"/>
      <w:pPr>
        <w:ind w:left="6788" w:hanging="134"/>
      </w:pPr>
      <w:rPr>
        <w:rFonts w:hint="default"/>
      </w:rPr>
    </w:lvl>
    <w:lvl w:ilvl="8">
      <w:start w:val="0"/>
      <w:numFmt w:val="bullet"/>
      <w:lvlText w:val="•"/>
      <w:lvlJc w:val="left"/>
      <w:pPr>
        <w:ind w:left="7712" w:hanging="13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98"/>
      <w:ind w:left="367" w:right="360"/>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12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vozil@tuwien.ac.at" TargetMode="External"/><Relationship Id="rId7" Type="http://schemas.openxmlformats.org/officeDocument/2006/relationships/hyperlink" Target="http://tph.tuwien.ac.at/~svozil" TargetMode="External"/><Relationship Id="rId8" Type="http://schemas.openxmlformats.org/officeDocument/2006/relationships/hyperlink" Target="https://doi.org/10.2307/1991632" TargetMode="External"/><Relationship Id="rId9" Type="http://schemas.openxmlformats.org/officeDocument/2006/relationships/hyperlink" Target="https://www.bis.org/fsi/fsicms1.htm" TargetMode="External"/><Relationship Id="rId10" Type="http://schemas.openxmlformats.org/officeDocument/2006/relationships/hyperlink" Target="https://www.brookings.edu/articles/whats-the-ecb-doing-in-response-to-the-covid-19-crisis/" TargetMode="External"/><Relationship Id="rId11" Type="http://schemas.openxmlformats.org/officeDocument/2006/relationships/hyperlink" Target="https://doi.org/10.3390/jrfm16120506" TargetMode="External"/><Relationship Id="rId12" Type="http://schemas.openxmlformats.org/officeDocument/2006/relationships/hyperlink" Target="https://feu-journal.eu/wp-content/uploads/2023/03/FEU-Journal-Issue-2_Inflation-rising.pdf" TargetMode="External"/><Relationship Id="rId13" Type="http://schemas.openxmlformats.org/officeDocument/2006/relationships/hyperlink" Target="https://doi.org/10.1093/oso/9780199243662.001.0001" TargetMode="External"/><Relationship Id="rId14" Type="http://schemas.openxmlformats.org/officeDocument/2006/relationships/hyperlink" Target="https://www.ecb.europa.eu/pub/pdf/ecbu/eb201506.en.pdf" TargetMode="External"/><Relationship Id="rId15" Type="http://schemas.openxmlformats.org/officeDocument/2006/relationships/hyperlink" Target="https://www.ecb.europa.eu/ecb-and-you/explainers/tell-me-more/html/anfa_qa.en.html" TargetMode="External"/><Relationship Id="rId16" Type="http://schemas.openxmlformats.org/officeDocument/2006/relationships/hyperlink" Target="https://www.ecb.europa.eu/pub/pdf/other/Agreement_on_emergency_liquidity_assistance_20170517.en.pdf" TargetMode="External"/><Relationship Id="rId17" Type="http://schemas.openxmlformats.org/officeDocument/2006/relationships/hyperlink" Target="https://www.ecb.europa.eu/stats/policy_and_exchange_rates/target_balances/html/index.en.html" TargetMode="External"/><Relationship Id="rId18" Type="http://schemas.openxmlformats.org/officeDocument/2006/relationships/hyperlink" Target="https://doi.org/10.1017/s0968565000000020" TargetMode="External"/><Relationship Id="rId19" Type="http://schemas.openxmlformats.org/officeDocument/2006/relationships/hyperlink" Target="https://www.rna.is/media/skjol/RNAvefVidauki3Enska.pdf" TargetMode="External"/><Relationship Id="rId20" Type="http://schemas.openxmlformats.org/officeDocument/2006/relationships/hyperlink" Target="https://doi.org/10.1016/j.jimonfin.2020.102154" TargetMode="External"/><Relationship Id="rId21" Type="http://schemas.openxmlformats.org/officeDocument/2006/relationships/hyperlink" Target="https://www.hanswernersinn.de/dcs/Memorand-ECB-Monetary-Policy-04102019.pdf" TargetMode="External"/><Relationship Id="rId22" Type="http://schemas.openxmlformats.org/officeDocument/2006/relationships/hyperlink" Target="https://www.ifo.de/DocDL/sd-2016-13-hoffman-anfa-irland%7B%25%7D20-2016-07-14.pdf" TargetMode="External"/><Relationship Id="rId23" Type="http://schemas.openxmlformats.org/officeDocument/2006/relationships/hyperlink" Target="https://www.rna.is/media/skjol/RNAvefurKafli21Enska.pdf" TargetMode="External"/><Relationship Id="rId24" Type="http://schemas.openxmlformats.org/officeDocument/2006/relationships/hyperlink" Target="https://doi.org/10.31009/indret.2024.i4.11" TargetMode="External"/><Relationship Id="rId25" Type="http://schemas.openxmlformats.org/officeDocument/2006/relationships/hyperlink" Target="https://doi.org/10.1093/epolic/eiae009" TargetMode="External"/><Relationship Id="rId26" Type="http://schemas.openxmlformats.org/officeDocument/2006/relationships/hyperlink" Target="https://doi.org/10.3726/b10858" TargetMode="External"/><Relationship Id="rId27" Type="http://schemas.openxmlformats.org/officeDocument/2006/relationships/hyperlink" Target="https://doi.org/10.2139/ssrn.4620462" TargetMode="External"/><Relationship Id="rId28" Type="http://schemas.openxmlformats.org/officeDocument/2006/relationships/hyperlink" Target="https://cepr.org/voxeu/columns/love-letters-iceland-accountability-eurosystem" TargetMode="External"/><Relationship Id="rId29" Type="http://schemas.openxmlformats.org/officeDocument/2006/relationships/hyperlink" Target="https://doi.org/10.1007/978-3-030-50170-9" TargetMode="External"/><Relationship Id="rId30" Type="http://schemas.openxmlformats.org/officeDocument/2006/relationships/hyperlink" Target="https://doi.org/10.1007/s10797-012-9236-x" TargetMode="External"/><Relationship Id="rId31" Type="http://schemas.openxmlformats.org/officeDocument/2006/relationships/hyperlink" Target="https://doi.org/10.1057/9780230506077" TargetMode="External"/><Relationship Id="rId32" Type="http://schemas.openxmlformats.org/officeDocument/2006/relationships/hyperlink" Target="https://youtu.be/MechH0ebs_c" TargetMode="External"/><Relationship Id="rId33" Type="http://schemas.openxmlformats.org/officeDocument/2006/relationships/hyperlink" Target="https://www.bbc.com/news/business-40341611" TargetMode="External"/><Relationship Id="rId34" Type="http://schemas.openxmlformats.org/officeDocument/2006/relationships/hyperlink" Target="https://archive.org/details/historyoflatinmo00willuoft"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2024-12-09T22:05:21Z</dcterms:created>
  <dcterms:modified xsi:type="dcterms:W3CDTF">2024-12-09T22:05:21Z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Creator">
    <vt:lpwstr>LaTeX with hyperref</vt:lpwstr>
  </property>
  <property fmtid="{D5CDD505-2E9C-101B-9397-08002B2CF9AE}" pid="4" name="LastSaved">
    <vt:filetime>2024-12-09T00:00:00Z</vt:filetime>
  </property>
</Properties>
</file>