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Drawing Packet</w:t>
      </w:r>
    </w:p>
    <w:p>
      <w:r>
        <w:t>Status: attorney-review draft, not formal patent drawings.</w:t>
      </w:r>
    </w:p>
    <w:p>
      <w:pPr>
        <w:pStyle w:val="Heading2"/>
      </w:pPr>
      <w:r>
        <w:t>Figure List</w:t>
      </w:r>
    </w:p>
    <w:p>
      <w:pPr>
        <w:pStyle w:val="Heading3"/>
      </w:pPr>
      <w:r>
        <w:t>FIG. 1 - Confidence-Gated Screening Workflow</w:t>
      </w:r>
    </w:p>
    <w:p>
      <w:r>
        <w:t>Shows public/private experimental records entering a local screening engine. The engine performs feature generation, leakage-aware split, model training, calibration, domain profiling, candidate scoring, and decision output.</w:t>
      </w:r>
    </w:p>
    <w:p>
      <w:r>
        <w:t>Suggested labels:</w:t>
      </w:r>
    </w:p>
    <w:p>
      <w:pPr>
        <w:pStyle w:val="ListBullet"/>
      </w:pPr>
      <w:r>
        <w:t>100: screening system</w:t>
      </w:r>
    </w:p>
    <w:p>
      <w:pPr>
        <w:pStyle w:val="ListBullet"/>
      </w:pPr>
      <w:r>
        <w:t>102: training records</w:t>
      </w:r>
    </w:p>
    <w:p>
      <w:pPr>
        <w:pStyle w:val="ListBullet"/>
      </w:pPr>
      <w:r>
        <w:t>104: candidate records</w:t>
      </w:r>
    </w:p>
    <w:p>
      <w:pPr>
        <w:pStyle w:val="ListBullet"/>
      </w:pPr>
      <w:r>
        <w:t>106: feature generator</w:t>
      </w:r>
    </w:p>
    <w:p>
      <w:pPr>
        <w:pStyle w:val="ListBullet"/>
      </w:pPr>
      <w:r>
        <w:t>108: chemically held-out splitter</w:t>
      </w:r>
    </w:p>
    <w:p>
      <w:pPr>
        <w:pStyle w:val="ListBullet"/>
      </w:pPr>
      <w:r>
        <w:t>110: model trainer</w:t>
      </w:r>
    </w:p>
    <w:p>
      <w:pPr>
        <w:pStyle w:val="ListBullet"/>
      </w:pPr>
      <w:r>
        <w:t>112: interval calibrator</w:t>
      </w:r>
    </w:p>
    <w:p>
      <w:pPr>
        <w:pStyle w:val="ListBullet"/>
      </w:pPr>
      <w:r>
        <w:t>114: domain profiler</w:t>
      </w:r>
    </w:p>
    <w:p>
      <w:pPr>
        <w:pStyle w:val="ListBullet"/>
      </w:pPr>
      <w:r>
        <w:t>116: candidate scorer</w:t>
      </w:r>
    </w:p>
    <w:p>
      <w:pPr>
        <w:pStyle w:val="ListBullet"/>
      </w:pPr>
      <w:r>
        <w:t>118: decision output</w:t>
      </w:r>
    </w:p>
    <w:p>
      <w:pPr>
        <w:pStyle w:val="Heading3"/>
      </w:pPr>
      <w:r>
        <w:t>FIG. 2 - Chemically Held-Out Training and Calibration</w:t>
      </w:r>
    </w:p>
    <w:p>
      <w:r>
        <w:t>Shows training records grouped by solvent identity, cation identity, anion identity, or family. The figure should show that training, calibration, and test subsets do not share selected chemical group identifiers.</w:t>
      </w:r>
    </w:p>
    <w:p>
      <w:r>
        <w:t>Suggested labels:</w:t>
      </w:r>
    </w:p>
    <w:p>
      <w:pPr>
        <w:pStyle w:val="ListBullet"/>
      </w:pPr>
      <w:r>
        <w:t>200: grouped experimental records</w:t>
      </w:r>
    </w:p>
    <w:p>
      <w:pPr>
        <w:pStyle w:val="ListBullet"/>
      </w:pPr>
      <w:r>
        <w:t>202: training subset</w:t>
      </w:r>
    </w:p>
    <w:p>
      <w:pPr>
        <w:pStyle w:val="ListBullet"/>
      </w:pPr>
      <w:r>
        <w:t>204: calibration subset</w:t>
      </w:r>
    </w:p>
    <w:p>
      <w:pPr>
        <w:pStyle w:val="ListBullet"/>
      </w:pPr>
      <w:r>
        <w:t>206: held-out test subset</w:t>
      </w:r>
    </w:p>
    <w:p>
      <w:pPr>
        <w:pStyle w:val="ListBullet"/>
      </w:pPr>
      <w:r>
        <w:t>208: selected model</w:t>
      </w:r>
    </w:p>
    <w:p>
      <w:pPr>
        <w:pStyle w:val="ListBullet"/>
      </w:pPr>
      <w:r>
        <w:t>210: residual distribution</w:t>
      </w:r>
    </w:p>
    <w:p>
      <w:pPr>
        <w:pStyle w:val="ListBullet"/>
      </w:pPr>
      <w:r>
        <w:t>212: calibrated interval parameter</w:t>
      </w:r>
    </w:p>
    <w:p>
      <w:pPr>
        <w:pStyle w:val="Heading3"/>
      </w:pPr>
      <w:r>
        <w:t>FIG. 3 - Applicability-Domain Assessment</w:t>
      </w:r>
    </w:p>
    <w:p>
      <w:r>
        <w:t>Shows a candidate being compared to numeric training ranges and categorical chemistry values.</w:t>
      </w:r>
    </w:p>
    <w:p>
      <w:r>
        <w:t>Suggested labels:</w:t>
      </w:r>
    </w:p>
    <w:p>
      <w:pPr>
        <w:pStyle w:val="ListBullet"/>
      </w:pPr>
      <w:r>
        <w:t>300: candidate solvent record</w:t>
      </w:r>
    </w:p>
    <w:p>
      <w:pPr>
        <w:pStyle w:val="ListBullet"/>
      </w:pPr>
      <w:r>
        <w:t>302: numeric domain profile</w:t>
      </w:r>
    </w:p>
    <w:p>
      <w:pPr>
        <w:pStyle w:val="ListBullet"/>
      </w:pPr>
      <w:r>
        <w:t>304: categorical domain profile</w:t>
      </w:r>
    </w:p>
    <w:p>
      <w:pPr>
        <w:pStyle w:val="ListBullet"/>
      </w:pPr>
      <w:r>
        <w:t>306: unseen chemistry detector</w:t>
      </w:r>
    </w:p>
    <w:p>
      <w:pPr>
        <w:pStyle w:val="ListBullet"/>
      </w:pPr>
      <w:r>
        <w:t>308: operating-window detector</w:t>
      </w:r>
    </w:p>
    <w:p>
      <w:pPr>
        <w:pStyle w:val="ListBullet"/>
      </w:pPr>
      <w:r>
        <w:t>310: domain status</w:t>
      </w:r>
    </w:p>
    <w:p>
      <w:pPr>
        <w:pStyle w:val="ListBullet"/>
      </w:pPr>
      <w:r>
        <w:t>312: reason codes</w:t>
      </w:r>
    </w:p>
    <w:p>
      <w:pPr>
        <w:pStyle w:val="Heading3"/>
      </w:pPr>
      <w:r>
        <w:t>FIG. 4 - Candidate Scoring and Decision Logic</w:t>
      </w:r>
    </w:p>
    <w:p>
      <w:r>
        <w:t>Shows predicted value, interval width, domain penalty, uncertainty penalty, rank score, and final decision label.</w:t>
      </w:r>
    </w:p>
    <w:p>
      <w:r>
        <w:t>Suggested labels:</w:t>
      </w:r>
    </w:p>
    <w:p>
      <w:pPr>
        <w:pStyle w:val="ListBullet"/>
      </w:pPr>
      <w:r>
        <w:t>400: predicted CO2 capture response</w:t>
      </w:r>
    </w:p>
    <w:p>
      <w:pPr>
        <w:pStyle w:val="ListBullet"/>
      </w:pPr>
      <w:r>
        <w:t>402: prediction interval</w:t>
      </w:r>
    </w:p>
    <w:p>
      <w:pPr>
        <w:pStyle w:val="ListBullet"/>
      </w:pPr>
      <w:r>
        <w:t>404: interval width</w:t>
      </w:r>
    </w:p>
    <w:p>
      <w:pPr>
        <w:pStyle w:val="ListBullet"/>
      </w:pPr>
      <w:r>
        <w:t>406: uncertainty penalty</w:t>
      </w:r>
    </w:p>
    <w:p>
      <w:pPr>
        <w:pStyle w:val="ListBullet"/>
      </w:pPr>
      <w:r>
        <w:t>408: domain penalty</w:t>
      </w:r>
    </w:p>
    <w:p>
      <w:pPr>
        <w:pStyle w:val="ListBullet"/>
      </w:pPr>
      <w:r>
        <w:t>410: rank score</w:t>
      </w:r>
    </w:p>
    <w:p>
      <w:pPr>
        <w:pStyle w:val="ListBullet"/>
      </w:pPr>
      <w:r>
        <w:t>412: confidence grade</w:t>
      </w:r>
    </w:p>
    <w:p>
      <w:pPr>
        <w:pStyle w:val="ListBullet"/>
      </w:pPr>
      <w:r>
        <w:t>414: decision label</w:t>
      </w:r>
    </w:p>
    <w:p>
      <w:pPr>
        <w:pStyle w:val="Heading3"/>
      </w:pPr>
      <w:r>
        <w:t>FIG. 5 - Local Computer Implementation</w:t>
      </w:r>
    </w:p>
    <w:p>
      <w:r>
        <w:t>Shows local PC/workstation resources, storage, processor, memory, GPU/CPU, model files, dataset files, candidate files, and output files. The figure should emphasize that candidate structures and process data need not be transmitted to a cloud service.</w:t>
      </w:r>
    </w:p>
    <w:p>
      <w:r>
        <w:t>Suggested labels:</w:t>
      </w:r>
    </w:p>
    <w:p>
      <w:pPr>
        <w:pStyle w:val="ListBullet"/>
      </w:pPr>
      <w:r>
        <w:t>500: local computer</w:t>
      </w:r>
    </w:p>
    <w:p>
      <w:pPr>
        <w:pStyle w:val="ListBullet"/>
      </w:pPr>
      <w:r>
        <w:t>502: processor</w:t>
      </w:r>
    </w:p>
    <w:p>
      <w:pPr>
        <w:pStyle w:val="ListBullet"/>
      </w:pPr>
      <w:r>
        <w:t>504: memory</w:t>
      </w:r>
    </w:p>
    <w:p>
      <w:pPr>
        <w:pStyle w:val="ListBullet"/>
      </w:pPr>
      <w:r>
        <w:t>506: local storage</w:t>
      </w:r>
    </w:p>
    <w:p>
      <w:pPr>
        <w:pStyle w:val="ListBullet"/>
      </w:pPr>
      <w:r>
        <w:t>508: optional GPU</w:t>
      </w:r>
    </w:p>
    <w:p>
      <w:pPr>
        <w:pStyle w:val="ListBullet"/>
      </w:pPr>
      <w:r>
        <w:t>510: model bundle</w:t>
      </w:r>
    </w:p>
    <w:p>
      <w:pPr>
        <w:pStyle w:val="ListBullet"/>
      </w:pPr>
      <w:r>
        <w:t>512: data files</w:t>
      </w:r>
    </w:p>
    <w:p>
      <w:pPr>
        <w:pStyle w:val="ListBullet"/>
      </w:pPr>
      <w:r>
        <w:t>514: candidate ranking file</w:t>
      </w:r>
    </w:p>
    <w:p>
      <w:pPr>
        <w:pStyle w:val="ListBullet"/>
      </w:pPr>
      <w:r>
        <w:t>516: audit log</w:t>
      </w:r>
    </w:p>
    <w:p>
      <w:pPr>
        <w:pStyle w:val="Heading3"/>
      </w:pPr>
      <w:r>
        <w:t>FIG. 6 - Experimental Queue Output</w:t>
      </w:r>
    </w:p>
    <w:p>
      <w:r>
        <w:t>Shows `test`, `watch`, `reject`, and `needs_data` outputs. Candidates with `needs_data` are routed to data generation rather than positive recommendation.</w:t>
      </w:r>
    </w:p>
    <w:p>
      <w:r>
        <w:t>Suggested labels:</w:t>
      </w:r>
    </w:p>
    <w:p>
      <w:pPr>
        <w:pStyle w:val="ListBullet"/>
      </w:pPr>
      <w:r>
        <w:t>600: candidate decision table</w:t>
      </w:r>
    </w:p>
    <w:p>
      <w:pPr>
        <w:pStyle w:val="ListBullet"/>
      </w:pPr>
      <w:r>
        <w:t>602: positive testing queue</w:t>
      </w:r>
    </w:p>
    <w:p>
      <w:pPr>
        <w:pStyle w:val="ListBullet"/>
      </w:pPr>
      <w:r>
        <w:t>604: watch list</w:t>
      </w:r>
    </w:p>
    <w:p>
      <w:pPr>
        <w:pStyle w:val="ListBullet"/>
      </w:pPr>
      <w:r>
        <w:t>606: rejected candidate set</w:t>
      </w:r>
    </w:p>
    <w:p>
      <w:pPr>
        <w:pStyle w:val="ListBullet"/>
      </w:pPr>
      <w:r>
        <w:t>608: data-generation queue</w:t>
      </w:r>
    </w:p>
    <w:p>
      <w:pPr>
        <w:pStyle w:val="ListBullet"/>
      </w:pPr>
      <w:r>
        <w:t>610: laboratory information system</w:t>
      </w:r>
    </w:p>
    <w:p>
      <w:pPr>
        <w:pStyle w:val="ListBullet"/>
      </w:pPr>
      <w:r>
        <w:t>612: capture test apparatus</w:t>
      </w:r>
    </w:p>
    <w:p>
      <w:pPr>
        <w:pStyle w:val="Heading2"/>
      </w:pPr>
      <w:r>
        <w:t>Mermaid Drafts For Counsel/Draftsman</w:t>
      </w:r>
    </w:p>
    <w:p>
      <w:r>
        <w:rPr>
          <w:rFonts w:ascii="Courier New" w:hAnsi="Courier New"/>
          <w:sz w:val="18"/>
        </w:rPr>
        <w:t>flowchart LR</w:t>
        <w:br/>
        <w:t xml:space="preserve">    A[Training records] --&gt; B[Feature generator]</w:t>
        <w:br/>
        <w:t xml:space="preserve">    B --&gt; C[Chemical group split]</w:t>
        <w:br/>
        <w:t xml:space="preserve">    C --&gt; D[Model training]</w:t>
        <w:br/>
        <w:t xml:space="preserve">    C --&gt; E[Calibration residuals]</w:t>
        <w:br/>
        <w:t xml:space="preserve">    E --&gt; F[Prediction interval]</w:t>
        <w:br/>
        <w:t xml:space="preserve">    D --&gt; G[Candidate prediction]</w:t>
        <w:br/>
        <w:t xml:space="preserve">    H[Candidate records] --&gt; G</w:t>
        <w:br/>
        <w:t xml:space="preserve">    B --&gt; I[Domain profile]</w:t>
        <w:br/>
        <w:t xml:space="preserve">    H --&gt; J[Domain assessment]</w:t>
        <w:br/>
        <w:t xml:space="preserve">    F --&gt; K[Scoring engine]</w:t>
        <w:br/>
        <w:t xml:space="preserve">    G --&gt; K</w:t>
        <w:br/>
        <w:t xml:space="preserve">    J --&gt; K</w:t>
        <w:br/>
        <w:t xml:space="preserve">    K --&gt; L[Decision label and reason codes]</w:t>
      </w:r>
    </w:p>
    <w:p>
      <w:r>
        <w:rPr>
          <w:rFonts w:ascii="Courier New" w:hAnsi="Courier New"/>
          <w:sz w:val="18"/>
        </w:rPr>
        <w:t>flowchart TB</w:t>
        <w:br/>
        <w:t xml:space="preserve">    A[Candidate record] --&gt; B{Domain status}</w:t>
        <w:br/>
        <w:t xml:space="preserve">    B --&gt;|In domain| C[Compute rank score]</w:t>
        <w:br/>
        <w:t xml:space="preserve">    B --&gt;|Edge| D[Apply domain penalty]</w:t>
        <w:br/>
        <w:t xml:space="preserve">    B --&gt;|Out of domain| E[Needs data]</w:t>
        <w:br/>
        <w:t xml:space="preserve">    C --&gt; F{Confidence grade}</w:t>
        <w:br/>
        <w:t xml:space="preserve">    D --&gt; F</w:t>
        <w:br/>
        <w:t xml:space="preserve">    F --&gt;|A/B and high score| G[Test]</w:t>
        <w:br/>
        <w:t xml:space="preserve">    F --&gt;|A/B/C and mid score| H[Watch]</w:t>
        <w:br/>
        <w:t xml:space="preserve">    F --&gt;|Low score| I[Reject]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