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Prior Art And IDS Candidates</w:t>
      </w:r>
    </w:p>
    <w:p>
      <w:r>
        <w:t>Status: attorney-review draft, not legal advice. U.S. counsel should decide what to submit in an IDS.</w:t>
      </w:r>
    </w:p>
    <w:p>
      <w:pPr>
        <w:pStyle w:val="Heading2"/>
      </w:pPr>
      <w:r>
        <w:t>Closest Prior 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Citation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  <w:tc>
          <w:tcPr>
            <w:tcW w:type="dxa" w:w="2160"/>
          </w:tcPr>
          <w:p>
            <w:r>
              <w:t>Claim Strategy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Zhong et al., "Screening Environmentally Benign Ionic Liquids for CO2 Absorption Using Representation Uncertainty-Based Machine Learning," Environmental Science &amp; Technology Letters, 2024, DOI: 10.1021/acs.estlett.4c00524</w:t>
            </w:r>
          </w:p>
        </w:tc>
        <w:tc>
          <w:tcPr>
            <w:tcW w:type="dxa" w:w="2160"/>
          </w:tcPr>
          <w:p>
            <w:r>
              <w:t>Closest scientific reference. Uses uncertainty across representations for IL CO2 absorption screening.</w:t>
            </w:r>
          </w:p>
        </w:tc>
        <w:tc>
          <w:tcPr>
            <w:tcW w:type="dxa" w:w="2160"/>
          </w:tcPr>
          <w:p>
            <w:r>
              <w:t>Do not claim "uncertainty for IL CO2 screening" broadly. Focus on calibrated interval, held-out chemistry gate, OOD refusal, local workflow, and decision labels.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Norinder et al., "Introducing Conformal Prediction in Predictive Modeling," Journal of Chemical Information and Modeling, 2014, DOI: 10.1021/ci5001168</w:t>
            </w:r>
          </w:p>
        </w:tc>
        <w:tc>
          <w:tcPr>
            <w:tcW w:type="dxa" w:w="2160"/>
          </w:tcPr>
          <w:p>
            <w:r>
              <w:t>Foundational conformal prediction in cheminformatics and applicability-domain context.</w:t>
            </w:r>
          </w:p>
        </w:tc>
        <w:tc>
          <w:tcPr>
            <w:tcW w:type="dxa" w:w="2160"/>
          </w:tcPr>
          <w:p>
            <w:r>
              <w:t>Do not claim conformal prediction itself. Claim domain-specific integration into CO2 capture solvent triage.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Arvidsson McShane et al., "CPSign: conformal prediction for cheminformatics modeling," Journal of Cheminformatics, 2024, DOI: 10.1186/s13321-024-00870-9</w:t>
            </w:r>
          </w:p>
        </w:tc>
        <w:tc>
          <w:tcPr>
            <w:tcW w:type="dxa" w:w="2160"/>
          </w:tcPr>
          <w:p>
            <w:r>
              <w:t>Tooling prior art for conformal intervals in cheminformatics.</w:t>
            </w:r>
          </w:p>
        </w:tc>
        <w:tc>
          <w:tcPr>
            <w:tcW w:type="dxa" w:w="2160"/>
          </w:tcPr>
          <w:p>
            <w:r>
              <w:t>Emphasize capture-solvent workflow, decision suppression, and evidence tied to solvent-held-out validation.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Bastami et al., "Predicting CO2 Solubility in Diverse Ionic Liquids: A Data-Driven Approach Using Machine Learning Algorithms," Energy &amp; Fuels, 2025, DOI: 10.1021/acs.energyfuels.5c01345</w:t>
            </w:r>
          </w:p>
        </w:tc>
        <w:tc>
          <w:tcPr>
            <w:tcW w:type="dxa" w:w="2160"/>
          </w:tcPr>
          <w:p>
            <w:r>
              <w:t>Large modern QSPR/ML dataset and models for CO2 solubility in ILs.</w:t>
            </w:r>
          </w:p>
        </w:tc>
        <w:tc>
          <w:tcPr>
            <w:tcW w:type="dxa" w:w="2160"/>
          </w:tcPr>
          <w:p>
            <w:r>
              <w:t>Avoid broad prediction/model/descriptors claims.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Venkatraman et al., "The Ionic Liquid Property Explorer: An Extensive Library of Task-Specific Solvents," Data, 2019, DOI: 10.3390/data4020088; Zenodo 3251643</w:t>
            </w:r>
          </w:p>
        </w:tc>
        <w:tc>
          <w:tcPr>
            <w:tcW w:type="dxa" w:w="2160"/>
          </w:tcPr>
          <w:p>
            <w:r>
              <w:t>Public data source used in this project; IL property dataset with CO2 capacity and SMILES.</w:t>
            </w:r>
          </w:p>
        </w:tc>
        <w:tc>
          <w:tcPr>
            <w:tcW w:type="dxa" w:w="2160"/>
          </w:tcPr>
          <w:p>
            <w:r>
              <w:t>Cite as data source and background, not invention.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"Predicting CO2 capture of ionic liquids using machine learning," Journal of CO2 Utilization, 2017, DOI: 10.1016/j.jcou.2017.06.012</w:t>
            </w:r>
          </w:p>
        </w:tc>
        <w:tc>
          <w:tcPr>
            <w:tcW w:type="dxa" w:w="2160"/>
          </w:tcPr>
          <w:p>
            <w:r>
              <w:t>Early ML prediction of IL CO2 capture.</w:t>
            </w:r>
          </w:p>
        </w:tc>
        <w:tc>
          <w:tcPr>
            <w:tcW w:type="dxa" w:w="2160"/>
          </w:tcPr>
          <w:p>
            <w:r>
              <w:t>Avoid broad ML-based screening claims.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"Prediction of CO2 solubility in Ionic liquids for CO2 capture using deep learning models," Scientific Reports, 2024</w:t>
            </w:r>
          </w:p>
        </w:tc>
        <w:tc>
          <w:tcPr>
            <w:tcW w:type="dxa" w:w="2160"/>
          </w:tcPr>
          <w:p>
            <w:r>
              <w:t>Deep learning for IL CO2 solubility.</w:t>
            </w:r>
          </w:p>
        </w:tc>
        <w:tc>
          <w:tcPr>
            <w:tcW w:type="dxa" w:w="2160"/>
          </w:tcPr>
          <w:p>
            <w:r>
              <w:t>Differentiate with calibrated decision workflow and OOD abstention.</w:t>
            </w:r>
          </w:p>
        </w:tc>
      </w:tr>
      <w:tr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Qin et al., "Predicting the solubility of CO2 and N2 in ionic liquids based on COSMO-RS and machine learning," Frontiers in Chemistry, 2024, DOI: 10.3389/fchem.2024.1480468</w:t>
            </w:r>
          </w:p>
        </w:tc>
        <w:tc>
          <w:tcPr>
            <w:tcW w:type="dxa" w:w="2160"/>
          </w:tcPr>
          <w:p>
            <w:r>
              <w:t>COSMO-RS plus ML for gas solubility in ILs.</w:t>
            </w:r>
          </w:p>
        </w:tc>
        <w:tc>
          <w:tcPr>
            <w:tcW w:type="dxa" w:w="2160"/>
          </w:tcPr>
          <w:p>
            <w:r>
              <w:t>Avoid descriptor/model accuracy focus.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WO2025073762A1, "Solvent screening method"</w:t>
            </w:r>
          </w:p>
        </w:tc>
        <w:tc>
          <w:tcPr>
            <w:tcW w:type="dxa" w:w="2160"/>
          </w:tcPr>
          <w:p>
            <w:r>
              <w:t>Patent publication involving ML solvent screening, uncertainty, and process parameters.</w:t>
            </w:r>
          </w:p>
        </w:tc>
        <w:tc>
          <w:tcPr>
            <w:tcW w:type="dxa" w:w="2160"/>
          </w:tcPr>
          <w:p>
            <w:r>
              <w:t>Keep claims limited to CO2 capture solvent screening and calibrated OOD decision suppression.</w:t>
            </w:r>
          </w:p>
        </w:tc>
      </w:tr>
      <w:tr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US20230122168A1, "Conformal Inference for Optimization"</w:t>
            </w:r>
          </w:p>
        </w:tc>
        <w:tc>
          <w:tcPr>
            <w:tcW w:type="dxa" w:w="2160"/>
          </w:tcPr>
          <w:p>
            <w:r>
              <w:t>Patent publication applying conformal intervals to optimization of biological sequences.</w:t>
            </w:r>
          </w:p>
        </w:tc>
        <w:tc>
          <w:tcPr>
            <w:tcW w:type="dxa" w:w="2160"/>
          </w:tcPr>
          <w:p>
            <w:r>
              <w:t>Avoid broad conformal optimization. Claim solvent/CO2-specific data structures and decisions.</w:t>
            </w:r>
          </w:p>
        </w:tc>
      </w:tr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US20260042050 / WO2024187266A1, "Amine-based carbon capture solvent degradation monitoring"</w:t>
            </w:r>
          </w:p>
        </w:tc>
        <w:tc>
          <w:tcPr>
            <w:tcW w:type="dxa" w:w="2160"/>
          </w:tcPr>
          <w:p>
            <w:r>
              <w:t>Carbon-capture ML monitoring/threshold prior art.</w:t>
            </w:r>
          </w:p>
        </w:tc>
        <w:tc>
          <w:tcPr>
            <w:tcW w:type="dxa" w:w="2160"/>
          </w:tcPr>
          <w:p>
            <w:r>
              <w:t>Keep claims on pre-deployment screening and candidate triage, not degradation monitoring.</w:t>
            </w:r>
          </w:p>
        </w:tc>
      </w:tr>
    </w:tbl>
    <w:p>
      <w:pPr>
        <w:pStyle w:val="Heading2"/>
      </w:pPr>
      <w:r>
        <w:t>IDS Candidate Table</w:t>
      </w:r>
    </w:p>
    <w:p>
      <w:r>
        <w:t>Counsel should review whether to include these items in a U.S. Information Disclosure Statement:</w:t>
      </w:r>
    </w:p>
    <w:p>
      <w:pPr>
        <w:pStyle w:val="ListNumber"/>
      </w:pPr>
      <w:r>
        <w:t>Zhong et al., Environmental Science &amp; Technology Letters, 2024, DOI: 10.1021/acs.estlett.4c00524.</w:t>
      </w:r>
    </w:p>
    <w:p>
      <w:pPr>
        <w:pStyle w:val="ListNumber"/>
      </w:pPr>
      <w:r>
        <w:t>Norinder et al., Journal of Chemical Information and Modeling, 2014, DOI: 10.1021/ci5001168.</w:t>
      </w:r>
    </w:p>
    <w:p>
      <w:pPr>
        <w:pStyle w:val="ListNumber"/>
      </w:pPr>
      <w:r>
        <w:t>Arvidsson McShane et al., Journal of Cheminformatics, 2024, DOI: 10.1186/s13321-024-00870-9.</w:t>
      </w:r>
    </w:p>
    <w:p>
      <w:pPr>
        <w:pStyle w:val="ListNumber"/>
      </w:pPr>
      <w:r>
        <w:t>Bastami et al., Energy &amp; Fuels, 2025, DOI: 10.1021/acs.energyfuels.5c01345.</w:t>
      </w:r>
    </w:p>
    <w:p>
      <w:pPr>
        <w:pStyle w:val="ListNumber"/>
      </w:pPr>
      <w:r>
        <w:t>Venkatraman, Evjen, and Lethesh, Zenodo record 3251643, DOI: 10.5281/zenodo.3251643.</w:t>
      </w:r>
    </w:p>
    <w:p>
      <w:pPr>
        <w:pStyle w:val="ListNumber"/>
      </w:pPr>
      <w:r>
        <w:t>Venkatraman et al., Data, 2019, DOI: 10.3390/data4020088.</w:t>
      </w:r>
    </w:p>
    <w:p>
      <w:pPr>
        <w:pStyle w:val="ListNumber"/>
      </w:pPr>
      <w:r>
        <w:t>Predicting CO2 capture of ionic liquids using machine learning, Journal of CO2 Utilization, 2017, DOI: 10.1016/j.jcou.2017.06.012.</w:t>
      </w:r>
    </w:p>
    <w:p>
      <w:pPr>
        <w:pStyle w:val="ListNumber"/>
      </w:pPr>
      <w:r>
        <w:t>Prediction of CO2 solubility in Ionic liquids for CO2 capture using deep learning models, Scientific Reports, 2024.</w:t>
      </w:r>
    </w:p>
    <w:p>
      <w:pPr>
        <w:pStyle w:val="ListNumber"/>
      </w:pPr>
      <w:r>
        <w:t>Qin et al., Frontiers in Chemistry, 2024, DOI: 10.3389/fchem.2024.1480468.</w:t>
      </w:r>
    </w:p>
    <w:p>
      <w:pPr>
        <w:pStyle w:val="ListNumber"/>
      </w:pPr>
      <w:r>
        <w:t>WO2025073762A1, Solvent screening method.</w:t>
      </w:r>
    </w:p>
    <w:p>
      <w:pPr>
        <w:pStyle w:val="ListNumber"/>
      </w:pPr>
      <w:r>
        <w:t>US20230122168A1, Conformal Inference for Optimization.</w:t>
      </w:r>
    </w:p>
    <w:p>
      <w:pPr>
        <w:pStyle w:val="ListNumber"/>
      </w:pPr>
      <w:r>
        <w:t>US20260042050 or related WO publication, Amine-based carbon capture solvent degradation monitoring.</w:t>
      </w:r>
    </w:p>
    <w:p>
      <w:pPr>
        <w:pStyle w:val="Heading2"/>
      </w:pPr>
      <w:r>
        <w:t>Remaining Novel Claim Space</w:t>
      </w:r>
    </w:p>
    <w:p>
      <w:r>
        <w:t>The likely remaining claim space is a specific workflow in which the system:</w:t>
      </w:r>
    </w:p>
    <w:p>
      <w:pPr>
        <w:pStyle w:val="ListBullet"/>
      </w:pPr>
      <w:r>
        <w:t>requires chemically held-out validation before candidate ranking;</w:t>
      </w:r>
    </w:p>
    <w:p>
      <w:pPr>
        <w:pStyle w:val="ListBullet"/>
      </w:pPr>
      <w:r>
        <w:t>calibrates intervals on held-out chemistry/process regimes;</w:t>
      </w:r>
    </w:p>
    <w:p>
      <w:pPr>
        <w:pStyle w:val="ListBullet"/>
      </w:pPr>
      <w:r>
        <w:t>converts interval width and domain status into a rank penalty;</w:t>
      </w:r>
    </w:p>
    <w:p>
      <w:pPr>
        <w:pStyle w:val="ListBullet"/>
      </w:pPr>
      <w:r>
        <w:t>suppresses positive recommendation for OOD candidates;</w:t>
      </w:r>
    </w:p>
    <w:p>
      <w:pPr>
        <w:pStyle w:val="ListBullet"/>
      </w:pPr>
      <w:r>
        <w:t>outputs reason-coded decisions for experiment planning;</w:t>
      </w:r>
    </w:p>
    <w:p>
      <w:pPr>
        <w:pStyle w:val="ListBullet"/>
      </w:pPr>
      <w:r>
        <w:t>runs locally without exposing candidate chemistry to cloud services;</w:t>
      </w:r>
    </w:p>
    <w:p>
      <w:pPr>
        <w:pStyle w:val="ListBullet"/>
      </w:pPr>
      <w:r>
        <w:t>generates a concrete experimental queue for CO2 capture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