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Package README</w:t>
      </w:r>
    </w:p>
    <w:p>
      <w:r>
        <w:t>Working title: Confidence-Gated Machine-Learning System for Screening CO2 Capture Solvents</w:t>
      </w:r>
    </w:p>
    <w:p>
      <w:r>
        <w:t>Status: attorney-review draft, not legal advice.</w:t>
      </w:r>
    </w:p>
    <w:p>
      <w:r>
        <w:t>This folder contains a draft patent filing package for a computer-implemented chemical screening invention. The package is designed so a U.S. patent attorney and a Saudi patent agent can quickly review, revise, and file from the same technical disclosure.</w:t>
      </w:r>
    </w:p>
    <w:p>
      <w:pPr>
        <w:pStyle w:val="Heading2"/>
      </w:pPr>
      <w:r>
        <w:t>Core Invention</w:t>
      </w:r>
    </w:p>
    <w:p>
      <w:r>
        <w:t>The invention is a local/offline machine-learning workflow that screens candidate solvents for CO2 capture by combining:</w:t>
      </w:r>
    </w:p>
    <w:p>
      <w:pPr>
        <w:pStyle w:val="ListNumber"/>
      </w:pPr>
      <w:r>
        <w:t>leakage-aware model training and validation using solvent-held-out or ion-family-held-out splits;</w:t>
      </w:r>
    </w:p>
    <w:p>
      <w:pPr>
        <w:pStyle w:val="ListNumber"/>
      </w:pPr>
      <w:r>
        <w:t>calibrated prediction intervals;</w:t>
      </w:r>
    </w:p>
    <w:p>
      <w:pPr>
        <w:pStyle w:val="ListNumber"/>
      </w:pPr>
      <w:r>
        <w:t>applicability-domain checks for unseen chemistry and out-of-range process conditions;</w:t>
      </w:r>
    </w:p>
    <w:p>
      <w:pPr>
        <w:pStyle w:val="ListNumber"/>
      </w:pPr>
      <w:r>
        <w:t>a rank score that penalizes uncertainty and extrapolation;</w:t>
      </w:r>
    </w:p>
    <w:p>
      <w:pPr>
        <w:pStyle w:val="ListNumber"/>
      </w:pPr>
      <w:r>
        <w:t>a decision output that can abstain from recommending a candidate and instead flag it as needing experimental data.</w:t>
      </w:r>
    </w:p>
    <w:p>
      <w:r>
        <w:t>The patentable focus should be the technical decision workflow and evidence-backed refusal logic, not generic use of ML, XGBoost, random forests, descriptors, or CO2 solubility prediction.</w:t>
      </w:r>
    </w:p>
    <w:p>
      <w:pPr>
        <w:pStyle w:val="Heading2"/>
      </w:pPr>
      <w:r>
        <w:t>Files</w:t>
      </w:r>
    </w:p>
    <w:p>
      <w:pPr>
        <w:pStyle w:val="ListBullet"/>
      </w:pPr>
      <w:r>
        <w:t>`01_ATTORNEY_REVIEW_BRIEF.md`: executive technical/legal brief.</w:t>
      </w:r>
    </w:p>
    <w:p>
      <w:pPr>
        <w:pStyle w:val="ListBullet"/>
      </w:pPr>
      <w:r>
        <w:t>`02_SPECIFICATION_DRAFT.md`: draft specification usable as a U.S. provisional base and as a Saudi specification source after attorney revision and Arabic translation.</w:t>
      </w:r>
    </w:p>
    <w:p>
      <w:pPr>
        <w:pStyle w:val="ListBullet"/>
      </w:pPr>
      <w:r>
        <w:t>`03_CLAIMS_DRAFT.md`: draft claim set for attorney revision.</w:t>
      </w:r>
    </w:p>
    <w:p>
      <w:pPr>
        <w:pStyle w:val="ListBullet"/>
      </w:pPr>
      <w:r>
        <w:t>`04_DRAWING_PACKET.md`: drawing list and figure descriptions.</w:t>
      </w:r>
    </w:p>
    <w:p>
      <w:pPr>
        <w:pStyle w:val="ListBullet"/>
      </w:pPr>
      <w:r>
        <w:t>`05_PRIOR_ART_AND_IDS_CANDIDATES.md`: closest prior art and U.S. IDS candidate list.</w:t>
      </w:r>
    </w:p>
    <w:p>
      <w:pPr>
        <w:pStyle w:val="ListBullet"/>
      </w:pPr>
      <w:r>
        <w:t>`06_US_FILING_CHECKLIST.md`: U.S. provisional/nonprovisional checklist.</w:t>
      </w:r>
    </w:p>
    <w:p>
      <w:pPr>
        <w:pStyle w:val="ListBullet"/>
      </w:pPr>
      <w:r>
        <w:t>`07_SAIP_FILING_CHECKLIST.md`: Saudi filing checklist.</w:t>
      </w:r>
    </w:p>
    <w:p>
      <w:pPr>
        <w:pStyle w:val="ListBullet"/>
      </w:pPr>
      <w:r>
        <w:t>`08_EMAILS_TO_SEND.md`: email drafts for patent counsel / university or company IP office.</w:t>
      </w:r>
    </w:p>
    <w:p>
      <w:pPr>
        <w:pStyle w:val="ListBullet"/>
      </w:pPr>
      <w:r>
        <w:t>`09_INVENTOR_FACTS_NEEDED.md`: facts still needed before filing.</w:t>
      </w:r>
    </w:p>
    <w:p>
      <w:pPr>
        <w:pStyle w:val="Heading2"/>
      </w:pPr>
      <w:r>
        <w:t>Evidence Files</w:t>
      </w:r>
    </w:p>
    <w:p>
      <w:r>
        <w:t>Primary local evidence is in:</w:t>
      </w:r>
    </w:p>
    <w:p>
      <w:pPr>
        <w:pStyle w:val="ListBullet"/>
      </w:pPr>
      <w:r>
        <w:t>`runs/evidence_suite/summary.md`</w:t>
      </w:r>
    </w:p>
    <w:p>
      <w:pPr>
        <w:pStyle w:val="ListBullet"/>
      </w:pPr>
      <w:r>
        <w:t>`runs/evidence_suite/summary.csv`</w:t>
      </w:r>
    </w:p>
    <w:p>
      <w:pPr>
        <w:pStyle w:val="ListBullet"/>
      </w:pPr>
      <w:r>
        <w:t>`runs/evidence_suite/candidate_ranking.csv`</w:t>
      </w:r>
    </w:p>
    <w:p>
      <w:pPr>
        <w:pStyle w:val="ListBullet"/>
      </w:pPr>
      <w:r>
        <w:t>`runs/evidence_suite/zenodo_solvent_holdout_full/`</w:t>
      </w:r>
    </w:p>
    <w:p>
      <w:pPr>
        <w:pStyle w:val="ListBullet"/>
      </w:pPr>
      <w:r>
        <w:t>`runs/evidence_suite/zenodo_solvent_holdout_structure_only/`</w:t>
      </w:r>
    </w:p>
    <w:p>
      <w:r>
        <w:t>Reproducible command:</w:t>
      </w:r>
    </w:p>
    <w:p>
      <w:r>
        <w:rPr>
          <w:rFonts w:ascii="Courier New" w:hAnsi="Courier New"/>
          <w:sz w:val="18"/>
        </w:rPr>
        <w:t>python scripts/run_evidence_suite.py</w:t>
      </w:r>
    </w:p>
    <w:p>
      <w:r>
        <w:t>Verification command:</w:t>
      </w:r>
    </w:p>
    <w:p>
      <w:r>
        <w:rPr>
          <w:rFonts w:ascii="Courier New" w:hAnsi="Courier New"/>
          <w:sz w:val="18"/>
        </w:rPr>
        <w:t>python -m py_compile src/co2patent/pipeline.py scripts/run_pipeline.py scripts/run_evidence_suite.py scripts/screen_candidates.py</w:t>
        <w:br/>
        <w:t>python -m pytest tests -q</w:t>
      </w:r>
    </w:p>
    <w:p>
      <w:pPr>
        <w:pStyle w:val="Heading2"/>
      </w:pPr>
      <w:r>
        <w:t>Immediate Attorney Instruction</w:t>
      </w:r>
    </w:p>
    <w:p>
      <w:r>
        <w:t>Ask counsel to review:</w:t>
      </w:r>
    </w:p>
    <w:p>
      <w:pPr>
        <w:pStyle w:val="ListNumber"/>
      </w:pPr>
      <w:r>
        <w:t>whether to file a U.S. provisional immediately before any disclosure;</w:t>
      </w:r>
    </w:p>
    <w:p>
      <w:pPr>
        <w:pStyle w:val="ListNumber"/>
      </w:pPr>
      <w:r>
        <w:t>whether to file Saudi national directly or via PCT/Paris route;</w:t>
      </w:r>
    </w:p>
    <w:p>
      <w:pPr>
        <w:pStyle w:val="ListNumber"/>
      </w:pPr>
      <w:r>
        <w:t>whether claim 1 should be method-first, system-first, or computer-readable-medium-first;</w:t>
      </w:r>
    </w:p>
    <w:p>
      <w:pPr>
        <w:pStyle w:val="ListNumber"/>
      </w:pPr>
      <w:r>
        <w:t>whether optional apparatus/LIMS/test scheduling language is sufficiently supported;</w:t>
      </w:r>
    </w:p>
    <w:p>
      <w:pPr>
        <w:pStyle w:val="ListNumber"/>
      </w:pPr>
      <w:r>
        <w:t>whether any ownership, university, employer, or funding obligation affects filing.</w:t>
      </w:r>
    </w:p>
    <w:p>
      <w:r>
        <w:br w:type="page"/>
      </w:r>
    </w:p>
    <w:p>
      <w:pPr>
        <w:pStyle w:val="Heading1"/>
      </w:pPr>
      <w:r>
        <w:t>Attorney Review Brief</w:t>
      </w:r>
    </w:p>
    <w:p>
      <w:r>
        <w:t>Status: attorney-review draft, not legal advice.</w:t>
      </w:r>
    </w:p>
    <w:p>
      <w:pPr>
        <w:pStyle w:val="Heading2"/>
      </w:pPr>
      <w:r>
        <w:t>One-Sentence Summary</w:t>
      </w:r>
    </w:p>
    <w:p>
      <w:r>
        <w:t>A local computer-implemented system screens CO2 capture solvent candidates by predicting capture performance, calibrating prediction intervals on chemically held-out data, detecting out-of-domain chemistry and operating conditions, and outputting a ranked or abstained decision with reason codes for experimental triage.</w:t>
      </w:r>
    </w:p>
    <w:p>
      <w:pPr>
        <w:pStyle w:val="Heading2"/>
      </w:pPr>
      <w:r>
        <w:t>Technical Problem</w:t>
      </w:r>
    </w:p>
    <w:p>
      <w:r>
        <w:t>Machine-learning models for CO2 solvent and ionic-liquid screening can appear accurate under random row splits because the same solvent identity can appear in both training and test records at different pressures or temperatures. When a genuinely new cation, anion, solvent family, or operating window is presented, point predictions can be overconfident and can cause poor experimental selection.</w:t>
      </w:r>
    </w:p>
    <w:p>
      <w:pPr>
        <w:pStyle w:val="Heading2"/>
      </w:pPr>
      <w:r>
        <w:t>Proposed Technical Solution</w:t>
      </w:r>
    </w:p>
    <w:p>
      <w:r>
        <w:t>The system:</w:t>
      </w:r>
    </w:p>
    <w:p>
      <w:pPr>
        <w:pStyle w:val="ListNumber"/>
      </w:pPr>
      <w:r>
        <w:t>receives experimental solvent records and candidate solvent records;</w:t>
      </w:r>
    </w:p>
    <w:p>
      <w:pPr>
        <w:pStyle w:val="ListNumber"/>
      </w:pPr>
      <w:r>
        <w:t>forms solvent, cation, and anion identity information and molecular descriptors;</w:t>
      </w:r>
    </w:p>
    <w:p>
      <w:pPr>
        <w:pStyle w:val="ListNumber"/>
      </w:pPr>
      <w:r>
        <w:t>trains one or more regression models for a CO2 capture response;</w:t>
      </w:r>
    </w:p>
    <w:p>
      <w:pPr>
        <w:pStyle w:val="ListNumber"/>
      </w:pPr>
      <w:r>
        <w:t>validates the model under solvent-held-out or ion-family-held-out splits;</w:t>
      </w:r>
    </w:p>
    <w:p>
      <w:pPr>
        <w:pStyle w:val="ListNumber"/>
      </w:pPr>
      <w:r>
        <w:t>calibrates a prediction interval from held-out calibration residuals;</w:t>
      </w:r>
    </w:p>
    <w:p>
      <w:pPr>
        <w:pStyle w:val="ListNumber"/>
      </w:pPr>
      <w:r>
        <w:t>builds an applicability-domain profile from training features;</w:t>
      </w:r>
    </w:p>
    <w:p>
      <w:pPr>
        <w:pStyle w:val="ListNumber"/>
      </w:pPr>
      <w:r>
        <w:t>scores candidates using predicted response, interval width, domain status, and operating constraints;</w:t>
      </w:r>
    </w:p>
    <w:p>
      <w:pPr>
        <w:pStyle w:val="ListNumber"/>
      </w:pPr>
      <w:r>
        <w:t>suppresses recommendations for out-of-domain candidates by assigning `needs_data`;</w:t>
      </w:r>
    </w:p>
    <w:p>
      <w:pPr>
        <w:pStyle w:val="ListNumber"/>
      </w:pPr>
      <w:r>
        <w:t>outputs prediction interval, confidence grade, domain status, reason codes, rank score, and decision label.</w:t>
      </w:r>
    </w:p>
    <w:p>
      <w:pPr>
        <w:pStyle w:val="Heading2"/>
      </w:pPr>
      <w:r>
        <w:t>Local Evidence</w:t>
      </w:r>
    </w:p>
    <w:p>
      <w:r>
        <w:t>Dataset: Zenodo record 3251643, `CO2CAPACITY.txt` and `CA.smi`, prepared into 10,865 valid records and 216 solvent identities.</w:t>
      </w:r>
    </w:p>
    <w:p>
      <w:r>
        <w:t>Evidence summary: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run</w:t>
            </w:r>
          </w:p>
        </w:tc>
        <w:tc>
          <w:tcPr>
            <w:tcW w:type="dxa" w:w="1080"/>
          </w:tcPr>
          <w:p>
            <w:r>
              <w:t>split</w:t>
            </w:r>
          </w:p>
        </w:tc>
        <w:tc>
          <w:tcPr>
            <w:tcW w:type="dxa" w:w="1080"/>
          </w:tcPr>
          <w:p>
            <w:r>
              <w:t>best model</w:t>
            </w:r>
          </w:p>
        </w:tc>
        <w:tc>
          <w:tcPr>
            <w:tcW w:type="dxa" w:w="1080"/>
          </w:tcPr>
          <w:p>
            <w:r>
              <w:t>R2</w:t>
            </w:r>
          </w:p>
        </w:tc>
        <w:tc>
          <w:tcPr>
            <w:tcW w:type="dxa" w:w="1080"/>
          </w:tcPr>
          <w:p>
            <w:r>
              <w:t>MAE</w:t>
            </w:r>
          </w:p>
        </w:tc>
        <w:tc>
          <w:tcPr>
            <w:tcW w:type="dxa" w:w="1080"/>
          </w:tcPr>
          <w:p>
            <w:r>
              <w:t>RMSE</w:t>
            </w:r>
          </w:p>
        </w:tc>
        <w:tc>
          <w:tcPr>
            <w:tcW w:type="dxa" w:w="1080"/>
          </w:tcPr>
          <w:p>
            <w:r>
              <w:t>coverage</w:t>
            </w:r>
          </w:p>
        </w:tc>
        <w:tc>
          <w:tcPr>
            <w:tcW w:type="dxa" w:w="1080"/>
          </w:tcPr>
          <w:p>
            <w:r>
              <w:t>interval width</w:t>
            </w:r>
          </w:p>
        </w:tc>
      </w:tr>
      <w:tr>
        <w:tc>
          <w:tcPr>
            <w:tcW w:type="dxa" w:w="1080"/>
          </w:tcPr>
          <w:p>
            <w:r>
              <w:t>`zenodo_random_full`</w:t>
            </w:r>
          </w:p>
        </w:tc>
        <w:tc>
          <w:tcPr>
            <w:tcW w:type="dxa" w:w="1080"/>
          </w:tcPr>
          <w:p>
            <w:r>
              <w:t>random row</w:t>
            </w:r>
          </w:p>
        </w:tc>
        <w:tc>
          <w:tcPr>
            <w:tcW w:type="dxa" w:w="1080"/>
          </w:tcPr>
          <w:p>
            <w:r>
              <w:t>random forest</w:t>
            </w:r>
          </w:p>
        </w:tc>
        <w:tc>
          <w:tcPr>
            <w:tcW w:type="dxa" w:w="1080"/>
          </w:tcPr>
          <w:p>
            <w:r>
              <w:t>0.9402</w:t>
            </w:r>
          </w:p>
        </w:tc>
        <w:tc>
          <w:tcPr>
            <w:tcW w:type="dxa" w:w="1080"/>
          </w:tcPr>
          <w:p>
            <w:r>
              <w:t>0.1636</w:t>
            </w:r>
          </w:p>
        </w:tc>
        <w:tc>
          <w:tcPr>
            <w:tcW w:type="dxa" w:w="1080"/>
          </w:tcPr>
          <w:p>
            <w:r>
              <w:t>0.2985</w:t>
            </w:r>
          </w:p>
        </w:tc>
        <w:tc>
          <w:tcPr>
            <w:tcW w:type="dxa" w:w="1080"/>
          </w:tcPr>
          <w:p>
            <w:r>
              <w:t>0.9146</w:t>
            </w:r>
          </w:p>
        </w:tc>
        <w:tc>
          <w:tcPr>
            <w:tcW w:type="dxa" w:w="1080"/>
          </w:tcPr>
          <w:p>
            <w:r>
              <w:t>0.8980</w:t>
            </w:r>
          </w:p>
        </w:tc>
      </w:tr>
      <w:tr>
        <w:tc>
          <w:tcPr>
            <w:tcW w:type="dxa" w:w="1080"/>
          </w:tcPr>
          <w:p>
            <w:r>
              <w:t>`zenodo_solvent_holdout_full`</w:t>
            </w:r>
          </w:p>
        </w:tc>
        <w:tc>
          <w:tcPr>
            <w:tcW w:type="dxa" w:w="1080"/>
          </w:tcPr>
          <w:p>
            <w:r>
              <w:t>solvent held out</w:t>
            </w:r>
          </w:p>
        </w:tc>
        <w:tc>
          <w:tcPr>
            <w:tcW w:type="dxa" w:w="1080"/>
          </w:tcPr>
          <w:p>
            <w:r>
              <w:t>XGBoost</w:t>
            </w:r>
          </w:p>
        </w:tc>
        <w:tc>
          <w:tcPr>
            <w:tcW w:type="dxa" w:w="1080"/>
          </w:tcPr>
          <w:p>
            <w:r>
              <w:t>0.3226</w:t>
            </w:r>
          </w:p>
        </w:tc>
        <w:tc>
          <w:tcPr>
            <w:tcW w:type="dxa" w:w="1080"/>
          </w:tcPr>
          <w:p>
            <w:r>
              <w:t>0.4465</w:t>
            </w:r>
          </w:p>
        </w:tc>
        <w:tc>
          <w:tcPr>
            <w:tcW w:type="dxa" w:w="1080"/>
          </w:tcPr>
          <w:p>
            <w:r>
              <w:t>0.8874</w:t>
            </w:r>
          </w:p>
        </w:tc>
        <w:tc>
          <w:tcPr>
            <w:tcW w:type="dxa" w:w="1080"/>
          </w:tcPr>
          <w:p>
            <w:r>
              <w:t>0.8596</w:t>
            </w:r>
          </w:p>
        </w:tc>
        <w:tc>
          <w:tcPr>
            <w:tcW w:type="dxa" w:w="1080"/>
          </w:tcPr>
          <w:p>
            <w:r>
              <w:t>1.4720</w:t>
            </w:r>
          </w:p>
        </w:tc>
      </w:tr>
      <w:tr>
        <w:tc>
          <w:tcPr>
            <w:tcW w:type="dxa" w:w="1080"/>
          </w:tcPr>
          <w:p>
            <w:r>
              <w:t>`zenodo_solvent_holdout_structure_only`</w:t>
            </w:r>
          </w:p>
        </w:tc>
        <w:tc>
          <w:tcPr>
            <w:tcW w:type="dxa" w:w="1080"/>
          </w:tcPr>
          <w:p>
            <w:r>
              <w:t>solvent held out, no ion codes</w:t>
            </w:r>
          </w:p>
        </w:tc>
        <w:tc>
          <w:tcPr>
            <w:tcW w:type="dxa" w:w="1080"/>
          </w:tcPr>
          <w:p>
            <w:r>
              <w:t>XGBoost</w:t>
            </w:r>
          </w:p>
        </w:tc>
        <w:tc>
          <w:tcPr>
            <w:tcW w:type="dxa" w:w="1080"/>
          </w:tcPr>
          <w:p>
            <w:r>
              <w:t>0.2529</w:t>
            </w:r>
          </w:p>
        </w:tc>
        <w:tc>
          <w:tcPr>
            <w:tcW w:type="dxa" w:w="1080"/>
          </w:tcPr>
          <w:p>
            <w:r>
              <w:t>0.5214</w:t>
            </w:r>
          </w:p>
        </w:tc>
        <w:tc>
          <w:tcPr>
            <w:tcW w:type="dxa" w:w="1080"/>
          </w:tcPr>
          <w:p>
            <w:r>
              <w:t>0.9319</w:t>
            </w:r>
          </w:p>
        </w:tc>
        <w:tc>
          <w:tcPr>
            <w:tcW w:type="dxa" w:w="1080"/>
          </w:tcPr>
          <w:p>
            <w:r>
              <w:t>0.8910</w:t>
            </w:r>
          </w:p>
        </w:tc>
        <w:tc>
          <w:tcPr>
            <w:tcW w:type="dxa" w:w="1080"/>
          </w:tcPr>
          <w:p>
            <w:r>
              <w:t>1.8151</w:t>
            </w:r>
          </w:p>
        </w:tc>
      </w:tr>
      <w:tr>
        <w:tc>
          <w:tcPr>
            <w:tcW w:type="dxa" w:w="1080"/>
          </w:tcPr>
          <w:p>
            <w:r>
              <w:t>`zenodo_cation_holdout_no_cation_code`</w:t>
            </w:r>
          </w:p>
        </w:tc>
        <w:tc>
          <w:tcPr>
            <w:tcW w:type="dxa" w:w="1080"/>
          </w:tcPr>
          <w:p>
            <w:r>
              <w:t>cation held out</w:t>
            </w:r>
          </w:p>
        </w:tc>
        <w:tc>
          <w:tcPr>
            <w:tcW w:type="dxa" w:w="1080"/>
          </w:tcPr>
          <w:p>
            <w:r>
              <w:t>hist gradient boosting</w:t>
            </w:r>
          </w:p>
        </w:tc>
        <w:tc>
          <w:tcPr>
            <w:tcW w:type="dxa" w:w="1080"/>
          </w:tcPr>
          <w:p>
            <w:r>
              <w:t>0.5241</w:t>
            </w:r>
          </w:p>
        </w:tc>
        <w:tc>
          <w:tcPr>
            <w:tcW w:type="dxa" w:w="1080"/>
          </w:tcPr>
          <w:p>
            <w:r>
              <w:t>0.4211</w:t>
            </w:r>
          </w:p>
        </w:tc>
        <w:tc>
          <w:tcPr>
            <w:tcW w:type="dxa" w:w="1080"/>
          </w:tcPr>
          <w:p>
            <w:r>
              <w:t>0.8754</w:t>
            </w:r>
          </w:p>
        </w:tc>
        <w:tc>
          <w:tcPr>
            <w:tcW w:type="dxa" w:w="1080"/>
          </w:tcPr>
          <w:p>
            <w:r>
              <w:t>0.9342</w:t>
            </w:r>
          </w:p>
        </w:tc>
        <w:tc>
          <w:tcPr>
            <w:tcW w:type="dxa" w:w="1080"/>
          </w:tcPr>
          <w:p>
            <w:r>
              <w:t>2.9450</w:t>
            </w:r>
          </w:p>
        </w:tc>
      </w:tr>
      <w:tr>
        <w:tc>
          <w:tcPr>
            <w:tcW w:type="dxa" w:w="1080"/>
          </w:tcPr>
          <w:p>
            <w:r>
              <w:t>`zenodo_anion_holdout_no_anion_code`</w:t>
            </w:r>
          </w:p>
        </w:tc>
        <w:tc>
          <w:tcPr>
            <w:tcW w:type="dxa" w:w="1080"/>
          </w:tcPr>
          <w:p>
            <w:r>
              <w:t>anion held out</w:t>
            </w:r>
          </w:p>
        </w:tc>
        <w:tc>
          <w:tcPr>
            <w:tcW w:type="dxa" w:w="1080"/>
          </w:tcPr>
          <w:p>
            <w:r>
              <w:t>XGBoost</w:t>
            </w:r>
          </w:p>
        </w:tc>
        <w:tc>
          <w:tcPr>
            <w:tcW w:type="dxa" w:w="1080"/>
          </w:tcPr>
          <w:p>
            <w:r>
              <w:t>0.7901</w:t>
            </w:r>
          </w:p>
        </w:tc>
        <w:tc>
          <w:tcPr>
            <w:tcW w:type="dxa" w:w="1080"/>
          </w:tcPr>
          <w:p>
            <w:r>
              <w:t>0.3633</w:t>
            </w:r>
          </w:p>
        </w:tc>
        <w:tc>
          <w:tcPr>
            <w:tcW w:type="dxa" w:w="1080"/>
          </w:tcPr>
          <w:p>
            <w:r>
              <w:t>0.5953</w:t>
            </w:r>
          </w:p>
        </w:tc>
        <w:tc>
          <w:tcPr>
            <w:tcW w:type="dxa" w:w="1080"/>
          </w:tcPr>
          <w:p>
            <w:r>
              <w:t>0.9452</w:t>
            </w:r>
          </w:p>
        </w:tc>
        <w:tc>
          <w:tcPr>
            <w:tcW w:type="dxa" w:w="1080"/>
          </w:tcPr>
          <w:p>
            <w:r>
              <w:t>2.3826</w:t>
            </w:r>
          </w:p>
        </w:tc>
      </w:tr>
    </w:tbl>
    <w:p>
      <w:r>
        <w:t>Candidate screen:</w:t>
      </w:r>
    </w:p>
    <w:p>
      <w:pPr>
        <w:pStyle w:val="ListBullet"/>
      </w:pPr>
      <w:r>
        <w:t>In-domain observed median candidate: `test`.</w:t>
      </w:r>
    </w:p>
    <w:p>
      <w:pPr>
        <w:pStyle w:val="ListBullet"/>
      </w:pPr>
      <w:r>
        <w:t>Unseen cation candidate: `needs_data`.</w:t>
      </w:r>
    </w:p>
    <w:p>
      <w:pPr>
        <w:pStyle w:val="ListBullet"/>
      </w:pPr>
      <w:r>
        <w:t>Deliberate high-pressure unseen candidate: `needs_data`.</w:t>
      </w:r>
    </w:p>
    <w:p>
      <w:pPr>
        <w:pStyle w:val="ListBullet"/>
      </w:pPr>
      <w:r>
        <w:t>Low-performing in-domain candidate: `reject`.</w:t>
      </w:r>
    </w:p>
    <w:p>
      <w:pPr>
        <w:pStyle w:val="Heading2"/>
      </w:pPr>
      <w:r>
        <w:t>Why This Is Not Just "Use ML"</w:t>
      </w:r>
    </w:p>
    <w:p>
      <w:r>
        <w:t>The strongest claim lane is not a model architecture. It is a decision system that converts uncertainty and domain validity into an experimental action. The practical output is not just a predicted value; it is a controlled go/no-go recommendation with abstention and reason codes.</w:t>
      </w:r>
    </w:p>
    <w:p>
      <w:pPr>
        <w:pStyle w:val="Heading2"/>
      </w:pPr>
      <w:r>
        <w:t>Closest Prior-Art Risks</w:t>
      </w:r>
    </w:p>
    <w:p>
      <w:r>
        <w:t>Highest-risk prior art:</w:t>
      </w:r>
    </w:p>
    <w:p>
      <w:pPr>
        <w:pStyle w:val="ListBullet"/>
      </w:pPr>
      <w:r>
        <w:t>Zhong et al., 2024, representation uncertainty for environmentally benign ionic-liquid CO2 absorption screening.</w:t>
      </w:r>
    </w:p>
    <w:p>
      <w:pPr>
        <w:pStyle w:val="ListBullet"/>
      </w:pPr>
      <w:r>
        <w:t>Norinder et al., 2014, conformal prediction in cheminformatics.</w:t>
      </w:r>
    </w:p>
    <w:p>
      <w:pPr>
        <w:pStyle w:val="ListBullet"/>
      </w:pPr>
      <w:r>
        <w:t>CPSign, 2024, conformal prediction tooling for cheminformatics.</w:t>
      </w:r>
    </w:p>
    <w:p>
      <w:pPr>
        <w:pStyle w:val="ListBullet"/>
      </w:pPr>
      <w:r>
        <w:t>ML/QSPR papers predicting CO2 solubility in ionic liquids, including 2017, 2024, and 2025 works.</w:t>
      </w:r>
    </w:p>
    <w:p>
      <w:pPr>
        <w:pStyle w:val="ListBullet"/>
      </w:pPr>
      <w:r>
        <w:t>General solvent-screening patents using ML and uncertainty in process optimization.</w:t>
      </w:r>
    </w:p>
    <w:p>
      <w:r>
        <w:t>Main differentiation:</w:t>
      </w:r>
    </w:p>
    <w:p>
      <w:pPr>
        <w:pStyle w:val="ListBullet"/>
      </w:pPr>
      <w:r>
        <w:t>use of solvent-held-out or ion-family-held-out validation as a screening gate;</w:t>
      </w:r>
    </w:p>
    <w:p>
      <w:pPr>
        <w:pStyle w:val="ListBullet"/>
      </w:pPr>
      <w:r>
        <w:t>formal calibrated intervals tied to decision suppression;</w:t>
      </w:r>
    </w:p>
    <w:p>
      <w:pPr>
        <w:pStyle w:val="ListBullet"/>
      </w:pPr>
      <w:r>
        <w:t>explicit out-of-domain refusal for unseen cation/anion/process regimes;</w:t>
      </w:r>
    </w:p>
    <w:p>
      <w:pPr>
        <w:pStyle w:val="ListBullet"/>
      </w:pPr>
      <w:r>
        <w:t>local/offline workflow using public or private records;</w:t>
      </w:r>
    </w:p>
    <w:p>
      <w:pPr>
        <w:pStyle w:val="ListBullet"/>
      </w:pPr>
      <w:r>
        <w:t>auditable reason codes for experimental triage in CO2 capture solvent selection.</w:t>
      </w:r>
    </w:p>
    <w:p>
      <w:pPr>
        <w:pStyle w:val="Heading2"/>
      </w:pPr>
      <w:r>
        <w:t>U.S. Filing Strategy</w:t>
      </w:r>
    </w:p>
    <w:p>
      <w:r>
        <w:t>Preferred first step: file a detailed U.S. provisional before any public disclosure. Include the specification, flowcharts, evidence tables, code-level examples, and candidate-ranking outputs. Then refine claims for nonprovisional/PCT filing within 12 months.</w:t>
      </w:r>
    </w:p>
    <w:p>
      <w:r>
        <w:t>Eligibility framing:</w:t>
      </w:r>
    </w:p>
    <w:p>
      <w:pPr>
        <w:pStyle w:val="ListBullet"/>
      </w:pPr>
      <w:r>
        <w:t>avoid claiming math, ranking, or information display in isolation;</w:t>
      </w:r>
    </w:p>
    <w:p>
      <w:pPr>
        <w:pStyle w:val="ListBullet"/>
      </w:pPr>
      <w:r>
        <w:t>claim a practical chemical screening process;</w:t>
      </w:r>
    </w:p>
    <w:p>
      <w:pPr>
        <w:pStyle w:val="ListBullet"/>
      </w:pPr>
      <w:r>
        <w:t>include optional outputs that generate an experimental test queue or test protocol;</w:t>
      </w:r>
    </w:p>
    <w:p>
      <w:pPr>
        <w:pStyle w:val="ListBullet"/>
      </w:pPr>
      <w:r>
        <w:t>include a system configured to perform the method;</w:t>
      </w:r>
    </w:p>
    <w:p>
      <w:pPr>
        <w:pStyle w:val="ListBullet"/>
      </w:pPr>
      <w:r>
        <w:t>include non-transitory computer-readable medium claims, not "signal" or "carrier wave" claims.</w:t>
      </w:r>
    </w:p>
    <w:p>
      <w:pPr>
        <w:pStyle w:val="Heading2"/>
      </w:pPr>
      <w:r>
        <w:t>Saudi Filing Strategy</w:t>
      </w:r>
    </w:p>
    <w:p>
      <w:r>
        <w:t>Preferred Saudi framing: a computer-implemented industrial process for screening CO2 capture solvents, not a mathematical method. Saudi law identifies patentable inventions as products, industrial processes, or related subject matter when new, involving an innovative step, and industrially applicable. The Saudi law also excludes discoveries, scientific theories, mathematical methods, pure mental/business rules, and other categories. The specification should emphasize industrial use, chemical process relevance, and technical decision control.</w:t>
      </w:r>
    </w:p>
    <w:p>
      <w:r>
        <w:t>Saudi-specific package items likely needed:</w:t>
      </w:r>
    </w:p>
    <w:p>
      <w:pPr>
        <w:pStyle w:val="ListBullet"/>
      </w:pPr>
      <w:r>
        <w:t>Arabic specification/claims/abstract or compliant translation path;</w:t>
      </w:r>
    </w:p>
    <w:p>
      <w:pPr>
        <w:pStyle w:val="ListBullet"/>
      </w:pPr>
      <w:r>
        <w:t>Saudi agent if applicant resides outside the Kingdom;</w:t>
      </w:r>
    </w:p>
    <w:p>
      <w:pPr>
        <w:pStyle w:val="ListBullet"/>
      </w:pPr>
      <w:r>
        <w:t>applicant/inventor details;</w:t>
      </w:r>
    </w:p>
    <w:p>
      <w:pPr>
        <w:pStyle w:val="ListBullet"/>
      </w:pPr>
      <w:r>
        <w:t>assignment evidence if applicant is not inventor;</w:t>
      </w:r>
    </w:p>
    <w:p>
      <w:pPr>
        <w:pStyle w:val="ListBullet"/>
      </w:pPr>
      <w:r>
        <w:t>priority documents if claiming foreign priority;</w:t>
      </w:r>
    </w:p>
    <w:p>
      <w:pPr>
        <w:pStyle w:val="ListBullet"/>
      </w:pPr>
      <w:r>
        <w:t>disclosure history documents;</w:t>
      </w:r>
    </w:p>
    <w:p>
      <w:pPr>
        <w:pStyle w:val="ListBullet"/>
      </w:pPr>
      <w:r>
        <w:t>power of attorney for Saudi agent.</w:t>
      </w:r>
    </w:p>
    <w:p>
      <w:pPr>
        <w:pStyle w:val="Heading2"/>
      </w:pPr>
      <w:r>
        <w:t>Counsel Questions</w:t>
      </w:r>
    </w:p>
    <w:p>
      <w:pPr>
        <w:pStyle w:val="ListNumber"/>
      </w:pPr>
      <w:r>
        <w:t>Should the first filing be U.S. provisional, Saudi national, or PCT-first?</w:t>
      </w:r>
    </w:p>
    <w:p>
      <w:pPr>
        <w:pStyle w:val="ListNumber"/>
      </w:pPr>
      <w:r>
        <w:t>Is there any public disclosure that already occurred?</w:t>
      </w:r>
    </w:p>
    <w:p>
      <w:pPr>
        <w:pStyle w:val="ListNumber"/>
      </w:pPr>
      <w:r>
        <w:t>Are all inventors named correctly?</w:t>
      </w:r>
    </w:p>
    <w:p>
      <w:pPr>
        <w:pStyle w:val="ListNumber"/>
      </w:pPr>
      <w:r>
        <w:t>Does any university, employer, grant, or contractor own rights?</w:t>
      </w:r>
    </w:p>
    <w:p>
      <w:pPr>
        <w:pStyle w:val="ListNumber"/>
      </w:pPr>
      <w:r>
        <w:t>Should claims include apparatus/test-control steps or remain software/process only?</w:t>
      </w:r>
    </w:p>
    <w:p>
      <w:pPr>
        <w:pStyle w:val="ListNumber"/>
      </w:pPr>
      <w:r>
        <w:t>Should any candidate solvent compositions be claimed after further experimental testing?</w:t>
      </w:r>
    </w:p>
    <w:p>
      <w:r>
        <w:br w:type="page"/>
      </w:r>
    </w:p>
    <w:p>
      <w:pPr>
        <w:pStyle w:val="Heading1"/>
      </w:pPr>
      <w:r>
        <w:t>Specification Draft</w:t>
      </w:r>
    </w:p>
    <w:p>
      <w:r>
        <w:t>Status: attorney-review draft, not legal advice.</w:t>
      </w:r>
    </w:p>
    <w:p>
      <w:pPr>
        <w:pStyle w:val="Heading2"/>
      </w:pPr>
      <w:r>
        <w:t>Title</w:t>
      </w:r>
    </w:p>
    <w:p>
      <w:r>
        <w:t>Confidence-Gated Solvent Screening System</w:t>
      </w:r>
    </w:p>
    <w:p>
      <w:pPr>
        <w:pStyle w:val="Heading2"/>
      </w:pPr>
      <w:r>
        <w:t>Field</w:t>
      </w:r>
    </w:p>
    <w:p>
      <w:r>
        <w:t>The disclosure relates to computer-implemented chemical screening, carbon capture, solvent selection, molecular property prediction, applicability-domain assessment, calibrated uncertainty estimation, and experimental triage of CO2 capture solvent candidates.</w:t>
      </w:r>
    </w:p>
    <w:p>
      <w:pPr>
        <w:pStyle w:val="Heading2"/>
      </w:pPr>
      <w:r>
        <w:t>Background</w:t>
      </w:r>
    </w:p>
    <w:p>
      <w:r>
        <w:t>Carbon dioxide capture processes require solvents or solvent systems that provide suitable absorption performance under practical operating conditions. Ionic liquids and related solvents can be varied by changing cations, anions, substituents, mixtures, and operating conditions. Experimental testing of all possible candidates is expensive and slow.</w:t>
      </w:r>
    </w:p>
    <w:p>
      <w:r>
        <w:t>Machine-learning models have been used to predict CO2 solubility or absorption performance from molecular descriptors and operating conditions. However, a model may provide a confident point prediction for a candidate that is outside the chemical or process domain represented in the training data. A random row train/test split may also report high accuracy when records for the same solvent identity appear in both the training and test sets at different temperatures or pressures. Such evaluation can overstate the model's ability to screen new solvents.</w:t>
      </w:r>
    </w:p>
    <w:p>
      <w:r>
        <w:t>There is a need for a solvent screening system that does not merely output a point prediction, but evaluates whether the prediction is supported by the model domain and by calibrated uncertainty, and that can abstain from recommending a candidate when additional experimental data is required.</w:t>
      </w:r>
    </w:p>
    <w:p>
      <w:pPr>
        <w:pStyle w:val="Heading2"/>
      </w:pPr>
      <w:r>
        <w:t>Summary</w:t>
      </w:r>
    </w:p>
    <w:p>
      <w:r>
        <w:t>In one embodiment, a computer-implemented method screens candidate solvents for CO2 capture. The method receives training records including solvent identity information, molecular representation information, operating condition information, and measured CO2 capture response values. The method forms a chemically aware evaluation split, trains one or more regression models, calibrates prediction intervals from calibration residuals, builds an applicability-domain profile from the training data, and evaluates candidate solvent records.</w:t>
      </w:r>
    </w:p>
    <w:p>
      <w:r>
        <w:t>For each candidate, the method predicts a CO2 capture response, determines a prediction interval, determines an applicability-domain status, computes a rank score that penalizes uncertainty and domain violations, and outputs a decision label. The decision label can include `test`, `watch`, `reject`, or `needs_data`. In some embodiments, an out-of-domain candidate is not ranked as a viable candidate even if the point prediction is high.</w:t>
      </w:r>
    </w:p>
    <w:p>
      <w:r>
        <w:t>In another embodiment, the system outputs reason codes identifying why a candidate was accepted, rejected, or routed for data generation. Example reason codes include unseen cation, unseen anion, temperature outside training range, pressure outside training range, descriptor outside training range, interval too wide, or candidate within training domain.</w:t>
      </w:r>
    </w:p>
    <w:p>
      <w:r>
        <w:t>In another embodiment, the output is used to form an experimental test queue, a laboratory information management system record, or an experimental protocol specifying candidate solvent, temperature, pressure, and priority.</w:t>
      </w:r>
    </w:p>
    <w:p>
      <w:pPr>
        <w:pStyle w:val="Heading2"/>
      </w:pPr>
      <w:r>
        <w:t>Brief Description of Drawings</w:t>
      </w:r>
    </w:p>
    <w:p>
      <w:r>
        <w:t>FIG. 1 illustrates an overall confidence-gated solvent screening workflow.</w:t>
      </w:r>
    </w:p>
    <w:p>
      <w:r>
        <w:t>FIG. 2 illustrates model training using solvent-held-out or ion-family-held-out validation and conformal calibration.</w:t>
      </w:r>
    </w:p>
    <w:p>
      <w:r>
        <w:t>FIG. 3 illustrates applicability-domain assessment using numeric range checks and categorical unseen-level checks.</w:t>
      </w:r>
    </w:p>
    <w:p>
      <w:r>
        <w:t>FIG. 4 illustrates candidate scoring and decision labeling.</w:t>
      </w:r>
    </w:p>
    <w:p>
      <w:r>
        <w:t>FIG. 5 illustrates an example local computer system configured to execute the workflow.</w:t>
      </w:r>
    </w:p>
    <w:p>
      <w:r>
        <w:t>FIG. 6 illustrates an optional experimental test queue generated from candidate decisions.</w:t>
      </w:r>
    </w:p>
    <w:p>
      <w:pPr>
        <w:pStyle w:val="Heading2"/>
      </w:pPr>
      <w:r>
        <w:t>Detailed Description</w:t>
      </w:r>
    </w:p>
    <w:p>
      <w:pPr>
        <w:pStyle w:val="Heading3"/>
      </w:pPr>
      <w:r>
        <w:t>Definitions</w:t>
      </w:r>
    </w:p>
    <w:p>
      <w:r>
        <w:t>The term "solvent" includes a pure solvent, ionic liquid, deep eutectic solvent, amine-containing solvent, solvent blend, or other liquid composition considered for CO2 capture.</w:t>
      </w:r>
    </w:p>
    <w:p>
      <w:r>
        <w:t>The term "CO2 capture response" includes one or more measured or transformed values associated with CO2 absorption or solubility, including mole fraction, loading, capacity, Henry-law constant, selectivity, rate, viscosity-adjusted capture metric, or a logarithmic transform of any of the foregoing.</w:t>
      </w:r>
    </w:p>
    <w:p>
      <w:r>
        <w:t>The term "candidate record" means a set of data describing a candidate solvent under one or more operating conditions. A candidate record can include molecular structures, cation identifiers, anion identifiers, SMILES strings, descriptors, temperature, pressure, gas composition, water content, impurity condition, process unit identifier, or other process attributes.</w:t>
      </w:r>
    </w:p>
    <w:p>
      <w:r>
        <w:t>The term "applicability-domain status" means a classification or score indicating whether a candidate is inside, near the edge of, or outside the domain represented by training data.</w:t>
      </w:r>
    </w:p>
    <w:p>
      <w:r>
        <w:t>The term "prediction interval" means an interval associated with a prediction, including a conformal interval, quantile interval, Bayesian interval, ensemble interval, or calibrated residual interval.</w:t>
      </w:r>
    </w:p>
    <w:p>
      <w:pPr>
        <w:pStyle w:val="Heading3"/>
      </w:pPr>
      <w:r>
        <w:t>Training Records</w:t>
      </w:r>
    </w:p>
    <w:p>
      <w:r>
        <w:t>Training records may be obtained from public datasets, internal experimental datasets, published literature, laboratory information systems, or combinations thereof. Each training record may include:</w:t>
      </w:r>
    </w:p>
    <w:p>
      <w:pPr>
        <w:pStyle w:val="ListBullet"/>
      </w:pPr>
      <w:r>
        <w:t>solvent identity;</w:t>
      </w:r>
    </w:p>
    <w:p>
      <w:pPr>
        <w:pStyle w:val="ListBullet"/>
      </w:pPr>
      <w:r>
        <w:t>cation and anion identity for ionic liquids;</w:t>
      </w:r>
    </w:p>
    <w:p>
      <w:pPr>
        <w:pStyle w:val="ListBullet"/>
      </w:pPr>
      <w:r>
        <w:t>one or more molecular representations;</w:t>
      </w:r>
    </w:p>
    <w:p>
      <w:pPr>
        <w:pStyle w:val="ListBullet"/>
      </w:pPr>
      <w:r>
        <w:t>operating conditions, including temperature and pressure;</w:t>
      </w:r>
    </w:p>
    <w:p>
      <w:pPr>
        <w:pStyle w:val="ListBullet"/>
      </w:pPr>
      <w:r>
        <w:t>measured CO2 capture response;</w:t>
      </w:r>
    </w:p>
    <w:p>
      <w:pPr>
        <w:pStyle w:val="ListBullet"/>
      </w:pPr>
      <w:r>
        <w:t>source information or reference identifier.</w:t>
      </w:r>
    </w:p>
    <w:p>
      <w:r>
        <w:t>The system may transform pressure using a logarithm and may transform solubility or capacity using a logarithm. The system may compute descriptors from SMILES strings. In one embodiment, lightweight descriptors include string length, branch count, ring digit count, charge symbol counts, aromatic atom counts, bond counts, atom token counts, heteroatom counts, and a formal-charge proxy. In other embodiments, the descriptors include fingerprints, group-contribution descriptors, sigma-profile descriptors, quantum chemical descriptors, graph embeddings, image embeddings, or learned molecular representations.</w:t>
      </w:r>
    </w:p>
    <w:p>
      <w:pPr>
        <w:pStyle w:val="Heading3"/>
      </w:pPr>
      <w:r>
        <w:t>Leakage-Aware Evaluation</w:t>
      </w:r>
    </w:p>
    <w:p>
      <w:r>
        <w:t>The system forms a training set, calibration set, and test set. In one embodiment, records are split by solvent identity so that solvent identities in the test set do not appear in the training set. In another embodiment, records are split by cation family, anion family, scaffold, molecular cluster, process window, source publication, or combinations thereof.</w:t>
      </w:r>
    </w:p>
    <w:p>
      <w:r>
        <w:t>The system can require that a candidate model satisfy a held-out chemistry evaluation gate before the model is used for candidate ranking. The gate can include one or more thresholds for error, interval coverage, interval width, or calibration quality.</w:t>
      </w:r>
    </w:p>
    <w:p>
      <w:pPr>
        <w:pStyle w:val="Heading3"/>
      </w:pPr>
      <w:r>
        <w:t>Model Training</w:t>
      </w:r>
    </w:p>
    <w:p>
      <w:r>
        <w:t>The system trains one or more supervised regression models to predict the CO2 capture response. Example models include linear models, random forests, gradient boosted trees, histogram gradient boosting, Gaussian process models, neural networks, graph neural networks, support vector regression, and ensembles thereof.</w:t>
      </w:r>
    </w:p>
    <w:p>
      <w:r>
        <w:t>The system selects a model based on one or more metrics computed on a held-out test set, such as root mean squared error, mean absolute error, coefficient of determination, interval coverage, interval width, or a combined utility metric.</w:t>
      </w:r>
    </w:p>
    <w:p>
      <w:pPr>
        <w:pStyle w:val="Heading3"/>
      </w:pPr>
      <w:r>
        <w:t>Prediction Interval Calibration</w:t>
      </w:r>
    </w:p>
    <w:p>
      <w:r>
        <w:t>The system calibrates prediction intervals using a calibration set. In one embodiment, the system computes absolute residuals between calibration predictions and measured calibration responses, selects a residual quantile based on a desired miscoverage rate, and forms a prediction interval around a candidate prediction.</w:t>
      </w:r>
    </w:p>
    <w:p>
      <w:r>
        <w:t>The calibration set may be split by solvent identity or by ion family. This prevents the interval from being calibrated only on records that are chemically too similar to training records.</w:t>
      </w:r>
    </w:p>
    <w:p>
      <w:pPr>
        <w:pStyle w:val="Heading3"/>
      </w:pPr>
      <w:r>
        <w:t>Applicability-Domain Profile</w:t>
      </w:r>
    </w:p>
    <w:p>
      <w:r>
        <w:t>The system builds a profile of the training domain. For numeric features, the profile can include minimum, maximum, median, interquartile range, quantiles, or distance thresholds. For categorical features, the profile can include the observed cation identifiers, anion identifiers, solvent families, scaffold labels, source labels, process-unit labels, or other categories.</w:t>
      </w:r>
    </w:p>
    <w:p>
      <w:r>
        <w:t>For a candidate record, the system compares candidate features to the training profile. If one or more categorical values are unseen, or if one or more numeric features are outside a training range or margin, the candidate may be classified as edge or out of domain.</w:t>
      </w:r>
    </w:p>
    <w:p>
      <w:pPr>
        <w:pStyle w:val="Heading3"/>
      </w:pPr>
      <w:r>
        <w:t>Candidate Scoring</w:t>
      </w:r>
    </w:p>
    <w:p>
      <w:r>
        <w:t>For a candidate, the system computes:</w:t>
      </w:r>
    </w:p>
    <w:p>
      <w:pPr>
        <w:pStyle w:val="ListBullet"/>
      </w:pPr>
      <w:r>
        <w:t>a predicted response value;</w:t>
      </w:r>
    </w:p>
    <w:p>
      <w:pPr>
        <w:pStyle w:val="ListBullet"/>
      </w:pPr>
      <w:r>
        <w:t>lower and upper prediction interval values;</w:t>
      </w:r>
    </w:p>
    <w:p>
      <w:pPr>
        <w:pStyle w:val="ListBullet"/>
      </w:pPr>
      <w:r>
        <w:t>interval width;</w:t>
      </w:r>
    </w:p>
    <w:p>
      <w:pPr>
        <w:pStyle w:val="ListBullet"/>
      </w:pPr>
      <w:r>
        <w:t>applicability-domain status;</w:t>
      </w:r>
    </w:p>
    <w:p>
      <w:pPr>
        <w:pStyle w:val="ListBullet"/>
      </w:pPr>
      <w:r>
        <w:t>confidence grade;</w:t>
      </w:r>
    </w:p>
    <w:p>
      <w:pPr>
        <w:pStyle w:val="ListBullet"/>
      </w:pPr>
      <w:r>
        <w:t>one or more reason codes;</w:t>
      </w:r>
    </w:p>
    <w:p>
      <w:pPr>
        <w:pStyle w:val="ListBullet"/>
      </w:pPr>
      <w:r>
        <w:t>rank score;</w:t>
      </w:r>
    </w:p>
    <w:p>
      <w:pPr>
        <w:pStyle w:val="ListBullet"/>
      </w:pPr>
      <w:r>
        <w:t>decision label.</w:t>
      </w:r>
    </w:p>
    <w:p>
      <w:r>
        <w:t>In one embodiment, the rank score is the predicted response minus an uncertainty penalty and a domain penalty. The uncertainty penalty may be proportional to interval width. The domain penalty may increase when the candidate is edge of domain or out of domain. In some embodiments, the candidate is suppressed from positive recommendation when out of domain regardless of the point prediction.</w:t>
      </w:r>
    </w:p>
    <w:p>
      <w:pPr>
        <w:pStyle w:val="Heading3"/>
      </w:pPr>
      <w:r>
        <w:t>Decision Labels</w:t>
      </w:r>
    </w:p>
    <w:p>
      <w:r>
        <w:t>The decision label can include:</w:t>
      </w:r>
    </w:p>
    <w:p>
      <w:pPr>
        <w:pStyle w:val="ListBullet"/>
      </w:pPr>
      <w:r>
        <w:t>`test`: candidate is sufficiently supported and is prioritized for experimental testing;</w:t>
      </w:r>
    </w:p>
    <w:p>
      <w:pPr>
        <w:pStyle w:val="ListBullet"/>
      </w:pPr>
      <w:r>
        <w:t>`watch`: candidate may be considered but has lower score or confidence;</w:t>
      </w:r>
    </w:p>
    <w:p>
      <w:pPr>
        <w:pStyle w:val="ListBullet"/>
      </w:pPr>
      <w:r>
        <w:t>`reject`: candidate is not recommended based on predicted performance or rank score;</w:t>
      </w:r>
    </w:p>
    <w:p>
      <w:pPr>
        <w:pStyle w:val="ListBullet"/>
      </w:pPr>
      <w:r>
        <w:t>`needs_data`: candidate requires additional experimental data before recommendation.</w:t>
      </w:r>
    </w:p>
    <w:p>
      <w:r>
        <w:t>The `needs_data` label is an active abstention output. It prevents the system from presenting unsupported high point predictions as recommended solvent candidates.</w:t>
      </w:r>
    </w:p>
    <w:p>
      <w:pPr>
        <w:pStyle w:val="Heading3"/>
      </w:pPr>
      <w:r>
        <w:t>Local/Offline Operation</w:t>
      </w:r>
    </w:p>
    <w:p>
      <w:r>
        <w:t>In one embodiment, the system executes on a local personal computer or workstation without transmitting candidate structures or process data to a cloud service. This can protect confidential chemical structures, plant-specific operating conditions, and unpublished experimental records. The system may run using public data, private laboratory data, or combinations thereof.</w:t>
      </w:r>
    </w:p>
    <w:p>
      <w:pPr>
        <w:pStyle w:val="Heading3"/>
      </w:pPr>
      <w:r>
        <w:t>Optional Experimental Queue</w:t>
      </w:r>
    </w:p>
    <w:p>
      <w:r>
        <w:t>In one embodiment, the system outputs an experimental queue. The queue can identify candidate solvent, temperature, pressure, gas composition, priority, confidence grade, and reason codes. The queue may be exported as a CSV, JSON, laboratory information management system entry, or instrument control instruction. In another embodiment, the system controls or configures a capture test apparatus according to the queue.</w:t>
      </w:r>
    </w:p>
    <w:p>
      <w:pPr>
        <w:pStyle w:val="Heading3"/>
      </w:pPr>
      <w:r>
        <w:t>Example 1: Public-Data Implementation</w:t>
      </w:r>
    </w:p>
    <w:p>
      <w:r>
        <w:t>A public ionic-liquid property dataset is downloaded. CO2 capacity records and cation/anion SMILES structures are prepared into a table containing solvent identity, temperature, pressure, logarithmic pressure, logarithmic CO2 solubility, cation code, anion code, and cation/anion SMILES.</w:t>
      </w:r>
    </w:p>
    <w:p>
      <w:r>
        <w:t>The implementation trains models on 10,865 valid records representing 216 solvent identities. A random row split produces high apparent accuracy, while a solvent-held-out split produces lower accuracy and wider uncertainty. This demonstrates that random row performance is not sufficient for screening new solvent identities.</w:t>
      </w:r>
    </w:p>
    <w:p>
      <w:pPr>
        <w:pStyle w:val="Heading3"/>
      </w:pPr>
      <w:r>
        <w:t>Example 2: Evidence Suite</w:t>
      </w:r>
    </w:p>
    <w:p>
      <w:r>
        <w:t>An evidence suite trains and evaluates multiple configurations: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run</w:t>
            </w:r>
          </w:p>
        </w:tc>
        <w:tc>
          <w:tcPr>
            <w:tcW w:type="dxa" w:w="1080"/>
          </w:tcPr>
          <w:p>
            <w:r>
              <w:t>split</w:t>
            </w:r>
          </w:p>
        </w:tc>
        <w:tc>
          <w:tcPr>
            <w:tcW w:type="dxa" w:w="1080"/>
          </w:tcPr>
          <w:p>
            <w:r>
              <w:t>best model</w:t>
            </w:r>
          </w:p>
        </w:tc>
        <w:tc>
          <w:tcPr>
            <w:tcW w:type="dxa" w:w="1080"/>
          </w:tcPr>
          <w:p>
            <w:r>
              <w:t>R2</w:t>
            </w:r>
          </w:p>
        </w:tc>
        <w:tc>
          <w:tcPr>
            <w:tcW w:type="dxa" w:w="1080"/>
          </w:tcPr>
          <w:p>
            <w:r>
              <w:t>MAE</w:t>
            </w:r>
          </w:p>
        </w:tc>
        <w:tc>
          <w:tcPr>
            <w:tcW w:type="dxa" w:w="1080"/>
          </w:tcPr>
          <w:p>
            <w:r>
              <w:t>RMSE</w:t>
            </w:r>
          </w:p>
        </w:tc>
        <w:tc>
          <w:tcPr>
            <w:tcW w:type="dxa" w:w="1080"/>
          </w:tcPr>
          <w:p>
            <w:r>
              <w:t>coverage</w:t>
            </w:r>
          </w:p>
        </w:tc>
        <w:tc>
          <w:tcPr>
            <w:tcW w:type="dxa" w:w="1080"/>
          </w:tcPr>
          <w:p>
            <w:r>
              <w:t>interval width</w:t>
            </w:r>
          </w:p>
        </w:tc>
      </w:tr>
      <w:tr>
        <w:tc>
          <w:tcPr>
            <w:tcW w:type="dxa" w:w="1080"/>
          </w:tcPr>
          <w:p>
            <w:r>
              <w:t>random row</w:t>
            </w:r>
          </w:p>
        </w:tc>
        <w:tc>
          <w:tcPr>
            <w:tcW w:type="dxa" w:w="1080"/>
          </w:tcPr>
          <w:p>
            <w:r>
              <w:t>random</w:t>
            </w:r>
          </w:p>
        </w:tc>
        <w:tc>
          <w:tcPr>
            <w:tcW w:type="dxa" w:w="1080"/>
          </w:tcPr>
          <w:p>
            <w:r>
              <w:t>random forest</w:t>
            </w:r>
          </w:p>
        </w:tc>
        <w:tc>
          <w:tcPr>
            <w:tcW w:type="dxa" w:w="1080"/>
          </w:tcPr>
          <w:p>
            <w:r>
              <w:t>0.9402</w:t>
            </w:r>
          </w:p>
        </w:tc>
        <w:tc>
          <w:tcPr>
            <w:tcW w:type="dxa" w:w="1080"/>
          </w:tcPr>
          <w:p>
            <w:r>
              <w:t>0.1636</w:t>
            </w:r>
          </w:p>
        </w:tc>
        <w:tc>
          <w:tcPr>
            <w:tcW w:type="dxa" w:w="1080"/>
          </w:tcPr>
          <w:p>
            <w:r>
              <w:t>0.2985</w:t>
            </w:r>
          </w:p>
        </w:tc>
        <w:tc>
          <w:tcPr>
            <w:tcW w:type="dxa" w:w="1080"/>
          </w:tcPr>
          <w:p>
            <w:r>
              <w:t>0.9146</w:t>
            </w:r>
          </w:p>
        </w:tc>
        <w:tc>
          <w:tcPr>
            <w:tcW w:type="dxa" w:w="1080"/>
          </w:tcPr>
          <w:p>
            <w:r>
              <w:t>0.8980</w:t>
            </w:r>
          </w:p>
        </w:tc>
      </w:tr>
      <w:tr>
        <w:tc>
          <w:tcPr>
            <w:tcW w:type="dxa" w:w="1080"/>
          </w:tcPr>
          <w:p>
            <w:r>
              <w:t>solvent holdout</w:t>
            </w:r>
          </w:p>
        </w:tc>
        <w:tc>
          <w:tcPr>
            <w:tcW w:type="dxa" w:w="1080"/>
          </w:tcPr>
          <w:p>
            <w:r>
              <w:t>solvent identity</w:t>
            </w:r>
          </w:p>
        </w:tc>
        <w:tc>
          <w:tcPr>
            <w:tcW w:type="dxa" w:w="1080"/>
          </w:tcPr>
          <w:p>
            <w:r>
              <w:t>XGBoost</w:t>
            </w:r>
          </w:p>
        </w:tc>
        <w:tc>
          <w:tcPr>
            <w:tcW w:type="dxa" w:w="1080"/>
          </w:tcPr>
          <w:p>
            <w:r>
              <w:t>0.3226</w:t>
            </w:r>
          </w:p>
        </w:tc>
        <w:tc>
          <w:tcPr>
            <w:tcW w:type="dxa" w:w="1080"/>
          </w:tcPr>
          <w:p>
            <w:r>
              <w:t>0.4465</w:t>
            </w:r>
          </w:p>
        </w:tc>
        <w:tc>
          <w:tcPr>
            <w:tcW w:type="dxa" w:w="1080"/>
          </w:tcPr>
          <w:p>
            <w:r>
              <w:t>0.8874</w:t>
            </w:r>
          </w:p>
        </w:tc>
        <w:tc>
          <w:tcPr>
            <w:tcW w:type="dxa" w:w="1080"/>
          </w:tcPr>
          <w:p>
            <w:r>
              <w:t>0.8596</w:t>
            </w:r>
          </w:p>
        </w:tc>
        <w:tc>
          <w:tcPr>
            <w:tcW w:type="dxa" w:w="1080"/>
          </w:tcPr>
          <w:p>
            <w:r>
              <w:t>1.4720</w:t>
            </w:r>
          </w:p>
        </w:tc>
      </w:tr>
      <w:tr>
        <w:tc>
          <w:tcPr>
            <w:tcW w:type="dxa" w:w="1080"/>
          </w:tcPr>
          <w:p>
            <w:r>
              <w:t>structure-only solvent holdout</w:t>
            </w:r>
          </w:p>
        </w:tc>
        <w:tc>
          <w:tcPr>
            <w:tcW w:type="dxa" w:w="1080"/>
          </w:tcPr>
          <w:p>
            <w:r>
              <w:t>solvent identity, no ion codes</w:t>
            </w:r>
          </w:p>
        </w:tc>
        <w:tc>
          <w:tcPr>
            <w:tcW w:type="dxa" w:w="1080"/>
          </w:tcPr>
          <w:p>
            <w:r>
              <w:t>XGBoost</w:t>
            </w:r>
          </w:p>
        </w:tc>
        <w:tc>
          <w:tcPr>
            <w:tcW w:type="dxa" w:w="1080"/>
          </w:tcPr>
          <w:p>
            <w:r>
              <w:t>0.2529</w:t>
            </w:r>
          </w:p>
        </w:tc>
        <w:tc>
          <w:tcPr>
            <w:tcW w:type="dxa" w:w="1080"/>
          </w:tcPr>
          <w:p>
            <w:r>
              <w:t>0.5214</w:t>
            </w:r>
          </w:p>
        </w:tc>
        <w:tc>
          <w:tcPr>
            <w:tcW w:type="dxa" w:w="1080"/>
          </w:tcPr>
          <w:p>
            <w:r>
              <w:t>0.9319</w:t>
            </w:r>
          </w:p>
        </w:tc>
        <w:tc>
          <w:tcPr>
            <w:tcW w:type="dxa" w:w="1080"/>
          </w:tcPr>
          <w:p>
            <w:r>
              <w:t>0.8910</w:t>
            </w:r>
          </w:p>
        </w:tc>
        <w:tc>
          <w:tcPr>
            <w:tcW w:type="dxa" w:w="1080"/>
          </w:tcPr>
          <w:p>
            <w:r>
              <w:t>1.8151</w:t>
            </w:r>
          </w:p>
        </w:tc>
      </w:tr>
      <w:tr>
        <w:tc>
          <w:tcPr>
            <w:tcW w:type="dxa" w:w="1080"/>
          </w:tcPr>
          <w:p>
            <w:r>
              <w:t>cation holdout</w:t>
            </w:r>
          </w:p>
        </w:tc>
        <w:tc>
          <w:tcPr>
            <w:tcW w:type="dxa" w:w="1080"/>
          </w:tcPr>
          <w:p>
            <w:r>
              <w:t>cation family</w:t>
            </w:r>
          </w:p>
        </w:tc>
        <w:tc>
          <w:tcPr>
            <w:tcW w:type="dxa" w:w="1080"/>
          </w:tcPr>
          <w:p>
            <w:r>
              <w:t>hist gradient boosting</w:t>
            </w:r>
          </w:p>
        </w:tc>
        <w:tc>
          <w:tcPr>
            <w:tcW w:type="dxa" w:w="1080"/>
          </w:tcPr>
          <w:p>
            <w:r>
              <w:t>0.5241</w:t>
            </w:r>
          </w:p>
        </w:tc>
        <w:tc>
          <w:tcPr>
            <w:tcW w:type="dxa" w:w="1080"/>
          </w:tcPr>
          <w:p>
            <w:r>
              <w:t>0.4211</w:t>
            </w:r>
          </w:p>
        </w:tc>
        <w:tc>
          <w:tcPr>
            <w:tcW w:type="dxa" w:w="1080"/>
          </w:tcPr>
          <w:p>
            <w:r>
              <w:t>0.8754</w:t>
            </w:r>
          </w:p>
        </w:tc>
        <w:tc>
          <w:tcPr>
            <w:tcW w:type="dxa" w:w="1080"/>
          </w:tcPr>
          <w:p>
            <w:r>
              <w:t>0.9342</w:t>
            </w:r>
          </w:p>
        </w:tc>
        <w:tc>
          <w:tcPr>
            <w:tcW w:type="dxa" w:w="1080"/>
          </w:tcPr>
          <w:p>
            <w:r>
              <w:t>2.9450</w:t>
            </w:r>
          </w:p>
        </w:tc>
      </w:tr>
      <w:tr>
        <w:tc>
          <w:tcPr>
            <w:tcW w:type="dxa" w:w="1080"/>
          </w:tcPr>
          <w:p>
            <w:r>
              <w:t>anion holdout</w:t>
            </w:r>
          </w:p>
        </w:tc>
        <w:tc>
          <w:tcPr>
            <w:tcW w:type="dxa" w:w="1080"/>
          </w:tcPr>
          <w:p>
            <w:r>
              <w:t>anion family</w:t>
            </w:r>
          </w:p>
        </w:tc>
        <w:tc>
          <w:tcPr>
            <w:tcW w:type="dxa" w:w="1080"/>
          </w:tcPr>
          <w:p>
            <w:r>
              <w:t>XGBoost</w:t>
            </w:r>
          </w:p>
        </w:tc>
        <w:tc>
          <w:tcPr>
            <w:tcW w:type="dxa" w:w="1080"/>
          </w:tcPr>
          <w:p>
            <w:r>
              <w:t>0.7901</w:t>
            </w:r>
          </w:p>
        </w:tc>
        <w:tc>
          <w:tcPr>
            <w:tcW w:type="dxa" w:w="1080"/>
          </w:tcPr>
          <w:p>
            <w:r>
              <w:t>0.3633</w:t>
            </w:r>
          </w:p>
        </w:tc>
        <w:tc>
          <w:tcPr>
            <w:tcW w:type="dxa" w:w="1080"/>
          </w:tcPr>
          <w:p>
            <w:r>
              <w:t>0.5953</w:t>
            </w:r>
          </w:p>
        </w:tc>
        <w:tc>
          <w:tcPr>
            <w:tcW w:type="dxa" w:w="1080"/>
          </w:tcPr>
          <w:p>
            <w:r>
              <w:t>0.9452</w:t>
            </w:r>
          </w:p>
        </w:tc>
        <w:tc>
          <w:tcPr>
            <w:tcW w:type="dxa" w:w="1080"/>
          </w:tcPr>
          <w:p>
            <w:r>
              <w:t>2.3826</w:t>
            </w:r>
          </w:p>
        </w:tc>
      </w:tr>
    </w:tbl>
    <w:p>
      <w:pPr>
        <w:pStyle w:val="Heading3"/>
      </w:pPr>
      <w:r>
        <w:t>Example 3: Candidate Decisions</w:t>
      </w:r>
    </w:p>
    <w:p>
      <w:r>
        <w:t>Four candidates are screened by the solvent-held-out full model. An in-domain candidate is labeled `test`. An unseen cation candidate is labeled `needs_data`. A candidate with high pressure, high temperature, unseen cation, and unseen anion is labeled `needs_data`. A low-performing in-domain candidate is labeled `reject`.</w:t>
      </w:r>
    </w:p>
    <w:p>
      <w:pPr>
        <w:pStyle w:val="Heading3"/>
      </w:pPr>
      <w:r>
        <w:t>Industrial Applicability</w:t>
      </w:r>
    </w:p>
    <w:p>
      <w:r>
        <w:t>The disclosed system can be used in carbon capture research, solvent development, industrial gas treatment, petroleum and gas processing, direct air capture, flue gas capture, syngas treatment, laboratory screening, and process-development services. The method can reduce unsupported experimental recommendations and can route uncertain candidates to data generation before deployment.</w:t>
      </w:r>
    </w:p>
    <w:p>
      <w:pPr>
        <w:pStyle w:val="Heading2"/>
      </w:pPr>
      <w:r>
        <w:t>Abstract</w:t>
      </w:r>
    </w:p>
    <w:p>
      <w:r>
        <w:t>A computer-implemented solvent screening system receives experimental CO2 capture records and candidate solvent records, trains a regression model using chemically held-out validation, calibrates prediction intervals, builds an applicability-domain profile, and scores candidate solvents using predicted performance, interval width, domain status, and operating constraints. For each candidate, the system outputs a prediction interval, confidence grade, domain status, reason codes, rank score, and decision label. Out-of-domain candidates can be withheld from positive recommendation and labeled as requiring additional data. The system can run locally and can generate an experimental queue for testing CO2 capture solvents.</w:t>
      </w:r>
    </w:p>
    <w:p>
      <w:r>
        <w:br w:type="page"/>
      </w:r>
    </w:p>
    <w:p>
      <w:pPr>
        <w:pStyle w:val="Heading1"/>
      </w:pPr>
      <w:r>
        <w:t>Claims Draft</w:t>
      </w:r>
    </w:p>
    <w:p>
      <w:r>
        <w:t>Status: attorney-review draft, not legal advice. Claims should be revised by patent counsel before filing.</w:t>
      </w:r>
    </w:p>
    <w:p>
      <w:pPr>
        <w:pStyle w:val="Heading2"/>
      </w:pPr>
      <w:r>
        <w:t>Method Claims</w:t>
      </w:r>
    </w:p>
    <w:p>
      <w:pPr>
        <w:pStyle w:val="ListNumber"/>
      </w:pPr>
      <w:r>
        <w:t>A computer-implemented method for screening candidate solvents for carbon dioxide capture, the method comprising:</w:t>
      </w:r>
    </w:p>
    <w:p>
      <w:r>
        <w:t>receiving, by one or more processors, training records comprising solvent identity information, molecular representation information, operating condition information, and measured carbon dioxide capture response values;</w:t>
      </w:r>
    </w:p>
    <w:p>
      <w:r>
        <w:t>partitioning the training records into at least a training subset and a held-out subset according to a chemical grouping selected from solvent identity, cation identity, anion identity, solvent family, molecular scaffold, or combinations thereof;</w:t>
      </w:r>
    </w:p>
    <w:p>
      <w:r>
        <w:t>training, using the training subset, one or more regression models to predict a carbon dioxide capture response from the molecular representation information and the operating condition information;</w:t>
      </w:r>
    </w:p>
    <w:p>
      <w:r>
        <w:t>calibrating a prediction interval using residuals computed from predictions for calibration records having chemical groupings held out from the training subset;</w:t>
      </w:r>
    </w:p>
    <w:p>
      <w:r>
        <w:t>generating an applicability-domain profile from the training subset, the applicability-domain profile comprising numeric training ranges and observed categorical chemistry values;</w:t>
      </w:r>
    </w:p>
    <w:p>
      <w:r>
        <w:t>receiving a candidate solvent record comprising candidate molecular representation information and candidate operating condition information;</w:t>
      </w:r>
    </w:p>
    <w:p>
      <w:r>
        <w:t>predicting, using a selected regression model, a candidate carbon dioxide capture response for the candidate solvent record;</w:t>
      </w:r>
    </w:p>
    <w:p>
      <w:r>
        <w:t>determining a candidate prediction interval from the calibrated prediction interval;</w:t>
      </w:r>
    </w:p>
    <w:p>
      <w:r>
        <w:t>determining an applicability-domain status for the candidate solvent record by comparing the candidate solvent record with the applicability-domain profile;</w:t>
      </w:r>
    </w:p>
    <w:p>
      <w:r>
        <w:t>computing a candidate rank score from at least the candidate carbon dioxide capture response, a width of the candidate prediction interval, and the applicability-domain status; and</w:t>
      </w:r>
    </w:p>
    <w:p>
      <w:r>
        <w:t>outputting a decision label for the candidate solvent record, wherein the decision label withholds a positive testing recommendation when the applicability-domain status is out of domain.</w:t>
      </w:r>
    </w:p>
    <w:p>
      <w:pPr>
        <w:pStyle w:val="ListNumber"/>
      </w:pPr>
      <w:r>
        <w:t>The method of claim 1, wherein the solvent identity information comprises a cation identifier and an anion identifier for an ionic liquid.</w:t>
      </w:r>
    </w:p>
    <w:p>
      <w:pPr>
        <w:pStyle w:val="ListNumber"/>
      </w:pPr>
      <w:r>
        <w:t>The method of claim 1, wherein the molecular representation information comprises one or more SMILES strings.</w:t>
      </w:r>
    </w:p>
    <w:p>
      <w:pPr>
        <w:pStyle w:val="ListNumber"/>
      </w:pPr>
      <w:r>
        <w:t>The method of claim 3, further comprising deriving descriptor values from the one or more SMILES strings.</w:t>
      </w:r>
    </w:p>
    <w:p>
      <w:pPr>
        <w:pStyle w:val="ListNumber"/>
      </w:pPr>
      <w:r>
        <w:t>The method of claim 4, wherein the descriptor values comprise at least one of atom-token counts, heteroatom counts, charge counts, ring counts, branch counts, bond counts, aromatic atom counts, molecular fingerprints, group-contribution descriptors, sigma-profile descriptors, quantum chemical descriptors, graph embeddings, or learned molecular embeddings.</w:t>
      </w:r>
    </w:p>
    <w:p>
      <w:pPr>
        <w:pStyle w:val="ListNumber"/>
      </w:pPr>
      <w:r>
        <w:t>The method of claim 1, wherein the operating condition information comprises temperature and pressure.</w:t>
      </w:r>
    </w:p>
    <w:p>
      <w:pPr>
        <w:pStyle w:val="ListNumber"/>
      </w:pPr>
      <w:r>
        <w:t>The method of claim 1, wherein the measured carbon dioxide capture response values comprise carbon dioxide solubility, carbon dioxide loading, carbon dioxide capacity, carbon dioxide selectivity, absorption rate, Henry-law constant, a viscosity-adjusted capture metric, or a logarithmic transform thereof.</w:t>
      </w:r>
    </w:p>
    <w:p>
      <w:pPr>
        <w:pStyle w:val="ListNumber"/>
      </w:pPr>
      <w:r>
        <w:t>The method of claim 1, wherein calibrating the prediction interval comprises computing absolute residuals on the calibration records and selecting a residual quantile corresponding to a desired miscoverage rate.</w:t>
      </w:r>
    </w:p>
    <w:p>
      <w:pPr>
        <w:pStyle w:val="ListNumber"/>
      </w:pPr>
      <w:r>
        <w:t>The method of claim 1, wherein the applicability-domain status is selected from in domain, edge of domain, and out of domain.</w:t>
      </w:r>
    </w:p>
    <w:p>
      <w:pPr>
        <w:pStyle w:val="ListNumber"/>
      </w:pPr>
      <w:r>
        <w:t>The method of claim 1, wherein determining the applicability-domain status comprises identifying an unseen cation identifier, an unseen anion identifier, or an operating condition outside a numeric training range.</w:t>
      </w:r>
    </w:p>
    <w:p>
      <w:pPr>
        <w:pStyle w:val="ListNumber"/>
      </w:pPr>
      <w:r>
        <w:t>The method of claim 1, wherein computing the candidate rank score comprises subtracting an uncertainty penalty based on the width of the candidate prediction interval.</w:t>
      </w:r>
    </w:p>
    <w:p>
      <w:pPr>
        <w:pStyle w:val="ListNumber"/>
      </w:pPr>
      <w:r>
        <w:t>The method of claim 1, wherein computing the candidate rank score comprises subtracting a domain penalty when the applicability-domain status is edge of domain or out of domain.</w:t>
      </w:r>
    </w:p>
    <w:p>
      <w:pPr>
        <w:pStyle w:val="ListNumber"/>
      </w:pPr>
      <w:r>
        <w:t>The method of claim 1, wherein the decision label is selected from test, watch, reject, and needs data.</w:t>
      </w:r>
    </w:p>
    <w:p>
      <w:pPr>
        <w:pStyle w:val="ListNumber"/>
      </w:pPr>
      <w:r>
        <w:t>The method of claim 13, wherein the needs data decision label is assigned when the candidate solvent record includes an unseen chemistry value or an operating condition outside a training range.</w:t>
      </w:r>
    </w:p>
    <w:p>
      <w:pPr>
        <w:pStyle w:val="ListNumber"/>
      </w:pPr>
      <w:r>
        <w:t>The method of claim 1, further comprising outputting reason codes identifying one or more causes of the decision label.</w:t>
      </w:r>
    </w:p>
    <w:p>
      <w:pPr>
        <w:pStyle w:val="ListNumber"/>
      </w:pPr>
      <w:r>
        <w:t>The method of claim 15, wherein the reason codes identify at least one of unseen cation, unseen anion, temperature outside training range, pressure outside training range, descriptor outside training range, interval width exceeding a threshold, or candidate within training domain.</w:t>
      </w:r>
    </w:p>
    <w:p>
      <w:pPr>
        <w:pStyle w:val="ListNumber"/>
      </w:pPr>
      <w:r>
        <w:t>The method of claim 1, further comprising generating an experimental test queue comprising a candidate solvent identifier, operating condition values, the candidate prediction interval, the applicability-domain status, the candidate rank score, and the decision label.</w:t>
      </w:r>
    </w:p>
    <w:p>
      <w:pPr>
        <w:pStyle w:val="ListNumber"/>
      </w:pPr>
      <w:r>
        <w:t>The method of claim 17, further comprising transmitting the experimental test queue to a laboratory information management system or a capture test apparatus.</w:t>
      </w:r>
    </w:p>
    <w:p>
      <w:pPr>
        <w:pStyle w:val="ListNumber"/>
      </w:pPr>
      <w:r>
        <w:t>The method of claim 1, wherein the one or more processors are included in a local computer that executes the method without transmitting the candidate molecular representation information to a cloud service.</w:t>
      </w:r>
    </w:p>
    <w:p>
      <w:pPr>
        <w:pStyle w:val="ListNumber"/>
      </w:pPr>
      <w:r>
        <w:t>The method of claim 1, wherein the candidate solvent comprises an ionic liquid, deep eutectic solvent, amine-containing solvent, solvent blend, or physical solvent.</w:t>
      </w:r>
    </w:p>
    <w:p>
      <w:pPr>
        <w:pStyle w:val="Heading2"/>
      </w:pPr>
      <w:r>
        <w:t>System Claims</w:t>
      </w:r>
    </w:p>
    <w:p>
      <w:pPr>
        <w:pStyle w:val="ListNumber"/>
      </w:pPr>
      <w:r>
        <w:t>A system for screening carbon dioxide capture solvents, comprising:</w:t>
      </w:r>
    </w:p>
    <w:p>
      <w:r>
        <w:t>one or more processors; and</w:t>
      </w:r>
    </w:p>
    <w:p>
      <w:r>
        <w:t>one or more non-transitory computer-readable storage media storing instructions that, when executed by the one or more processors, cause the system to perform the method of any of claims 1 to 20.</w:t>
      </w:r>
    </w:p>
    <w:p>
      <w:pPr>
        <w:pStyle w:val="ListNumber"/>
      </w:pPr>
      <w:r>
        <w:t>The system of claim 21, further comprising a local data store containing public experimental solvent records and private experimental solvent records.</w:t>
      </w:r>
    </w:p>
    <w:p>
      <w:pPr>
        <w:pStyle w:val="ListNumber"/>
      </w:pPr>
      <w:r>
        <w:t>The system of claim 21, wherein the system is configured to display, for each candidate solvent record, a prediction interval, confidence grade, domain status, rank score, decision label, and reason code.</w:t>
      </w:r>
    </w:p>
    <w:p>
      <w:pPr>
        <w:pStyle w:val="Heading2"/>
      </w:pPr>
      <w:r>
        <w:t>Computer-Readable Medium Claims</w:t>
      </w:r>
    </w:p>
    <w:p>
      <w:pPr>
        <w:pStyle w:val="ListNumber"/>
      </w:pPr>
      <w:r>
        <w:t>One or more non-transitory computer-readable media storing instructions that, when executed by one or more processors, cause the one or more processors to perform the method of any of claims 1 to 20.</w:t>
      </w:r>
    </w:p>
    <w:p>
      <w:pPr>
        <w:pStyle w:val="Heading2"/>
      </w:pPr>
      <w:r>
        <w:t>Experimental Queue Claims</w:t>
      </w:r>
    </w:p>
    <w:p>
      <w:pPr>
        <w:pStyle w:val="ListNumber"/>
      </w:pPr>
      <w:r>
        <w:t>A computer-implemented method for generating experimental tests for carbon dioxide capture solvent candidates, comprising:</w:t>
      </w:r>
    </w:p>
    <w:p>
      <w:r>
        <w:t>receiving ranked candidate solvent records generated by the method of claim 1;</w:t>
      </w:r>
    </w:p>
    <w:p>
      <w:r>
        <w:t>excluding from a positive testing queue any candidate solvent record assigned an out-of-domain status;</w:t>
      </w:r>
    </w:p>
    <w:p>
      <w:r>
        <w:t>assigning an experimental priority to each remaining candidate solvent record based on the candidate rank score and the candidate prediction interval; and</w:t>
      </w:r>
    </w:p>
    <w:p>
      <w:r>
        <w:t>generating a test protocol specifying solvent identity, temperature, pressure, and priority for at least one candidate solvent.</w:t>
      </w:r>
    </w:p>
    <w:p>
      <w:pPr>
        <w:pStyle w:val="Heading2"/>
      </w:pPr>
      <w:r>
        <w:t>Claim Notes For Counsel</w:t>
      </w:r>
    </w:p>
    <w:p>
      <w:pPr>
        <w:pStyle w:val="ListBullet"/>
      </w:pPr>
      <w:r>
        <w:t>Claim 1 is intentionally process-focused and tied to chemical screening.</w:t>
      </w:r>
    </w:p>
    <w:p>
      <w:pPr>
        <w:pStyle w:val="ListBullet"/>
      </w:pPr>
      <w:r>
        <w:t>Consider whether claim 18 should stay in the first filing. It adds practical-application weight but should be supported by examples.</w:t>
      </w:r>
    </w:p>
    <w:p>
      <w:pPr>
        <w:pStyle w:val="ListBullet"/>
      </w:pPr>
      <w:r>
        <w:t>Consider a narrower independent claim focused on ionic liquids and cation/anion OOD gating.</w:t>
      </w:r>
    </w:p>
    <w:p>
      <w:pPr>
        <w:pStyle w:val="ListBullet"/>
      </w:pPr>
      <w:r>
        <w:t>Consider a separate independent claim focused on local/offline confidentiality if commercial value supports it.</w:t>
      </w:r>
    </w:p>
    <w:p>
      <w:pPr>
        <w:pStyle w:val="ListBullet"/>
      </w:pPr>
      <w:r>
        <w:t>Do not claim conformal prediction, ML, descriptors, or CO2 solubility prediction broadly.</w:t>
      </w:r>
    </w:p>
    <w:p>
      <w:r>
        <w:br w:type="page"/>
      </w:r>
    </w:p>
    <w:p>
      <w:pPr>
        <w:pStyle w:val="Heading1"/>
      </w:pPr>
      <w:r>
        <w:t>Drawing Packet</w:t>
      </w:r>
    </w:p>
    <w:p>
      <w:r>
        <w:t>Status: attorney-review draft, not formal patent drawings.</w:t>
      </w:r>
    </w:p>
    <w:p>
      <w:pPr>
        <w:pStyle w:val="Heading2"/>
      </w:pPr>
      <w:r>
        <w:t>Figure List</w:t>
      </w:r>
    </w:p>
    <w:p>
      <w:pPr>
        <w:pStyle w:val="Heading3"/>
      </w:pPr>
      <w:r>
        <w:t>FIG. 1 - Confidence-Gated Screening Workflow</w:t>
      </w:r>
    </w:p>
    <w:p>
      <w:r>
        <w:t>Shows public/private experimental records entering a local screening engine. The engine performs feature generation, leakage-aware split, model training, calibration, domain profiling, candidate scoring, and decision output.</w:t>
      </w:r>
    </w:p>
    <w:p>
      <w:r>
        <w:t>Suggested labels:</w:t>
      </w:r>
    </w:p>
    <w:p>
      <w:pPr>
        <w:pStyle w:val="ListBullet"/>
      </w:pPr>
      <w:r>
        <w:t>100: screening system</w:t>
      </w:r>
    </w:p>
    <w:p>
      <w:pPr>
        <w:pStyle w:val="ListBullet"/>
      </w:pPr>
      <w:r>
        <w:t>102: training records</w:t>
      </w:r>
    </w:p>
    <w:p>
      <w:pPr>
        <w:pStyle w:val="ListBullet"/>
      </w:pPr>
      <w:r>
        <w:t>104: candidate records</w:t>
      </w:r>
    </w:p>
    <w:p>
      <w:pPr>
        <w:pStyle w:val="ListBullet"/>
      </w:pPr>
      <w:r>
        <w:t>106: feature generator</w:t>
      </w:r>
    </w:p>
    <w:p>
      <w:pPr>
        <w:pStyle w:val="ListBullet"/>
      </w:pPr>
      <w:r>
        <w:t>108: chemically held-out splitter</w:t>
      </w:r>
    </w:p>
    <w:p>
      <w:pPr>
        <w:pStyle w:val="ListBullet"/>
      </w:pPr>
      <w:r>
        <w:t>110: model trainer</w:t>
      </w:r>
    </w:p>
    <w:p>
      <w:pPr>
        <w:pStyle w:val="ListBullet"/>
      </w:pPr>
      <w:r>
        <w:t>112: interval calibrator</w:t>
      </w:r>
    </w:p>
    <w:p>
      <w:pPr>
        <w:pStyle w:val="ListBullet"/>
      </w:pPr>
      <w:r>
        <w:t>114: domain profiler</w:t>
      </w:r>
    </w:p>
    <w:p>
      <w:pPr>
        <w:pStyle w:val="ListBullet"/>
      </w:pPr>
      <w:r>
        <w:t>116: candidate scorer</w:t>
      </w:r>
    </w:p>
    <w:p>
      <w:pPr>
        <w:pStyle w:val="ListBullet"/>
      </w:pPr>
      <w:r>
        <w:t>118: decision output</w:t>
      </w:r>
    </w:p>
    <w:p>
      <w:pPr>
        <w:pStyle w:val="Heading3"/>
      </w:pPr>
      <w:r>
        <w:t>FIG. 2 - Chemically Held-Out Training and Calibration</w:t>
      </w:r>
    </w:p>
    <w:p>
      <w:r>
        <w:t>Shows training records grouped by solvent identity, cation identity, anion identity, or family. The figure should show that training, calibration, and test subsets do not share selected chemical group identifiers.</w:t>
      </w:r>
    </w:p>
    <w:p>
      <w:r>
        <w:t>Suggested labels:</w:t>
      </w:r>
    </w:p>
    <w:p>
      <w:pPr>
        <w:pStyle w:val="ListBullet"/>
      </w:pPr>
      <w:r>
        <w:t>200: grouped experimental records</w:t>
      </w:r>
    </w:p>
    <w:p>
      <w:pPr>
        <w:pStyle w:val="ListBullet"/>
      </w:pPr>
      <w:r>
        <w:t>202: training subset</w:t>
      </w:r>
    </w:p>
    <w:p>
      <w:pPr>
        <w:pStyle w:val="ListBullet"/>
      </w:pPr>
      <w:r>
        <w:t>204: calibration subset</w:t>
      </w:r>
    </w:p>
    <w:p>
      <w:pPr>
        <w:pStyle w:val="ListBullet"/>
      </w:pPr>
      <w:r>
        <w:t>206: held-out test subset</w:t>
      </w:r>
    </w:p>
    <w:p>
      <w:pPr>
        <w:pStyle w:val="ListBullet"/>
      </w:pPr>
      <w:r>
        <w:t>208: selected model</w:t>
      </w:r>
    </w:p>
    <w:p>
      <w:pPr>
        <w:pStyle w:val="ListBullet"/>
      </w:pPr>
      <w:r>
        <w:t>210: residual distribution</w:t>
      </w:r>
    </w:p>
    <w:p>
      <w:pPr>
        <w:pStyle w:val="ListBullet"/>
      </w:pPr>
      <w:r>
        <w:t>212: calibrated interval parameter</w:t>
      </w:r>
    </w:p>
    <w:p>
      <w:pPr>
        <w:pStyle w:val="Heading3"/>
      </w:pPr>
      <w:r>
        <w:t>FIG. 3 - Applicability-Domain Assessment</w:t>
      </w:r>
    </w:p>
    <w:p>
      <w:r>
        <w:t>Shows a candidate being compared to numeric training ranges and categorical chemistry values.</w:t>
      </w:r>
    </w:p>
    <w:p>
      <w:r>
        <w:t>Suggested labels:</w:t>
      </w:r>
    </w:p>
    <w:p>
      <w:pPr>
        <w:pStyle w:val="ListBullet"/>
      </w:pPr>
      <w:r>
        <w:t>300: candidate solvent record</w:t>
      </w:r>
    </w:p>
    <w:p>
      <w:pPr>
        <w:pStyle w:val="ListBullet"/>
      </w:pPr>
      <w:r>
        <w:t>302: numeric domain profile</w:t>
      </w:r>
    </w:p>
    <w:p>
      <w:pPr>
        <w:pStyle w:val="ListBullet"/>
      </w:pPr>
      <w:r>
        <w:t>304: categorical domain profile</w:t>
      </w:r>
    </w:p>
    <w:p>
      <w:pPr>
        <w:pStyle w:val="ListBullet"/>
      </w:pPr>
      <w:r>
        <w:t>306: unseen chemistry detector</w:t>
      </w:r>
    </w:p>
    <w:p>
      <w:pPr>
        <w:pStyle w:val="ListBullet"/>
      </w:pPr>
      <w:r>
        <w:t>308: operating-window detector</w:t>
      </w:r>
    </w:p>
    <w:p>
      <w:pPr>
        <w:pStyle w:val="ListBullet"/>
      </w:pPr>
      <w:r>
        <w:t>310: domain status</w:t>
      </w:r>
    </w:p>
    <w:p>
      <w:pPr>
        <w:pStyle w:val="ListBullet"/>
      </w:pPr>
      <w:r>
        <w:t>312: reason codes</w:t>
      </w:r>
    </w:p>
    <w:p>
      <w:pPr>
        <w:pStyle w:val="Heading3"/>
      </w:pPr>
      <w:r>
        <w:t>FIG. 4 - Candidate Scoring and Decision Logic</w:t>
      </w:r>
    </w:p>
    <w:p>
      <w:r>
        <w:t>Shows predicted value, interval width, domain penalty, uncertainty penalty, rank score, and final decision label.</w:t>
      </w:r>
    </w:p>
    <w:p>
      <w:r>
        <w:t>Suggested labels:</w:t>
      </w:r>
    </w:p>
    <w:p>
      <w:pPr>
        <w:pStyle w:val="ListBullet"/>
      </w:pPr>
      <w:r>
        <w:t>400: predicted CO2 capture response</w:t>
      </w:r>
    </w:p>
    <w:p>
      <w:pPr>
        <w:pStyle w:val="ListBullet"/>
      </w:pPr>
      <w:r>
        <w:t>402: prediction interval</w:t>
      </w:r>
    </w:p>
    <w:p>
      <w:pPr>
        <w:pStyle w:val="ListBullet"/>
      </w:pPr>
      <w:r>
        <w:t>404: interval width</w:t>
      </w:r>
    </w:p>
    <w:p>
      <w:pPr>
        <w:pStyle w:val="ListBullet"/>
      </w:pPr>
      <w:r>
        <w:t>406: uncertainty penalty</w:t>
      </w:r>
    </w:p>
    <w:p>
      <w:pPr>
        <w:pStyle w:val="ListBullet"/>
      </w:pPr>
      <w:r>
        <w:t>408: domain penalty</w:t>
      </w:r>
    </w:p>
    <w:p>
      <w:pPr>
        <w:pStyle w:val="ListBullet"/>
      </w:pPr>
      <w:r>
        <w:t>410: rank score</w:t>
      </w:r>
    </w:p>
    <w:p>
      <w:pPr>
        <w:pStyle w:val="ListBullet"/>
      </w:pPr>
      <w:r>
        <w:t>412: confidence grade</w:t>
      </w:r>
    </w:p>
    <w:p>
      <w:pPr>
        <w:pStyle w:val="ListBullet"/>
      </w:pPr>
      <w:r>
        <w:t>414: decision label</w:t>
      </w:r>
    </w:p>
    <w:p>
      <w:pPr>
        <w:pStyle w:val="Heading3"/>
      </w:pPr>
      <w:r>
        <w:t>FIG. 5 - Local Computer Implementation</w:t>
      </w:r>
    </w:p>
    <w:p>
      <w:r>
        <w:t>Shows local PC/workstation resources, storage, processor, memory, GPU/CPU, model files, dataset files, candidate files, and output files. The figure should emphasize that candidate structures and process data need not be transmitted to a cloud service.</w:t>
      </w:r>
    </w:p>
    <w:p>
      <w:r>
        <w:t>Suggested labels:</w:t>
      </w:r>
    </w:p>
    <w:p>
      <w:pPr>
        <w:pStyle w:val="ListBullet"/>
      </w:pPr>
      <w:r>
        <w:t>500: local computer</w:t>
      </w:r>
    </w:p>
    <w:p>
      <w:pPr>
        <w:pStyle w:val="ListBullet"/>
      </w:pPr>
      <w:r>
        <w:t>502: processor</w:t>
      </w:r>
    </w:p>
    <w:p>
      <w:pPr>
        <w:pStyle w:val="ListBullet"/>
      </w:pPr>
      <w:r>
        <w:t>504: memory</w:t>
      </w:r>
    </w:p>
    <w:p>
      <w:pPr>
        <w:pStyle w:val="ListBullet"/>
      </w:pPr>
      <w:r>
        <w:t>506: local storage</w:t>
      </w:r>
    </w:p>
    <w:p>
      <w:pPr>
        <w:pStyle w:val="ListBullet"/>
      </w:pPr>
      <w:r>
        <w:t>508: optional GPU</w:t>
      </w:r>
    </w:p>
    <w:p>
      <w:pPr>
        <w:pStyle w:val="ListBullet"/>
      </w:pPr>
      <w:r>
        <w:t>510: model bundle</w:t>
      </w:r>
    </w:p>
    <w:p>
      <w:pPr>
        <w:pStyle w:val="ListBullet"/>
      </w:pPr>
      <w:r>
        <w:t>512: data files</w:t>
      </w:r>
    </w:p>
    <w:p>
      <w:pPr>
        <w:pStyle w:val="ListBullet"/>
      </w:pPr>
      <w:r>
        <w:t>514: candidate ranking file</w:t>
      </w:r>
    </w:p>
    <w:p>
      <w:pPr>
        <w:pStyle w:val="ListBullet"/>
      </w:pPr>
      <w:r>
        <w:t>516: audit log</w:t>
      </w:r>
    </w:p>
    <w:p>
      <w:pPr>
        <w:pStyle w:val="Heading3"/>
      </w:pPr>
      <w:r>
        <w:t>FIG. 6 - Experimental Queue Output</w:t>
      </w:r>
    </w:p>
    <w:p>
      <w:r>
        <w:t>Shows `test`, `watch`, `reject`, and `needs_data` outputs. Candidates with `needs_data` are routed to data generation rather than positive recommendation.</w:t>
      </w:r>
    </w:p>
    <w:p>
      <w:r>
        <w:t>Suggested labels:</w:t>
      </w:r>
    </w:p>
    <w:p>
      <w:pPr>
        <w:pStyle w:val="ListBullet"/>
      </w:pPr>
      <w:r>
        <w:t>600: candidate decision table</w:t>
      </w:r>
    </w:p>
    <w:p>
      <w:pPr>
        <w:pStyle w:val="ListBullet"/>
      </w:pPr>
      <w:r>
        <w:t>602: positive testing queue</w:t>
      </w:r>
    </w:p>
    <w:p>
      <w:pPr>
        <w:pStyle w:val="ListBullet"/>
      </w:pPr>
      <w:r>
        <w:t>604: watch list</w:t>
      </w:r>
    </w:p>
    <w:p>
      <w:pPr>
        <w:pStyle w:val="ListBullet"/>
      </w:pPr>
      <w:r>
        <w:t>606: rejected candidate set</w:t>
      </w:r>
    </w:p>
    <w:p>
      <w:pPr>
        <w:pStyle w:val="ListBullet"/>
      </w:pPr>
      <w:r>
        <w:t>608: data-generation queue</w:t>
      </w:r>
    </w:p>
    <w:p>
      <w:pPr>
        <w:pStyle w:val="ListBullet"/>
      </w:pPr>
      <w:r>
        <w:t>610: laboratory information system</w:t>
      </w:r>
    </w:p>
    <w:p>
      <w:pPr>
        <w:pStyle w:val="ListBullet"/>
      </w:pPr>
      <w:r>
        <w:t>612: capture test apparatus</w:t>
      </w:r>
    </w:p>
    <w:p>
      <w:pPr>
        <w:pStyle w:val="Heading2"/>
      </w:pPr>
      <w:r>
        <w:t>Mermaid Drafts For Counsel/Draftsman</w:t>
      </w:r>
    </w:p>
    <w:p>
      <w:r>
        <w:rPr>
          <w:rFonts w:ascii="Courier New" w:hAnsi="Courier New"/>
          <w:sz w:val="18"/>
        </w:rPr>
        <w:t>flowchart LR</w:t>
        <w:br/>
        <w:t xml:space="preserve">    A[Training records] --&gt; B[Feature generator]</w:t>
        <w:br/>
        <w:t xml:space="preserve">    B --&gt; C[Chemical group split]</w:t>
        <w:br/>
        <w:t xml:space="preserve">    C --&gt; D[Model training]</w:t>
        <w:br/>
        <w:t xml:space="preserve">    C --&gt; E[Calibration residuals]</w:t>
        <w:br/>
        <w:t xml:space="preserve">    E --&gt; F[Prediction interval]</w:t>
        <w:br/>
        <w:t xml:space="preserve">    D --&gt; G[Candidate prediction]</w:t>
        <w:br/>
        <w:t xml:space="preserve">    H[Candidate records] --&gt; G</w:t>
        <w:br/>
        <w:t xml:space="preserve">    B --&gt; I[Domain profile]</w:t>
        <w:br/>
        <w:t xml:space="preserve">    H --&gt; J[Domain assessment]</w:t>
        <w:br/>
        <w:t xml:space="preserve">    F --&gt; K[Scoring engine]</w:t>
        <w:br/>
        <w:t xml:space="preserve">    G --&gt; K</w:t>
        <w:br/>
        <w:t xml:space="preserve">    J --&gt; K</w:t>
        <w:br/>
        <w:t xml:space="preserve">    K --&gt; L[Decision label and reason codes]</w:t>
      </w:r>
    </w:p>
    <w:p>
      <w:r>
        <w:rPr>
          <w:rFonts w:ascii="Courier New" w:hAnsi="Courier New"/>
          <w:sz w:val="18"/>
        </w:rPr>
        <w:t>flowchart TB</w:t>
        <w:br/>
        <w:t xml:space="preserve">    A[Candidate record] --&gt; B{Domain status}</w:t>
        <w:br/>
        <w:t xml:space="preserve">    B --&gt;|In domain| C[Compute rank score]</w:t>
        <w:br/>
        <w:t xml:space="preserve">    B --&gt;|Edge| D[Apply domain penalty]</w:t>
        <w:br/>
        <w:t xml:space="preserve">    B --&gt;|Out of domain| E[Needs data]</w:t>
        <w:br/>
        <w:t xml:space="preserve">    C --&gt; F{Confidence grade}</w:t>
        <w:br/>
        <w:t xml:space="preserve">    D --&gt; F</w:t>
        <w:br/>
        <w:t xml:space="preserve">    F --&gt;|A/B and high score| G[Test]</w:t>
        <w:br/>
        <w:t xml:space="preserve">    F --&gt;|A/B/C and mid score| H[Watch]</w:t>
        <w:br/>
        <w:t xml:space="preserve">    F --&gt;|Low score| I[Reject]</w:t>
      </w:r>
    </w:p>
    <w:p>
      <w:r>
        <w:br w:type="page"/>
      </w:r>
    </w:p>
    <w:p>
      <w:pPr>
        <w:pStyle w:val="Heading1"/>
      </w:pPr>
      <w:r>
        <w:t>Prior Art And IDS Candidates</w:t>
      </w:r>
    </w:p>
    <w:p>
      <w:r>
        <w:t>Status: attorney-review draft, not legal advice. U.S. counsel should decide what to submit in an IDS.</w:t>
      </w:r>
    </w:p>
    <w:p>
      <w:pPr>
        <w:pStyle w:val="Heading2"/>
      </w:pPr>
      <w:r>
        <w:t>Closest Prior Art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Citation</w:t>
            </w:r>
          </w:p>
        </w:tc>
        <w:tc>
          <w:tcPr>
            <w:tcW w:type="dxa" w:w="2160"/>
          </w:tcPr>
          <w:p>
            <w:r>
              <w:t>Why It Matters</w:t>
            </w:r>
          </w:p>
        </w:tc>
        <w:tc>
          <w:tcPr>
            <w:tcW w:type="dxa" w:w="2160"/>
          </w:tcPr>
          <w:p>
            <w:r>
              <w:t>Claim Strategy</w:t>
            </w:r>
          </w:p>
        </w:tc>
      </w:tr>
      <w:tr>
        <w:tc>
          <w:tcPr>
            <w:tcW w:type="dxa" w:w="2160"/>
          </w:tcPr>
          <w:p>
            <w:r>
              <w:t>A</w:t>
            </w:r>
          </w:p>
        </w:tc>
        <w:tc>
          <w:tcPr>
            <w:tcW w:type="dxa" w:w="2160"/>
          </w:tcPr>
          <w:p>
            <w:r>
              <w:t>Zhong et al., "Screening Environmentally Benign Ionic Liquids for CO2 Absorption Using Representation Uncertainty-Based Machine Learning," Environmental Science &amp; Technology Letters, 2024, DOI: 10.1021/acs.estlett.4c00524</w:t>
            </w:r>
          </w:p>
        </w:tc>
        <w:tc>
          <w:tcPr>
            <w:tcW w:type="dxa" w:w="2160"/>
          </w:tcPr>
          <w:p>
            <w:r>
              <w:t>Closest scientific reference. Uses uncertainty across representations for IL CO2 absorption screening.</w:t>
            </w:r>
          </w:p>
        </w:tc>
        <w:tc>
          <w:tcPr>
            <w:tcW w:type="dxa" w:w="2160"/>
          </w:tcPr>
          <w:p>
            <w:r>
              <w:t>Do not claim "uncertainty for IL CO2 screening" broadly. Focus on calibrated interval, held-out chemistry gate, OOD refusal, local workflow, and decision labels.</w:t>
            </w:r>
          </w:p>
        </w:tc>
      </w:tr>
      <w:tr>
        <w:tc>
          <w:tcPr>
            <w:tcW w:type="dxa" w:w="2160"/>
          </w:tcPr>
          <w:p>
            <w:r>
              <w:t>B</w:t>
            </w:r>
          </w:p>
        </w:tc>
        <w:tc>
          <w:tcPr>
            <w:tcW w:type="dxa" w:w="2160"/>
          </w:tcPr>
          <w:p>
            <w:r>
              <w:t>Norinder et al., "Introducing Conformal Prediction in Predictive Modeling," Journal of Chemical Information and Modeling, 2014, DOI: 10.1021/ci5001168</w:t>
            </w:r>
          </w:p>
        </w:tc>
        <w:tc>
          <w:tcPr>
            <w:tcW w:type="dxa" w:w="2160"/>
          </w:tcPr>
          <w:p>
            <w:r>
              <w:t>Foundational conformal prediction in cheminformatics and applicability-domain context.</w:t>
            </w:r>
          </w:p>
        </w:tc>
        <w:tc>
          <w:tcPr>
            <w:tcW w:type="dxa" w:w="2160"/>
          </w:tcPr>
          <w:p>
            <w:r>
              <w:t>Do not claim conformal prediction itself. Claim domain-specific integration into CO2 capture solvent triage.</w:t>
            </w:r>
          </w:p>
        </w:tc>
      </w:tr>
      <w:tr>
        <w:tc>
          <w:tcPr>
            <w:tcW w:type="dxa" w:w="2160"/>
          </w:tcPr>
          <w:p>
            <w:r>
              <w:t>C</w:t>
            </w:r>
          </w:p>
        </w:tc>
        <w:tc>
          <w:tcPr>
            <w:tcW w:type="dxa" w:w="2160"/>
          </w:tcPr>
          <w:p>
            <w:r>
              <w:t>Arvidsson McShane et al., "CPSign: conformal prediction for cheminformatics modeling," Journal of Cheminformatics, 2024, DOI: 10.1186/s13321-024-00870-9</w:t>
            </w:r>
          </w:p>
        </w:tc>
        <w:tc>
          <w:tcPr>
            <w:tcW w:type="dxa" w:w="2160"/>
          </w:tcPr>
          <w:p>
            <w:r>
              <w:t>Tooling prior art for conformal intervals in cheminformatics.</w:t>
            </w:r>
          </w:p>
        </w:tc>
        <w:tc>
          <w:tcPr>
            <w:tcW w:type="dxa" w:w="2160"/>
          </w:tcPr>
          <w:p>
            <w:r>
              <w:t>Emphasize capture-solvent workflow, decision suppression, and evidence tied to solvent-held-out validation.</w:t>
            </w:r>
          </w:p>
        </w:tc>
      </w:tr>
      <w:tr>
        <w:tc>
          <w:tcPr>
            <w:tcW w:type="dxa" w:w="2160"/>
          </w:tcPr>
          <w:p>
            <w:r>
              <w:t>D</w:t>
            </w:r>
          </w:p>
        </w:tc>
        <w:tc>
          <w:tcPr>
            <w:tcW w:type="dxa" w:w="2160"/>
          </w:tcPr>
          <w:p>
            <w:r>
              <w:t>Bastami et al., "Predicting CO2 Solubility in Diverse Ionic Liquids: A Data-Driven Approach Using Machine Learning Algorithms," Energy &amp; Fuels, 2025, DOI: 10.1021/acs.energyfuels.5c01345</w:t>
            </w:r>
          </w:p>
        </w:tc>
        <w:tc>
          <w:tcPr>
            <w:tcW w:type="dxa" w:w="2160"/>
          </w:tcPr>
          <w:p>
            <w:r>
              <w:t>Large modern QSPR/ML dataset and models for CO2 solubility in ILs.</w:t>
            </w:r>
          </w:p>
        </w:tc>
        <w:tc>
          <w:tcPr>
            <w:tcW w:type="dxa" w:w="2160"/>
          </w:tcPr>
          <w:p>
            <w:r>
              <w:t>Avoid broad prediction/model/descriptors claims.</w:t>
            </w:r>
          </w:p>
        </w:tc>
      </w:tr>
      <w:tr>
        <w:tc>
          <w:tcPr>
            <w:tcW w:type="dxa" w:w="2160"/>
          </w:tcPr>
          <w:p>
            <w:r>
              <w:t>E</w:t>
            </w:r>
          </w:p>
        </w:tc>
        <w:tc>
          <w:tcPr>
            <w:tcW w:type="dxa" w:w="2160"/>
          </w:tcPr>
          <w:p>
            <w:r>
              <w:t>Venkatraman et al., "The Ionic Liquid Property Explorer: An Extensive Library of Task-Specific Solvents," Data, 2019, DOI: 10.3390/data4020088; Zenodo 3251643</w:t>
            </w:r>
          </w:p>
        </w:tc>
        <w:tc>
          <w:tcPr>
            <w:tcW w:type="dxa" w:w="2160"/>
          </w:tcPr>
          <w:p>
            <w:r>
              <w:t>Public data source used in this project; IL property dataset with CO2 capacity and SMILES.</w:t>
            </w:r>
          </w:p>
        </w:tc>
        <w:tc>
          <w:tcPr>
            <w:tcW w:type="dxa" w:w="2160"/>
          </w:tcPr>
          <w:p>
            <w:r>
              <w:t>Cite as data source and background, not invention.</w:t>
            </w:r>
          </w:p>
        </w:tc>
      </w:tr>
      <w:tr>
        <w:tc>
          <w:tcPr>
            <w:tcW w:type="dxa" w:w="2160"/>
          </w:tcPr>
          <w:p>
            <w:r>
              <w:t>F</w:t>
            </w:r>
          </w:p>
        </w:tc>
        <w:tc>
          <w:tcPr>
            <w:tcW w:type="dxa" w:w="2160"/>
          </w:tcPr>
          <w:p>
            <w:r>
              <w:t>"Predicting CO2 capture of ionic liquids using machine learning," Journal of CO2 Utilization, 2017, DOI: 10.1016/j.jcou.2017.06.012</w:t>
            </w:r>
          </w:p>
        </w:tc>
        <w:tc>
          <w:tcPr>
            <w:tcW w:type="dxa" w:w="2160"/>
          </w:tcPr>
          <w:p>
            <w:r>
              <w:t>Early ML prediction of IL CO2 capture.</w:t>
            </w:r>
          </w:p>
        </w:tc>
        <w:tc>
          <w:tcPr>
            <w:tcW w:type="dxa" w:w="2160"/>
          </w:tcPr>
          <w:p>
            <w:r>
              <w:t>Avoid broad ML-based screening claims.</w:t>
            </w:r>
          </w:p>
        </w:tc>
      </w:tr>
      <w:tr>
        <w:tc>
          <w:tcPr>
            <w:tcW w:type="dxa" w:w="2160"/>
          </w:tcPr>
          <w:p>
            <w:r>
              <w:t>G</w:t>
            </w:r>
          </w:p>
        </w:tc>
        <w:tc>
          <w:tcPr>
            <w:tcW w:type="dxa" w:w="2160"/>
          </w:tcPr>
          <w:p>
            <w:r>
              <w:t>"Prediction of CO2 solubility in Ionic liquids for CO2 capture using deep learning models," Scientific Reports, 2024</w:t>
            </w:r>
          </w:p>
        </w:tc>
        <w:tc>
          <w:tcPr>
            <w:tcW w:type="dxa" w:w="2160"/>
          </w:tcPr>
          <w:p>
            <w:r>
              <w:t>Deep learning for IL CO2 solubility.</w:t>
            </w:r>
          </w:p>
        </w:tc>
        <w:tc>
          <w:tcPr>
            <w:tcW w:type="dxa" w:w="2160"/>
          </w:tcPr>
          <w:p>
            <w:r>
              <w:t>Differentiate with calibrated decision workflow and OOD abstention.</w:t>
            </w:r>
          </w:p>
        </w:tc>
      </w:tr>
      <w:tr>
        <w:tc>
          <w:tcPr>
            <w:tcW w:type="dxa" w:w="2160"/>
          </w:tcPr>
          <w:p>
            <w:r>
              <w:t>H</w:t>
            </w:r>
          </w:p>
        </w:tc>
        <w:tc>
          <w:tcPr>
            <w:tcW w:type="dxa" w:w="2160"/>
          </w:tcPr>
          <w:p>
            <w:r>
              <w:t>Qin et al., "Predicting the solubility of CO2 and N2 in ionic liquids based on COSMO-RS and machine learning," Frontiers in Chemistry, 2024, DOI: 10.3389/fchem.2024.1480468</w:t>
            </w:r>
          </w:p>
        </w:tc>
        <w:tc>
          <w:tcPr>
            <w:tcW w:type="dxa" w:w="2160"/>
          </w:tcPr>
          <w:p>
            <w:r>
              <w:t>COSMO-RS plus ML for gas solubility in ILs.</w:t>
            </w:r>
          </w:p>
        </w:tc>
        <w:tc>
          <w:tcPr>
            <w:tcW w:type="dxa" w:w="2160"/>
          </w:tcPr>
          <w:p>
            <w:r>
              <w:t>Avoid descriptor/model accuracy focus.</w:t>
            </w:r>
          </w:p>
        </w:tc>
      </w:tr>
      <w:tr>
        <w:tc>
          <w:tcPr>
            <w:tcW w:type="dxa" w:w="2160"/>
          </w:tcPr>
          <w:p>
            <w:r>
              <w:t>I</w:t>
            </w:r>
          </w:p>
        </w:tc>
        <w:tc>
          <w:tcPr>
            <w:tcW w:type="dxa" w:w="2160"/>
          </w:tcPr>
          <w:p>
            <w:r>
              <w:t>WO2025073762A1, "Solvent screening method"</w:t>
            </w:r>
          </w:p>
        </w:tc>
        <w:tc>
          <w:tcPr>
            <w:tcW w:type="dxa" w:w="2160"/>
          </w:tcPr>
          <w:p>
            <w:r>
              <w:t>Patent publication involving ML solvent screening, uncertainty, and process parameters.</w:t>
            </w:r>
          </w:p>
        </w:tc>
        <w:tc>
          <w:tcPr>
            <w:tcW w:type="dxa" w:w="2160"/>
          </w:tcPr>
          <w:p>
            <w:r>
              <w:t>Keep claims limited to CO2 capture solvent screening and calibrated OOD decision suppression.</w:t>
            </w:r>
          </w:p>
        </w:tc>
      </w:tr>
      <w:tr>
        <w:tc>
          <w:tcPr>
            <w:tcW w:type="dxa" w:w="2160"/>
          </w:tcPr>
          <w:p>
            <w:r>
              <w:t>J</w:t>
            </w:r>
          </w:p>
        </w:tc>
        <w:tc>
          <w:tcPr>
            <w:tcW w:type="dxa" w:w="2160"/>
          </w:tcPr>
          <w:p>
            <w:r>
              <w:t>US20230122168A1, "Conformal Inference for Optimization"</w:t>
            </w:r>
          </w:p>
        </w:tc>
        <w:tc>
          <w:tcPr>
            <w:tcW w:type="dxa" w:w="2160"/>
          </w:tcPr>
          <w:p>
            <w:r>
              <w:t>Patent publication applying conformal intervals to optimization of biological sequences.</w:t>
            </w:r>
          </w:p>
        </w:tc>
        <w:tc>
          <w:tcPr>
            <w:tcW w:type="dxa" w:w="2160"/>
          </w:tcPr>
          <w:p>
            <w:r>
              <w:t>Avoid broad conformal optimization. Claim solvent/CO2-specific data structures and decisions.</w:t>
            </w:r>
          </w:p>
        </w:tc>
      </w:tr>
      <w:tr>
        <w:tc>
          <w:tcPr>
            <w:tcW w:type="dxa" w:w="2160"/>
          </w:tcPr>
          <w:p>
            <w:r>
              <w:t>K</w:t>
            </w:r>
          </w:p>
        </w:tc>
        <w:tc>
          <w:tcPr>
            <w:tcW w:type="dxa" w:w="2160"/>
          </w:tcPr>
          <w:p>
            <w:r>
              <w:t>US20260042050 / WO2024187266A1, "Amine-based carbon capture solvent degradation monitoring"</w:t>
            </w:r>
          </w:p>
        </w:tc>
        <w:tc>
          <w:tcPr>
            <w:tcW w:type="dxa" w:w="2160"/>
          </w:tcPr>
          <w:p>
            <w:r>
              <w:t>Carbon-capture ML monitoring/threshold prior art.</w:t>
            </w:r>
          </w:p>
        </w:tc>
        <w:tc>
          <w:tcPr>
            <w:tcW w:type="dxa" w:w="2160"/>
          </w:tcPr>
          <w:p>
            <w:r>
              <w:t>Keep claims on pre-deployment screening and candidate triage, not degradation monitoring.</w:t>
            </w:r>
          </w:p>
        </w:tc>
      </w:tr>
    </w:tbl>
    <w:p>
      <w:pPr>
        <w:pStyle w:val="Heading2"/>
      </w:pPr>
      <w:r>
        <w:t>IDS Candidate Table</w:t>
      </w:r>
    </w:p>
    <w:p>
      <w:r>
        <w:t>Counsel should review whether to include these items in a U.S. Information Disclosure Statement:</w:t>
      </w:r>
    </w:p>
    <w:p>
      <w:pPr>
        <w:pStyle w:val="ListNumber"/>
      </w:pPr>
      <w:r>
        <w:t>Zhong et al., Environmental Science &amp; Technology Letters, 2024, DOI: 10.1021/acs.estlett.4c00524.</w:t>
      </w:r>
    </w:p>
    <w:p>
      <w:pPr>
        <w:pStyle w:val="ListNumber"/>
      </w:pPr>
      <w:r>
        <w:t>Norinder et al., Journal of Chemical Information and Modeling, 2014, DOI: 10.1021/ci5001168.</w:t>
      </w:r>
    </w:p>
    <w:p>
      <w:pPr>
        <w:pStyle w:val="ListNumber"/>
      </w:pPr>
      <w:r>
        <w:t>Arvidsson McShane et al., Journal of Cheminformatics, 2024, DOI: 10.1186/s13321-024-00870-9.</w:t>
      </w:r>
    </w:p>
    <w:p>
      <w:pPr>
        <w:pStyle w:val="ListNumber"/>
      </w:pPr>
      <w:r>
        <w:t>Bastami et al., Energy &amp; Fuels, 2025, DOI: 10.1021/acs.energyfuels.5c01345.</w:t>
      </w:r>
    </w:p>
    <w:p>
      <w:pPr>
        <w:pStyle w:val="ListNumber"/>
      </w:pPr>
      <w:r>
        <w:t>Venkatraman, Evjen, and Lethesh, Zenodo record 3251643, DOI: 10.5281/zenodo.3251643.</w:t>
      </w:r>
    </w:p>
    <w:p>
      <w:pPr>
        <w:pStyle w:val="ListNumber"/>
      </w:pPr>
      <w:r>
        <w:t>Venkatraman et al., Data, 2019, DOI: 10.3390/data4020088.</w:t>
      </w:r>
    </w:p>
    <w:p>
      <w:pPr>
        <w:pStyle w:val="ListNumber"/>
      </w:pPr>
      <w:r>
        <w:t>Predicting CO2 capture of ionic liquids using machine learning, Journal of CO2 Utilization, 2017, DOI: 10.1016/j.jcou.2017.06.012.</w:t>
      </w:r>
    </w:p>
    <w:p>
      <w:pPr>
        <w:pStyle w:val="ListNumber"/>
      </w:pPr>
      <w:r>
        <w:t>Prediction of CO2 solubility in Ionic liquids for CO2 capture using deep learning models, Scientific Reports, 2024.</w:t>
      </w:r>
    </w:p>
    <w:p>
      <w:pPr>
        <w:pStyle w:val="ListNumber"/>
      </w:pPr>
      <w:r>
        <w:t>Qin et al., Frontiers in Chemistry, 2024, DOI: 10.3389/fchem.2024.1480468.</w:t>
      </w:r>
    </w:p>
    <w:p>
      <w:pPr>
        <w:pStyle w:val="ListNumber"/>
      </w:pPr>
      <w:r>
        <w:t>WO2025073762A1, Solvent screening method.</w:t>
      </w:r>
    </w:p>
    <w:p>
      <w:pPr>
        <w:pStyle w:val="ListNumber"/>
      </w:pPr>
      <w:r>
        <w:t>US20230122168A1, Conformal Inference for Optimization.</w:t>
      </w:r>
    </w:p>
    <w:p>
      <w:pPr>
        <w:pStyle w:val="ListNumber"/>
      </w:pPr>
      <w:r>
        <w:t>US20260042050 or related WO publication, Amine-based carbon capture solvent degradation monitoring.</w:t>
      </w:r>
    </w:p>
    <w:p>
      <w:pPr>
        <w:pStyle w:val="Heading2"/>
      </w:pPr>
      <w:r>
        <w:t>Remaining Novel Claim Space</w:t>
      </w:r>
    </w:p>
    <w:p>
      <w:r>
        <w:t>The likely remaining claim space is a specific workflow in which the system:</w:t>
      </w:r>
    </w:p>
    <w:p>
      <w:pPr>
        <w:pStyle w:val="ListBullet"/>
      </w:pPr>
      <w:r>
        <w:t>requires chemically held-out validation before candidate ranking;</w:t>
      </w:r>
    </w:p>
    <w:p>
      <w:pPr>
        <w:pStyle w:val="ListBullet"/>
      </w:pPr>
      <w:r>
        <w:t>calibrates intervals on held-out chemistry/process regimes;</w:t>
      </w:r>
    </w:p>
    <w:p>
      <w:pPr>
        <w:pStyle w:val="ListBullet"/>
      </w:pPr>
      <w:r>
        <w:t>converts interval width and domain status into a rank penalty;</w:t>
      </w:r>
    </w:p>
    <w:p>
      <w:pPr>
        <w:pStyle w:val="ListBullet"/>
      </w:pPr>
      <w:r>
        <w:t>suppresses positive recommendation for OOD candidates;</w:t>
      </w:r>
    </w:p>
    <w:p>
      <w:pPr>
        <w:pStyle w:val="ListBullet"/>
      </w:pPr>
      <w:r>
        <w:t>outputs reason-coded decisions for experiment planning;</w:t>
      </w:r>
    </w:p>
    <w:p>
      <w:pPr>
        <w:pStyle w:val="ListBullet"/>
      </w:pPr>
      <w:r>
        <w:t>runs locally without exposing candidate chemistry to cloud services;</w:t>
      </w:r>
    </w:p>
    <w:p>
      <w:pPr>
        <w:pStyle w:val="ListBullet"/>
      </w:pPr>
      <w:r>
        <w:t>generates a concrete experimental queue for CO2 capture testing.</w:t>
      </w:r>
    </w:p>
    <w:p>
      <w:r>
        <w:br w:type="page"/>
      </w:r>
    </w:p>
    <w:p>
      <w:pPr>
        <w:pStyle w:val="Heading1"/>
      </w:pPr>
      <w:r>
        <w:t>U.S. Filing Checklist</w:t>
      </w:r>
    </w:p>
    <w:p>
      <w:r>
        <w:t>Status: attorney-review draft, not legal advice.</w:t>
      </w:r>
    </w:p>
    <w:p>
      <w:pPr>
        <w:pStyle w:val="Heading2"/>
      </w:pPr>
      <w:r>
        <w:t>Recommended First Filing</w:t>
      </w:r>
    </w:p>
    <w:p>
      <w:r>
        <w:t>File a detailed U.S. provisional before any public disclosure. The provisional should include the full technical disclosure, examples, flowcharts, code/pseudocode, evidence tables, and candidate-ranking outputs. A provisional is not examined, does not require formal claims, oath/declaration, or IDS, and lasts 12 months. A nonprovisional must be filed within the 12-month pendency period to claim benefit.</w:t>
      </w:r>
    </w:p>
    <w:p>
      <w:pPr>
        <w:pStyle w:val="Heading2"/>
      </w:pPr>
      <w:r>
        <w:t>U.S. Provisional Package</w:t>
      </w:r>
    </w:p>
    <w:p>
      <w:r>
        <w:t>Minimum package for counsel:</w:t>
      </w:r>
    </w:p>
    <w:p>
      <w:pPr>
        <w:pStyle w:val="ListBullet"/>
      </w:pPr>
      <w:r>
        <w:t>title;</w:t>
      </w:r>
    </w:p>
    <w:p>
      <w:pPr>
        <w:pStyle w:val="ListBullet"/>
      </w:pPr>
      <w:r>
        <w:t>inventor names and contact information;</w:t>
      </w:r>
    </w:p>
    <w:p>
      <w:pPr>
        <w:pStyle w:val="ListBullet"/>
      </w:pPr>
      <w:r>
        <w:t>applicant/owner information;</w:t>
      </w:r>
    </w:p>
    <w:p>
      <w:pPr>
        <w:pStyle w:val="ListBullet"/>
      </w:pPr>
      <w:r>
        <w:t>detailed specification;</w:t>
      </w:r>
    </w:p>
    <w:p>
      <w:pPr>
        <w:pStyle w:val="ListBullet"/>
      </w:pPr>
      <w:r>
        <w:t>drawing packet;</w:t>
      </w:r>
    </w:p>
    <w:p>
      <w:pPr>
        <w:pStyle w:val="ListBullet"/>
      </w:pPr>
      <w:r>
        <w:t>experimental evidence summary;</w:t>
      </w:r>
    </w:p>
    <w:p>
      <w:pPr>
        <w:pStyle w:val="ListBullet"/>
      </w:pPr>
      <w:r>
        <w:t>source code archive or appendix if counsel wants it;</w:t>
      </w:r>
    </w:p>
    <w:p>
      <w:pPr>
        <w:pStyle w:val="ListBullet"/>
      </w:pPr>
      <w:r>
        <w:t>public-data source list;</w:t>
      </w:r>
    </w:p>
    <w:p>
      <w:pPr>
        <w:pStyle w:val="ListBullet"/>
      </w:pPr>
      <w:r>
        <w:t>prior-art list;</w:t>
      </w:r>
    </w:p>
    <w:p>
      <w:pPr>
        <w:pStyle w:val="ListBullet"/>
      </w:pPr>
      <w:r>
        <w:t>disclosure history;</w:t>
      </w:r>
    </w:p>
    <w:p>
      <w:pPr>
        <w:pStyle w:val="ListBullet"/>
      </w:pPr>
      <w:r>
        <w:t>ownership/assignment facts;</w:t>
      </w:r>
    </w:p>
    <w:p>
      <w:pPr>
        <w:pStyle w:val="ListBullet"/>
      </w:pPr>
      <w:r>
        <w:t>filing fee/entity status information.</w:t>
      </w:r>
    </w:p>
    <w:p>
      <w:pPr>
        <w:pStyle w:val="Heading2"/>
      </w:pPr>
      <w:r>
        <w:t>U.S. Nonprovisional Package</w:t>
      </w:r>
    </w:p>
    <w:p>
      <w:r>
        <w:t>USPTO nonprovisional utility applications require a specification including description and claim(s), drawings when necessary, oath/declaration, and filing/search/examination fees. The specification should include at least one claim and an abstract. The abstract should be a single paragraph and no longer than 150 words.</w:t>
      </w:r>
    </w:p>
    <w:p>
      <w:r>
        <w:t>Package:</w:t>
      </w:r>
    </w:p>
    <w:p>
      <w:pPr>
        <w:pStyle w:val="ListBullet"/>
      </w:pPr>
      <w:r>
        <w:t>transmittal form or letter;</w:t>
      </w:r>
    </w:p>
    <w:p>
      <w:pPr>
        <w:pStyle w:val="ListBullet"/>
      </w:pPr>
      <w:r>
        <w:t>fees;</w:t>
      </w:r>
    </w:p>
    <w:p>
      <w:pPr>
        <w:pStyle w:val="ListBullet"/>
      </w:pPr>
      <w:r>
        <w:t>application data sheet;</w:t>
      </w:r>
    </w:p>
    <w:p>
      <w:pPr>
        <w:pStyle w:val="ListBullet"/>
      </w:pPr>
      <w:r>
        <w:t>specification;</w:t>
      </w:r>
    </w:p>
    <w:p>
      <w:pPr>
        <w:pStyle w:val="ListBullet"/>
      </w:pPr>
      <w:r>
        <w:t>claims;</w:t>
      </w:r>
    </w:p>
    <w:p>
      <w:pPr>
        <w:pStyle w:val="ListBullet"/>
      </w:pPr>
      <w:r>
        <w:t>abstract;</w:t>
      </w:r>
    </w:p>
    <w:p>
      <w:pPr>
        <w:pStyle w:val="ListBullet"/>
      </w:pPr>
      <w:r>
        <w:t>drawings;</w:t>
      </w:r>
    </w:p>
    <w:p>
      <w:pPr>
        <w:pStyle w:val="ListBullet"/>
      </w:pPr>
      <w:r>
        <w:t>inventor oath/declaration;</w:t>
      </w:r>
    </w:p>
    <w:p>
      <w:pPr>
        <w:pStyle w:val="ListBullet"/>
      </w:pPr>
      <w:r>
        <w:t>assignment documents if applicable;</w:t>
      </w:r>
    </w:p>
    <w:p>
      <w:pPr>
        <w:pStyle w:val="ListBullet"/>
      </w:pPr>
      <w:r>
        <w:t>IDS materials;</w:t>
      </w:r>
    </w:p>
    <w:p>
      <w:pPr>
        <w:pStyle w:val="ListBullet"/>
      </w:pPr>
      <w:r>
        <w:t>sequence listing only if applicable.</w:t>
      </w:r>
    </w:p>
    <w:p>
      <w:pPr>
        <w:pStyle w:val="Heading2"/>
      </w:pPr>
      <w:r>
        <w:t>Section 101 / Eligibility Notes</w:t>
      </w:r>
    </w:p>
    <w:p>
      <w:r>
        <w:t>The application should avoid presenting the invention as only a mathematical method, algorithm, ranking scheme, or generic computer implementation. The practical application should be stated as a technical chemical screening process that controls whether candidates are recommended, rejected, or routed to experimental data generation.</w:t>
      </w:r>
    </w:p>
    <w:p>
      <w:r>
        <w:t>Strong eligibility facts to include:</w:t>
      </w:r>
    </w:p>
    <w:p>
      <w:pPr>
        <w:pStyle w:val="ListBullet"/>
      </w:pPr>
      <w:r>
        <w:t>candidates are chemical solvent records for CO2 capture;</w:t>
      </w:r>
    </w:p>
    <w:p>
      <w:pPr>
        <w:pStyle w:val="ListBullet"/>
      </w:pPr>
      <w:r>
        <w:t>the system reduces unsupported experimental recommendations;</w:t>
      </w:r>
    </w:p>
    <w:p>
      <w:pPr>
        <w:pStyle w:val="ListBullet"/>
      </w:pPr>
      <w:r>
        <w:t>output can generate a laboratory test queue or protocol;</w:t>
      </w:r>
    </w:p>
    <w:p>
      <w:pPr>
        <w:pStyle w:val="ListBullet"/>
      </w:pPr>
      <w:r>
        <w:t>OOD candidates are withheld from recommendation;</w:t>
      </w:r>
    </w:p>
    <w:p>
      <w:pPr>
        <w:pStyle w:val="ListBullet"/>
      </w:pPr>
      <w:r>
        <w:t>workflow is tied to solvent/cation/anion/process-domain constraints.</w:t>
      </w:r>
    </w:p>
    <w:p>
      <w:pPr>
        <w:pStyle w:val="Heading2"/>
      </w:pPr>
      <w:r>
        <w:t>Section 112 / Enablement Notes</w:t>
      </w:r>
    </w:p>
    <w:p>
      <w:r>
        <w:t>Include enough detail for a skilled person to implement:</w:t>
      </w:r>
    </w:p>
    <w:p>
      <w:pPr>
        <w:pStyle w:val="ListBullet"/>
      </w:pPr>
      <w:r>
        <w:t>data schema;</w:t>
      </w:r>
    </w:p>
    <w:p>
      <w:pPr>
        <w:pStyle w:val="ListBullet"/>
      </w:pPr>
      <w:r>
        <w:t>target variables;</w:t>
      </w:r>
    </w:p>
    <w:p>
      <w:pPr>
        <w:pStyle w:val="ListBullet"/>
      </w:pPr>
      <w:r>
        <w:t>feature generation;</w:t>
      </w:r>
    </w:p>
    <w:p>
      <w:pPr>
        <w:pStyle w:val="ListBullet"/>
      </w:pPr>
      <w:r>
        <w:t>split rules;</w:t>
      </w:r>
    </w:p>
    <w:p>
      <w:pPr>
        <w:pStyle w:val="ListBullet"/>
      </w:pPr>
      <w:r>
        <w:t>model examples;</w:t>
      </w:r>
    </w:p>
    <w:p>
      <w:pPr>
        <w:pStyle w:val="ListBullet"/>
      </w:pPr>
      <w:r>
        <w:t>calibration method;</w:t>
      </w:r>
    </w:p>
    <w:p>
      <w:pPr>
        <w:pStyle w:val="ListBullet"/>
      </w:pPr>
      <w:r>
        <w:t>domain profile method;</w:t>
      </w:r>
    </w:p>
    <w:p>
      <w:pPr>
        <w:pStyle w:val="ListBullet"/>
      </w:pPr>
      <w:r>
        <w:t>rank score;</w:t>
      </w:r>
    </w:p>
    <w:p>
      <w:pPr>
        <w:pStyle w:val="ListBullet"/>
      </w:pPr>
      <w:r>
        <w:t>decision thresholds;</w:t>
      </w:r>
    </w:p>
    <w:p>
      <w:pPr>
        <w:pStyle w:val="ListBullet"/>
      </w:pPr>
      <w:r>
        <w:t>output schema;</w:t>
      </w:r>
    </w:p>
    <w:p>
      <w:pPr>
        <w:pStyle w:val="ListBullet"/>
      </w:pPr>
      <w:r>
        <w:t>examples with actual results.</w:t>
      </w:r>
    </w:p>
    <w:p>
      <w:r>
        <w:t>Also disclose the best mode known to the inventors at filing, including the preferred data handling, feature generation, split strategy, model configuration, calibration strategy, domain checks, scoring rule, and decision thresholds.</w:t>
      </w:r>
    </w:p>
    <w:p>
      <w:r>
        <w:t>If any broad chemical genus or solvent class is claimed, counsel should decide whether the present evidence supports that breadth. Broad composition claims usually need representative species, structural features, functional correlations, and experimental support. The current strongest support is for a screening workflow, not for ownership of a broad solvent genus.</w:t>
      </w:r>
    </w:p>
    <w:p>
      <w:pPr>
        <w:pStyle w:val="Heading2"/>
      </w:pPr>
      <w:r>
        <w:t>IDS / Duty Of Disclosure Notes</w:t>
      </w:r>
    </w:p>
    <w:p>
      <w:r>
        <w:t>Counsel should review the prior-art list and decide what to submit in an IDS. U.S. rules impose a duty of candor and good faith, including disclosure of known information material to patentability during prosecution. IDS timing and content are procedural and should be handled by counsel.</w:t>
      </w:r>
    </w:p>
    <w:p>
      <w:r>
        <w:t>Build an IDS packet for counsel from:</w:t>
      </w:r>
    </w:p>
    <w:p>
      <w:pPr>
        <w:pStyle w:val="ListBullet"/>
      </w:pPr>
      <w:r>
        <w:t>papers and patents listed in `05_PRIOR_ART_AND_IDS_CANDIDATES.md`;</w:t>
      </w:r>
    </w:p>
    <w:p>
      <w:pPr>
        <w:pStyle w:val="ListBullet"/>
      </w:pPr>
      <w:r>
        <w:t>public datasets and code used in the evidence suite;</w:t>
      </w:r>
    </w:p>
    <w:p>
      <w:pPr>
        <w:pStyle w:val="ListBullet"/>
      </w:pPr>
      <w:r>
        <w:t>inventor disclosures, posters, preprints, demos, or public repositories;</w:t>
      </w:r>
    </w:p>
    <w:p>
      <w:pPr>
        <w:pStyle w:val="ListBullet"/>
      </w:pPr>
      <w:r>
        <w:t>foreign search reports if any later counterpart application is filed;</w:t>
      </w:r>
    </w:p>
    <w:p>
      <w:pPr>
        <w:pStyle w:val="ListBullet"/>
      </w:pPr>
      <w:r>
        <w:t>anything inconsistent with an argument of novelty, non-obviousness, enablement, or inventorship.</w:t>
      </w:r>
    </w:p>
    <w:p>
      <w:r>
        <w:t>Do not file an IDS in a provisional application. Provide the prior-art packet to counsel so it can be handled in the later nonprovisional or PCT/national phase strategy.</w:t>
      </w:r>
    </w:p>
    <w:p>
      <w:pPr>
        <w:pStyle w:val="Heading2"/>
      </w:pPr>
      <w:r>
        <w:t>Inventorship And AI-Assisted Work</w:t>
      </w:r>
    </w:p>
    <w:p>
      <w:r>
        <w:t>Name only human inventors who contributed to conception of the claimed invention. AI tools may assist drafting, coding, or experimentation, but counsel should identify the human contributors who conceived the technical screening workflow, uncertainty-gating logic, chemical-domain gating, scoring/decision rules, and any experimental embodiments.</w:t>
      </w:r>
    </w:p>
    <w:p>
      <w:r>
        <w:t>Keep a dated record of:</w:t>
      </w:r>
    </w:p>
    <w:p>
      <w:pPr>
        <w:pStyle w:val="ListBullet"/>
      </w:pPr>
      <w:r>
        <w:t>who conceived each feature;</w:t>
      </w:r>
    </w:p>
    <w:p>
      <w:pPr>
        <w:pStyle w:val="ListBullet"/>
      </w:pPr>
      <w:r>
        <w:t>when the feature was first implemented;</w:t>
      </w:r>
    </w:p>
    <w:p>
      <w:pPr>
        <w:pStyle w:val="ListBullet"/>
      </w:pPr>
      <w:r>
        <w:t>who selected the technical problem and claim direction;</w:t>
      </w:r>
    </w:p>
    <w:p>
      <w:pPr>
        <w:pStyle w:val="ListBullet"/>
      </w:pPr>
      <w:r>
        <w:t>who contributed data, experimental design, or candidate chemistry;</w:t>
      </w:r>
    </w:p>
    <w:p>
      <w:pPr>
        <w:pStyle w:val="ListBullet"/>
      </w:pPr>
      <w:r>
        <w:t>whether any employer, university, sponsor, or contractor has rights.</w:t>
      </w:r>
    </w:p>
    <w:p>
      <w:pPr>
        <w:pStyle w:val="Heading2"/>
      </w:pPr>
      <w:r>
        <w:t>Public Disclosure Risk</w:t>
      </w:r>
    </w:p>
    <w:p>
      <w:r>
        <w:t>The U.S. has limited inventor-originated grace-period protections, but foreign rights can be lost by public disclosure before filing. Treat the draft specification, claims, figures, evidence tables, candidate lists, and code as confidential until counsel confirms the filing plan.</w:t>
      </w:r>
    </w:p>
    <w:p>
      <w:pPr>
        <w:pStyle w:val="Heading2"/>
      </w:pPr>
      <w:r>
        <w:t>Filing Questions For Counsel</w:t>
      </w:r>
    </w:p>
    <w:p>
      <w:pPr>
        <w:pStyle w:val="ListNumber"/>
      </w:pPr>
      <w:r>
        <w:t>Provisional now, then PCT/nonprovisional within 12 months?</w:t>
      </w:r>
    </w:p>
    <w:p>
      <w:pPr>
        <w:pStyle w:val="ListNumber"/>
      </w:pPr>
      <w:r>
        <w:t>Should claims include LIMS/test apparatus integration?</w:t>
      </w:r>
    </w:p>
    <w:p>
      <w:pPr>
        <w:pStyle w:val="ListNumber"/>
      </w:pPr>
      <w:r>
        <w:t>Should code be included as appendix or kept as supporting material only?</w:t>
      </w:r>
    </w:p>
    <w:p>
      <w:pPr>
        <w:pStyle w:val="ListNumber"/>
      </w:pPr>
      <w:r>
        <w:t>Should candidate solvents be kept as trade secret until wet-lab validation?</w:t>
      </w:r>
    </w:p>
    <w:p>
      <w:pPr>
        <w:pStyle w:val="ListNumber"/>
      </w:pPr>
      <w:r>
        <w:t>Should we file before sending any paper, poster, GitHub repo, investor deck, or email with enabling details?</w:t>
      </w:r>
    </w:p>
    <w:p>
      <w:pPr>
        <w:pStyle w:val="ListNumber"/>
      </w:pPr>
      <w:r>
        <w:t>Should a PCT application be filed within 12 months of a U.S. provisional to preserve Saudi and other foreign options?</w:t>
      </w:r>
    </w:p>
    <w:p>
      <w:r>
        <w:br w:type="page"/>
      </w:r>
    </w:p>
    <w:p>
      <w:pPr>
        <w:pStyle w:val="Heading1"/>
      </w:pPr>
      <w:r>
        <w:t>Saudi Filing Checklist</w:t>
      </w:r>
    </w:p>
    <w:p>
      <w:r>
        <w:t>Status: attorney-review draft, not legal advice. Saudi filing should be handled by a Saudi patent agent/attorney.</w:t>
      </w:r>
    </w:p>
    <w:p>
      <w:pPr>
        <w:pStyle w:val="Heading2"/>
      </w:pPr>
      <w:r>
        <w:t>Saudi Patentability Frame</w:t>
      </w:r>
    </w:p>
    <w:p>
      <w:r>
        <w:t>Frame the invention as a computer-implemented industrial process for screening CO2 capture solvents, not as a mathematical method. Saudi patent law provides for patents on inventions that are new, involve an innovative step, and are industrially applicable. The invention may be a product, industrial process, or related to either. Saudi law excludes discoveries, scientific theories, mathematical methods, pure mental/business rules, and certain biological/medical method categories.</w:t>
      </w:r>
    </w:p>
    <w:p>
      <w:pPr>
        <w:pStyle w:val="Heading2"/>
      </w:pPr>
      <w:r>
        <w:t>Required Filing Materials For Attorney</w:t>
      </w:r>
    </w:p>
    <w:p>
      <w:pPr>
        <w:pStyle w:val="ListBullet"/>
      </w:pPr>
      <w:r>
        <w:t>patent application form;</w:t>
      </w:r>
    </w:p>
    <w:p>
      <w:pPr>
        <w:pStyle w:val="ListBullet"/>
      </w:pPr>
      <w:r>
        <w:t>applicant name, capacity, address, place of residence/work;</w:t>
      </w:r>
    </w:p>
    <w:p>
      <w:pPr>
        <w:pStyle w:val="ListBullet"/>
      </w:pPr>
      <w:r>
        <w:t>inventor name and address;</w:t>
      </w:r>
    </w:p>
    <w:p>
      <w:pPr>
        <w:pStyle w:val="ListBullet"/>
      </w:pPr>
      <w:r>
        <w:t>agent name and address if applicable;</w:t>
      </w:r>
    </w:p>
    <w:p>
      <w:pPr>
        <w:pStyle w:val="ListBullet"/>
      </w:pPr>
      <w:r>
        <w:t>priority and disclosure information;</w:t>
      </w:r>
    </w:p>
    <w:p>
      <w:pPr>
        <w:pStyle w:val="ListBullet"/>
      </w:pPr>
      <w:r>
        <w:t>specification;</w:t>
      </w:r>
    </w:p>
    <w:p>
      <w:pPr>
        <w:pStyle w:val="ListBullet"/>
      </w:pPr>
      <w:r>
        <w:t>claims;</w:t>
      </w:r>
    </w:p>
    <w:p>
      <w:pPr>
        <w:pStyle w:val="ListBullet"/>
      </w:pPr>
      <w:r>
        <w:t>abstract;</w:t>
      </w:r>
    </w:p>
    <w:p>
      <w:pPr>
        <w:pStyle w:val="ListBullet"/>
      </w:pPr>
      <w:r>
        <w:t>drawings if needed;</w:t>
      </w:r>
    </w:p>
    <w:p>
      <w:pPr>
        <w:pStyle w:val="ListBullet"/>
      </w:pPr>
      <w:r>
        <w:t>assignment document if applicant is not the inventor;</w:t>
      </w:r>
    </w:p>
    <w:p>
      <w:pPr>
        <w:pStyle w:val="ListBullet"/>
      </w:pPr>
      <w:r>
        <w:t>power of attorney for Saudi agent;</w:t>
      </w:r>
    </w:p>
    <w:p>
      <w:pPr>
        <w:pStyle w:val="ListBullet"/>
      </w:pPr>
      <w:r>
        <w:t>filing fee;</w:t>
      </w:r>
    </w:p>
    <w:p>
      <w:pPr>
        <w:pStyle w:val="ListBullet"/>
      </w:pPr>
      <w:r>
        <w:t>priority document and translation if claiming priority;</w:t>
      </w:r>
    </w:p>
    <w:p>
      <w:pPr>
        <w:pStyle w:val="ListBullet"/>
      </w:pPr>
      <w:r>
        <w:t>Arabic translation plan.</w:t>
      </w:r>
    </w:p>
    <w:p>
      <w:pPr>
        <w:pStyle w:val="Heading2"/>
      </w:pPr>
      <w:r>
        <w:t>Specification Format</w:t>
      </w:r>
    </w:p>
    <w:p>
      <w:r>
        <w:t>Saudi implementing regulations state that the specification includes, in order:</w:t>
      </w:r>
    </w:p>
    <w:p>
      <w:pPr>
        <w:pStyle w:val="ListNumber"/>
      </w:pPr>
      <w:r>
        <w:t>Abstract;</w:t>
      </w:r>
    </w:p>
    <w:p>
      <w:pPr>
        <w:pStyle w:val="ListNumber"/>
      </w:pPr>
      <w:r>
        <w:t>Full Description;</w:t>
      </w:r>
    </w:p>
    <w:p>
      <w:pPr>
        <w:pStyle w:val="ListNumber"/>
      </w:pPr>
      <w:r>
        <w:t>Claims;</w:t>
      </w:r>
    </w:p>
    <w:p>
      <w:pPr>
        <w:pStyle w:val="ListNumber"/>
      </w:pPr>
      <w:r>
        <w:t>Drawings.</w:t>
      </w:r>
    </w:p>
    <w:p>
      <w:r>
        <w:t>The full description should include:</w:t>
      </w:r>
    </w:p>
    <w:p>
      <w:pPr>
        <w:pStyle w:val="ListNumber"/>
      </w:pPr>
      <w:r>
        <w:t>Background of the Invention;</w:t>
      </w:r>
    </w:p>
    <w:p>
      <w:pPr>
        <w:pStyle w:val="ListNumber"/>
      </w:pPr>
      <w:r>
        <w:t>General Description of the Invention;</w:t>
      </w:r>
    </w:p>
    <w:p>
      <w:pPr>
        <w:pStyle w:val="ListNumber"/>
      </w:pPr>
      <w:r>
        <w:t>Brief Explanation of the Drawings;</w:t>
      </w:r>
    </w:p>
    <w:p>
      <w:pPr>
        <w:pStyle w:val="ListNumber"/>
      </w:pPr>
      <w:r>
        <w:t>Detailed Description.</w:t>
      </w:r>
    </w:p>
    <w:p>
      <w:r>
        <w:t>For this invention, the Saudi draft should emphasize:</w:t>
      </w:r>
    </w:p>
    <w:p>
      <w:pPr>
        <w:pStyle w:val="ListBullet"/>
      </w:pPr>
      <w:r>
        <w:t>technical field: CO2 capture solvent screening;</w:t>
      </w:r>
    </w:p>
    <w:p>
      <w:pPr>
        <w:pStyle w:val="ListBullet"/>
      </w:pPr>
      <w:r>
        <w:t>technical problem: unsupported ML recommendations for new chemistry;</w:t>
      </w:r>
    </w:p>
    <w:p>
      <w:pPr>
        <w:pStyle w:val="ListBullet"/>
      </w:pPr>
      <w:r>
        <w:t>industrial use: carbon capture process development and solvent testing;</w:t>
      </w:r>
    </w:p>
    <w:p>
      <w:pPr>
        <w:pStyle w:val="ListBullet"/>
      </w:pPr>
      <w:r>
        <w:t>technical effect: calibrated abstention and reason-coded experimental triage;</w:t>
      </w:r>
    </w:p>
    <w:p>
      <w:pPr>
        <w:pStyle w:val="ListBullet"/>
      </w:pPr>
      <w:r>
        <w:t>best implementation: local Python workflow and evidence suite;</w:t>
      </w:r>
    </w:p>
    <w:p>
      <w:pPr>
        <w:pStyle w:val="ListBullet"/>
      </w:pPr>
      <w:r>
        <w:t>examples: public-data results and candidate decisions.</w:t>
      </w:r>
    </w:p>
    <w:p>
      <w:pPr>
        <w:pStyle w:val="Heading2"/>
      </w:pPr>
      <w:r>
        <w:t>Arabic / Translation Notes</w:t>
      </w:r>
    </w:p>
    <w:p>
      <w:r>
        <w:t>The Saudi package will need Arabic handling. Scientific terms should be used consistently. Chemical names, formulas, SMILES, and IUPAC terms may require careful bilingual treatment. Counsel should decide whether to file Arabic first or file with a permitted translation path.</w:t>
      </w:r>
    </w:p>
    <w:p>
      <w:pPr>
        <w:pStyle w:val="Heading2"/>
      </w:pPr>
      <w:r>
        <w:t>Non-Resident Applicant</w:t>
      </w:r>
    </w:p>
    <w:p>
      <w:r>
        <w:t>If the applicant resides outside Saudi Arabia, a Saudi authorized agent is required. A power of attorney may need approval/certification depending on applicant location and counsel practice.</w:t>
      </w:r>
    </w:p>
    <w:p>
      <w:pPr>
        <w:pStyle w:val="Heading2"/>
      </w:pPr>
      <w:r>
        <w:t>Disclosure And Priority</w:t>
      </w:r>
    </w:p>
    <w:p>
      <w:r>
        <w:t>Before filing, collect all disclosure history:</w:t>
      </w:r>
    </w:p>
    <w:p>
      <w:pPr>
        <w:pStyle w:val="ListBullet"/>
      </w:pPr>
      <w:r>
        <w:t>publications;</w:t>
      </w:r>
    </w:p>
    <w:p>
      <w:pPr>
        <w:pStyle w:val="ListBullet"/>
      </w:pPr>
      <w:r>
        <w:t>preprints;</w:t>
      </w:r>
    </w:p>
    <w:p>
      <w:pPr>
        <w:pStyle w:val="ListBullet"/>
      </w:pPr>
      <w:r>
        <w:t>conference abstracts;</w:t>
      </w:r>
    </w:p>
    <w:p>
      <w:pPr>
        <w:pStyle w:val="ListBullet"/>
      </w:pPr>
      <w:r>
        <w:t>posters;</w:t>
      </w:r>
    </w:p>
    <w:p>
      <w:pPr>
        <w:pStyle w:val="ListBullet"/>
      </w:pPr>
      <w:r>
        <w:t>thesis deposits;</w:t>
      </w:r>
    </w:p>
    <w:p>
      <w:pPr>
        <w:pStyle w:val="ListBullet"/>
      </w:pPr>
      <w:r>
        <w:t>GitHub or public code;</w:t>
      </w:r>
    </w:p>
    <w:p>
      <w:pPr>
        <w:pStyle w:val="ListBullet"/>
      </w:pPr>
      <w:r>
        <w:t>demos;</w:t>
      </w:r>
    </w:p>
    <w:p>
      <w:pPr>
        <w:pStyle w:val="ListBullet"/>
      </w:pPr>
      <w:r>
        <w:t>investor/customer decks;</w:t>
      </w:r>
    </w:p>
    <w:p>
      <w:pPr>
        <w:pStyle w:val="ListBullet"/>
      </w:pPr>
      <w:r>
        <w:t>grant applications that became public;</w:t>
      </w:r>
    </w:p>
    <w:p>
      <w:pPr>
        <w:pStyle w:val="ListBullet"/>
      </w:pPr>
      <w:r>
        <w:t>emails to non-confidential recipients.</w:t>
      </w:r>
    </w:p>
    <w:p>
      <w:r>
        <w:t>Saudi prior art is broad and public disclosure can be damaging. Do not publish, present, or send enabling details outside confidentiality before counsel confirms the filing sequence.</w:t>
      </w:r>
    </w:p>
    <w:p>
      <w:pPr>
        <w:pStyle w:val="Heading2"/>
      </w:pPr>
      <w:r>
        <w:t>Filing Route Options</w:t>
      </w:r>
    </w:p>
    <w:p>
      <w:pPr>
        <w:pStyle w:val="ListNumber"/>
      </w:pPr>
      <w:r>
        <w:t>U.S. provisional first, then PCT or Saudi/foreign filings within priority deadlines.</w:t>
      </w:r>
    </w:p>
    <w:p>
      <w:pPr>
        <w:pStyle w:val="ListNumber"/>
      </w:pPr>
      <w:r>
        <w:t>Direct Saudi filing if Saudi rights are urgent.</w:t>
      </w:r>
    </w:p>
    <w:p>
      <w:pPr>
        <w:pStyle w:val="ListNumber"/>
      </w:pPr>
      <w:r>
        <w:t>PCT route designating Saudi Arabia, then Saudi national phase.</w:t>
      </w:r>
    </w:p>
    <w:p>
      <w:r>
        <w:t>Counsel should decide the route after reviewing budget, target markets, public disclosure risk, ownership, and whether rapid Saudi filing is commercially important.</w:t>
      </w:r>
    </w:p>
    <w:p>
      <w:r>
        <w:br w:type="page"/>
      </w:r>
    </w:p>
    <w:p>
      <w:pPr>
        <w:pStyle w:val="Heading1"/>
      </w:pPr>
      <w:r>
        <w:t>Emails To Send</w:t>
      </w:r>
    </w:p>
    <w:p>
      <w:r>
        <w:t>Status: draft. Replace bracketed fields.</w:t>
      </w:r>
    </w:p>
    <w:p>
      <w:pPr>
        <w:pStyle w:val="Heading2"/>
      </w:pPr>
      <w:r>
        <w:t>Email To Patent Attorney</w:t>
      </w:r>
    </w:p>
    <w:p>
      <w:r>
        <w:t>Subject: Patent filing review request - confidence-gated ML screening for CO2 capture solvents</w:t>
      </w:r>
    </w:p>
    <w:p>
      <w:r>
        <w:t>Dear [Attorney Name],</w:t>
      </w:r>
    </w:p>
    <w:p>
      <w:r>
        <w:t>I would like your help reviewing and filing a patent application for a computer-implemented chemical screening invention.</w:t>
      </w:r>
    </w:p>
    <w:p>
      <w:r>
        <w:t>Working title: Confidence-Gated Machine-Learning System for Screening CO2 Capture Solvents.</w:t>
      </w:r>
    </w:p>
    <w:p>
      <w:r>
        <w:t>The invention is a local/offline ML workflow that screens candidate CO2 capture solvents by combining chemically held-out validation, calibrated prediction intervals, applicability-domain checks, and decision labels that can suppress unsupported recommendations and route candidates to additional experimental data generation.</w:t>
      </w:r>
    </w:p>
    <w:p>
      <w:r>
        <w:t>I have prepared an attorney-review package with:</w:t>
      </w:r>
    </w:p>
    <w:p>
      <w:pPr>
        <w:pStyle w:val="ListBullet"/>
      </w:pPr>
      <w:r>
        <w:t>draft specification;</w:t>
      </w:r>
    </w:p>
    <w:p>
      <w:pPr>
        <w:pStyle w:val="ListBullet"/>
      </w:pPr>
      <w:r>
        <w:t>draft claims;</w:t>
      </w:r>
    </w:p>
    <w:p>
      <w:pPr>
        <w:pStyle w:val="ListBullet"/>
      </w:pPr>
      <w:r>
        <w:t>drawing descriptions;</w:t>
      </w:r>
    </w:p>
    <w:p>
      <w:pPr>
        <w:pStyle w:val="ListBullet"/>
      </w:pPr>
      <w:r>
        <w:t>prior-art and IDS candidate list;</w:t>
      </w:r>
    </w:p>
    <w:p>
      <w:pPr>
        <w:pStyle w:val="ListBullet"/>
      </w:pPr>
      <w:r>
        <w:t>U.S. filing checklist;</w:t>
      </w:r>
    </w:p>
    <w:p>
      <w:pPr>
        <w:pStyle w:val="ListBullet"/>
      </w:pPr>
      <w:r>
        <w:t>Saudi filing checklist;</w:t>
      </w:r>
    </w:p>
    <w:p>
      <w:pPr>
        <w:pStyle w:val="ListBullet"/>
      </w:pPr>
      <w:r>
        <w:t>reproducible local evidence from public datasets.</w:t>
      </w:r>
    </w:p>
    <w:p>
      <w:r>
        <w:t>The main evidence currently shows that random row splits greatly overstate accuracy compared with solvent-held-out or ion-family-held-out evaluations. The proposed claim focus is not generic ML prediction, but a confidence-gated decision workflow for CO2 capture solvent screening.</w:t>
      </w:r>
    </w:p>
    <w:p>
      <w:r>
        <w:t>Please review:</w:t>
      </w:r>
    </w:p>
    <w:p>
      <w:pPr>
        <w:pStyle w:val="ListNumber"/>
      </w:pPr>
      <w:r>
        <w:t>whether we should file a U.S. provisional immediately;</w:t>
      </w:r>
    </w:p>
    <w:p>
      <w:pPr>
        <w:pStyle w:val="ListNumber"/>
      </w:pPr>
      <w:r>
        <w:t>whether to pursue Saudi filing directly or through PCT/Paris route;</w:t>
      </w:r>
    </w:p>
    <w:p>
      <w:pPr>
        <w:pStyle w:val="ListNumber"/>
      </w:pPr>
      <w:r>
        <w:t>whether the claims are framed correctly for U.S. software eligibility and Saudi exclusions for mathematical methods;</w:t>
      </w:r>
    </w:p>
    <w:p>
      <w:pPr>
        <w:pStyle w:val="ListNumber"/>
      </w:pPr>
      <w:r>
        <w:t>whether the prior-art list should be submitted in an IDS;</w:t>
      </w:r>
    </w:p>
    <w:p>
      <w:pPr>
        <w:pStyle w:val="ListNumber"/>
      </w:pPr>
      <w:r>
        <w:t>what additional inventor, ownership, assignment, or disclosure-history facts you need.</w:t>
      </w:r>
    </w:p>
    <w:p>
      <w:r>
        <w:t>I can provide the full folder, source code, evidence outputs, and disclosure history.</w:t>
      </w:r>
    </w:p>
    <w:p>
      <w:r>
        <w:t>Best regards,</w:t>
      </w:r>
    </w:p>
    <w:p>
      <w:r>
        <w:t>[Your Name]</w:t>
      </w:r>
    </w:p>
    <w:p>
      <w:pPr>
        <w:pStyle w:val="Heading2"/>
      </w:pPr>
      <w:r>
        <w:t>Email To University / Company IP Office</w:t>
      </w:r>
    </w:p>
    <w:p>
      <w:r>
        <w:t>Subject: Invention disclosure - ML screening system for CO2 capture solvents</w:t>
      </w:r>
    </w:p>
    <w:p>
      <w:r>
        <w:t>Dear [IP Office / Contact Name],</w:t>
      </w:r>
    </w:p>
    <w:p>
      <w:r>
        <w:t>I would like to submit an invention disclosure for review.</w:t>
      </w:r>
    </w:p>
    <w:p>
      <w:r>
        <w:t>Working title: Confidence-Gated Machine-Learning System for Screening CO2 Capture Solvents.</w:t>
      </w:r>
    </w:p>
    <w:p>
      <w:r>
        <w:t>Brief summary:</w:t>
      </w:r>
    </w:p>
    <w:p>
      <w:r>
        <w:t>The invention is a local/offline computer-implemented workflow that screens candidate CO2 capture solvents. It trains and validates models using chemically held-out splits, calibrates prediction intervals, detects out-of-domain chemistry and operating conditions, and outputs reason-coded decision labels such as test, watch, reject, or needs data. The system is designed to prevent unsupported high point predictions from being treated as positive recommendations.</w:t>
      </w:r>
    </w:p>
    <w:p>
      <w:r>
        <w:t>I have prepared:</w:t>
      </w:r>
    </w:p>
    <w:p>
      <w:pPr>
        <w:pStyle w:val="ListBullet"/>
      </w:pPr>
      <w:r>
        <w:t>a draft invention disclosure/specification;</w:t>
      </w:r>
    </w:p>
    <w:p>
      <w:pPr>
        <w:pStyle w:val="ListBullet"/>
      </w:pPr>
      <w:r>
        <w:t>preliminary claim set;</w:t>
      </w:r>
    </w:p>
    <w:p>
      <w:pPr>
        <w:pStyle w:val="ListBullet"/>
      </w:pPr>
      <w:r>
        <w:t>prior-art list;</w:t>
      </w:r>
    </w:p>
    <w:p>
      <w:pPr>
        <w:pStyle w:val="ListBullet"/>
      </w:pPr>
      <w:r>
        <w:t>reproducible public-data evidence;</w:t>
      </w:r>
    </w:p>
    <w:p>
      <w:pPr>
        <w:pStyle w:val="ListBullet"/>
      </w:pPr>
      <w:r>
        <w:t>source code for the local workflow.</w:t>
      </w:r>
    </w:p>
    <w:p>
      <w:r>
        <w:t>Please advise on ownership, inventor listing, disclosure restrictions, and whether the office wants to proceed with a patent filing before any public disclosure.</w:t>
      </w:r>
    </w:p>
    <w:p>
      <w:r>
        <w:t>Best regards,</w:t>
      </w:r>
    </w:p>
    <w:p>
      <w:r>
        <w:t>[Your Name]</w:t>
      </w:r>
    </w:p>
    <w:p>
      <w:pPr>
        <w:pStyle w:val="Heading2"/>
      </w:pPr>
      <w:r>
        <w:t>Short Follow-Up Email</w:t>
      </w:r>
    </w:p>
    <w:p>
      <w:r>
        <w:t>Subject: Follow-up on CO2 solvent ML patent package</w:t>
      </w:r>
    </w:p>
    <w:p>
      <w:r>
        <w:t>Dear [Name],</w:t>
      </w:r>
    </w:p>
    <w:p>
      <w:r>
        <w:t>Following up on the patent review request for the confidence-gated ML screening system for CO2 capture solvents. The package includes draft claims, specification, prior-art list, and reproducible evidence. I would like to avoid any public disclosure until we confirm the filing plan.</w:t>
      </w:r>
    </w:p>
    <w:p>
      <w:r>
        <w:t>Best regards,</w:t>
      </w:r>
    </w:p>
    <w:p>
      <w:r>
        <w:t>[Your Name]</w:t>
      </w:r>
    </w:p>
    <w:p>
      <w:r>
        <w:br w:type="page"/>
      </w:r>
    </w:p>
    <w:p>
      <w:pPr>
        <w:pStyle w:val="Heading1"/>
      </w:pPr>
      <w:r>
        <w:t>Inventor Facts Needed Before Filing</w:t>
      </w:r>
    </w:p>
    <w:p>
      <w:r>
        <w:t>Status: required intake checklist.</w:t>
      </w:r>
    </w:p>
    <w:p>
      <w:pPr>
        <w:pStyle w:val="Heading2"/>
      </w:pPr>
      <w:r>
        <w:t>Inventor And Ownership</w:t>
      </w:r>
    </w:p>
    <w:p>
      <w:pPr>
        <w:pStyle w:val="ListBullet"/>
      </w:pPr>
      <w:r>
        <w:t>Legal name of each inventor.</w:t>
      </w:r>
    </w:p>
    <w:p>
      <w:pPr>
        <w:pStyle w:val="ListBullet"/>
      </w:pPr>
      <w:r>
        <w:t>Citizenship/residence of each inventor.</w:t>
      </w:r>
    </w:p>
    <w:p>
      <w:pPr>
        <w:pStyle w:val="ListBullet"/>
      </w:pPr>
      <w:r>
        <w:t>Mailing address of each inventor.</w:t>
      </w:r>
    </w:p>
    <w:p>
      <w:pPr>
        <w:pStyle w:val="ListBullet"/>
      </w:pPr>
      <w:r>
        <w:t>Who contributed to the inventive concept, not just coding or routine testing.</w:t>
      </w:r>
    </w:p>
    <w:p>
      <w:pPr>
        <w:pStyle w:val="ListBullet"/>
      </w:pPr>
      <w:r>
        <w:t>Employer, university, or sponsor at the time of invention.</w:t>
      </w:r>
    </w:p>
    <w:p>
      <w:pPr>
        <w:pStyle w:val="ListBullet"/>
      </w:pPr>
      <w:r>
        <w:t>Employment agreements, IP assignment agreements, consulting agreements, contractor agreements.</w:t>
      </w:r>
    </w:p>
    <w:p>
      <w:pPr>
        <w:pStyle w:val="ListBullet"/>
      </w:pPr>
      <w:r>
        <w:t>Any government, university, or grant funding.</w:t>
      </w:r>
    </w:p>
    <w:p>
      <w:pPr>
        <w:pStyle w:val="ListBullet"/>
      </w:pPr>
      <w:r>
        <w:t>Whether any collaborator contributed data, code, model design, candidate chemistry, or experimental design.</w:t>
      </w:r>
    </w:p>
    <w:p>
      <w:pPr>
        <w:pStyle w:val="Heading2"/>
      </w:pPr>
      <w:r>
        <w:t>Disclosure History</w:t>
      </w:r>
    </w:p>
    <w:p>
      <w:r>
        <w:t>For each disclosure, provide date, recipient/audience, confidentiality status, and copy:</w:t>
      </w:r>
    </w:p>
    <w:p>
      <w:pPr>
        <w:pStyle w:val="ListBullet"/>
      </w:pPr>
      <w:r>
        <w:t>papers or preprints;</w:t>
      </w:r>
    </w:p>
    <w:p>
      <w:pPr>
        <w:pStyle w:val="ListBullet"/>
      </w:pPr>
      <w:r>
        <w:t>posters or talks;</w:t>
      </w:r>
    </w:p>
    <w:p>
      <w:pPr>
        <w:pStyle w:val="ListBullet"/>
      </w:pPr>
      <w:r>
        <w:t>thesis submissions;</w:t>
      </w:r>
    </w:p>
    <w:p>
      <w:pPr>
        <w:pStyle w:val="ListBullet"/>
      </w:pPr>
      <w:r>
        <w:t>GitHub/public repositories;</w:t>
      </w:r>
    </w:p>
    <w:p>
      <w:pPr>
        <w:pStyle w:val="ListBullet"/>
      </w:pPr>
      <w:r>
        <w:t>social media or blog posts;</w:t>
      </w:r>
    </w:p>
    <w:p>
      <w:pPr>
        <w:pStyle w:val="ListBullet"/>
      </w:pPr>
      <w:r>
        <w:t>grant applications or public abstracts;</w:t>
      </w:r>
    </w:p>
    <w:p>
      <w:pPr>
        <w:pStyle w:val="ListBullet"/>
      </w:pPr>
      <w:r>
        <w:t>investor decks;</w:t>
      </w:r>
    </w:p>
    <w:p>
      <w:pPr>
        <w:pStyle w:val="ListBullet"/>
      </w:pPr>
      <w:r>
        <w:t>customer demos;</w:t>
      </w:r>
    </w:p>
    <w:p>
      <w:pPr>
        <w:pStyle w:val="ListBullet"/>
      </w:pPr>
      <w:r>
        <w:t>emails to non-confidential recipients;</w:t>
      </w:r>
    </w:p>
    <w:p>
      <w:pPr>
        <w:pStyle w:val="ListBullet"/>
      </w:pPr>
      <w:r>
        <w:t>uploaded datasets or model files.</w:t>
      </w:r>
    </w:p>
    <w:p>
      <w:pPr>
        <w:pStyle w:val="Heading2"/>
      </w:pPr>
      <w:r>
        <w:t>Technical Facts</w:t>
      </w:r>
    </w:p>
    <w:p>
      <w:pPr>
        <w:pStyle w:val="ListBullet"/>
      </w:pPr>
      <w:r>
        <w:t>Exact first date the core idea was conceived.</w:t>
      </w:r>
    </w:p>
    <w:p>
      <w:pPr>
        <w:pStyle w:val="ListBullet"/>
      </w:pPr>
      <w:r>
        <w:t>Exact first date a working implementation existed.</w:t>
      </w:r>
    </w:p>
    <w:p>
      <w:pPr>
        <w:pStyle w:val="ListBullet"/>
      </w:pPr>
      <w:r>
        <w:t>Who wrote each major part of the code.</w:t>
      </w:r>
    </w:p>
    <w:p>
      <w:pPr>
        <w:pStyle w:val="ListBullet"/>
      </w:pPr>
      <w:r>
        <w:t>Which datasets were used.</w:t>
      </w:r>
    </w:p>
    <w:p>
      <w:pPr>
        <w:pStyle w:val="ListBullet"/>
      </w:pPr>
      <w:r>
        <w:t>Which candidate solvents are confidential.</w:t>
      </w:r>
    </w:p>
    <w:p>
      <w:pPr>
        <w:pStyle w:val="ListBullet"/>
      </w:pPr>
      <w:r>
        <w:t>Any wet-lab experiments already performed.</w:t>
      </w:r>
    </w:p>
    <w:p>
      <w:pPr>
        <w:pStyle w:val="ListBullet"/>
      </w:pPr>
      <w:r>
        <w:t>Any planned experiments.</w:t>
      </w:r>
    </w:p>
    <w:p>
      <w:pPr>
        <w:pStyle w:val="ListBullet"/>
      </w:pPr>
      <w:r>
        <w:t>Whether the system has been used to select real candidates.</w:t>
      </w:r>
    </w:p>
    <w:p>
      <w:pPr>
        <w:pStyle w:val="ListBullet"/>
      </w:pPr>
      <w:r>
        <w:t>Whether any output has commercial or confidential value.</w:t>
      </w:r>
    </w:p>
    <w:p>
      <w:pPr>
        <w:pStyle w:val="Heading2"/>
      </w:pPr>
      <w:r>
        <w:t>Filing Decisions Needed</w:t>
      </w:r>
    </w:p>
    <w:p>
      <w:pPr>
        <w:pStyle w:val="ListBullet"/>
      </w:pPr>
      <w:r>
        <w:t>Applicant name: individual, company, university, or joint.</w:t>
      </w:r>
    </w:p>
    <w:p>
      <w:pPr>
        <w:pStyle w:val="ListBullet"/>
      </w:pPr>
      <w:r>
        <w:t>First filing jurisdiction.</w:t>
      </w:r>
    </w:p>
    <w:p>
      <w:pPr>
        <w:pStyle w:val="ListBullet"/>
      </w:pPr>
      <w:r>
        <w:t>Budget for U.S. provisional, PCT, Saudi national, and later national phases.</w:t>
      </w:r>
    </w:p>
    <w:p>
      <w:pPr>
        <w:pStyle w:val="ListBullet"/>
      </w:pPr>
      <w:r>
        <w:t>Whether Saudi Arabia is a primary market.</w:t>
      </w:r>
    </w:p>
    <w:p>
      <w:pPr>
        <w:pStyle w:val="ListBullet"/>
      </w:pPr>
      <w:r>
        <w:t>Whether the code should be published, kept confidential, or partially disclosed.</w:t>
      </w:r>
    </w:p>
    <w:p>
      <w:pPr>
        <w:pStyle w:val="ListBullet"/>
      </w:pPr>
      <w:r>
        <w:t>Whether candidate solvent compositions should be patented separately after lab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