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 xmlns:a="http://schemas.openxmlformats.org/drawingml/2006/main">
        <mc:AlternateContent>
          <mc:Choice Requires="wps">
            <w:drawing>
              <wp:anchor distT="0" distB="0" distL="114300" distR="11430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600000" cy="720000"/>
                <wp:effectExtent l="0" t="0" r="0" b="0"/>
                <wp:wrapSquare wrapText="bothSides"/>
                <wp:docPr id="501" name="Tekstni okvir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0" cy="72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Title"/>
                            </w:pPr>
                            <w:r>
                              <w:t>Studij geodezije i geomatike u Varaždinu</w:t>
                            </w:r>
                          </w:p>
                          <w:p>
                            <w:r>
                              <w:t>Seminarski rad iz kolegija Osnove geoinformatike, napisan u tekstnom okviru.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kvir501" type="#_x0000_t202" style="width:283pt;height:57pt">
                <v:textbox>
                  <w:txbxContent>
                    <w:p>
                      <w:pPr>
                        <w:pStyle w:val="Title"/>
                      </w:pPr>
                      <w:r>
                        <w:t>Studij geodezije i geomatike u Varaždinu</w:t>
                      </w:r>
                    </w:p>
                    <w:p>
                      <w:r>
                        <w:t>Seminarski rad iz kolegija Osnove geoinformatike, napisan u tekstnom okviru.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