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r xmlns:a="http://schemas.openxmlformats.org/drawingml/2006/main">
        <mc:AlternateContent>
          <mc:Choice Requires="wps">
            <w:drawing>
              <wp:anchor distT="0" distB="0" distL="114300" distR="114300" simplePos="0" relativeHeight="1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600000" cy="720000"/>
                <wp:effectExtent l="0" t="0" r="0" b="0"/>
                <wp:wrapSquare wrapText="bothSides"/>
                <wp:docPr id="501" name="Tekstni okvir 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0000" cy="72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Heading1"/>
                            </w:pPr>
                            <w:r>
                              <w:t>Zaključak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Okvir501" type="#_x0000_t202" style="width:283pt;height:57pt">
                <v:textbox>
                  <w:txbxContent>
                    <w:p>
                      <w:pPr>
                        <w:pStyle w:val="Heading1"/>
                      </w:pPr>
                      <w:r>
                        <w:t>Zaključak</w:t>
                      </w:r>
                    </w:p>
                  </w:txbxContent>
                </v:textbox>
              </v:shape>
            </w:pict>
          </mc:Fallback>
        </mc:AlternateConten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