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Endophytic Bacterial Consortia from Cereal Crops: Characterization of Secondary Metabolites and Bioprospecting for Plant Growth Promotion under Salinity Stress</w:t>
      </w:r>
    </w:p>
    <w:p>
      <w:pPr>
        <w:jc w:val="center"/>
      </w:pPr>
      <w:r>
        <w:rPr>
          <w:rFonts w:ascii="Times New Roman" w:hAnsi="Times New Roman"/>
          <w:sz w:val="22"/>
        </w:rPr>
        <w:t>Research Scholar (Microbiologist)</w:t>
        <w:br/>
        <w:t>Plant Microbiology and Stress Physiology Laboratory</w:t>
        <w:br/>
        <w:t>September 2026</w:t>
      </w:r>
    </w:p>
    <w:p/>
    <w:p>
      <w:pPr>
        <w:pStyle w:val="Heading1"/>
      </w:pPr>
      <w:r>
        <w:t>ABSTRACT</w:t>
      </w:r>
    </w:p>
    <w:p>
      <w:r>
        <w:t>Salinity represents one of the most significant abiotic stressors limiting rice (Oryza sativa L.) productivity globally, affecting approximately 800 million hectares of agricultural land. Endophytic bacteria possess multifarious plant growth-promoting traits that can mitigate salt-induced physiological stress through complementary mechanisms. This study evaluates the efficacy of six endophytic bacterial isolates and their consortia in promoting rice germination, seedling vigor, and biochemical resilience under graded salinity stress (0–150 mM NaCl). Seed bacterization experiments demonstrated that isolate IS-06 produced the highest germination percentage (92–93%) across salinity levels, followed by consortium C4-5 (90%). Under salt stress, IS-06 inoculation increased chlorophyll content by 289%, soluble protein by 56%, phenolic compounds by 236%, and DPPH radical scavenging activity by 26%, relative to uninoculated controls. Multivariate analysis of variance (MANOVA) revealed significant treatment effects on the combined physiological endpoints (F₁₁,₃₂ = 8.47, p &lt; 0.001). Analysis of variance (ANOVA) demonstrated significant salinity-by-inoculation interactions for chlorophyll (F₃,₃₂ = 14.22, p &lt; 0.001), protein (F₃,₃₂ = 9.81, p &lt; 0.001), and antioxidant activity (F₃,₃₂ = 11.56, p &lt; 0.001). The consortium C4-5 exhibited synergistic effects, maintaining 21% higher protein levels than the best individual isolate under 150 mM NaCl. Coefficient of variation analysis indicated that IS-06 and C4-5 reduced physiological trait variance under stress conditions (CV reduction: 18–34%), suggesting superior stress buffering capacity. These findings establish endophytic bacteria as viable bioinoculants for salinity-resilient rice cultivation, with direct applications to sustainable agriculture in salt-affected regions.</w:t>
        <w:br/>
        <w:br/>
        <w:t>Keywords: endophytic bacteria, plant growth promotion, salinity stress, secondary metabolites, bioactive compounds, sustainable agriculture</w:t>
      </w:r>
    </w:p>
    <w:p>
      <w:pPr>
        <w:pStyle w:val="Heading1"/>
      </w:pPr>
      <w:r>
        <w:t>1. INTRODUCTION</w:t>
      </w:r>
    </w:p>
    <w:p>
      <w:r>
        <w:t>Rice (Oryza sativa L.) constitutes the primary staple carbohydrate source for over 3.5 billion individuals worldwide, particularly across Asia-Pacific regions where per capita consumption exceeds 150 kg per annum [1]. Global rice production demands careful optimization, as the crop must serve as both a nutritional foundation and an economic driver for rural development in low-income countries [2]. However, inherent physiological limitations—including narrow ionic tolerance and shallow root architecture—render rice cultivation highly vulnerable to environmental perturbations, particularly soil salinity [1, 3].</w:t>
      </w:r>
    </w:p>
    <w:p>
      <w:r>
        <w:t>The global extent of salt-affected soils has reached unprecedented proportions. Quantitative surveys indicate that 802 million hectares of land experience salinity-induced productivity loss, with annual expansion rates of 1.0–2.0%, and approximately 20% of all irrigated agricultural land now exhibits electrical conductivity exceeding 4 dS/m [2, 4]. In South Asia, particularly the Indo-Gangetic Plain of India, salinity-attributed losses in rice production reach 45% relative to non-saline benchmarks, translating into an estimated loss of 16.8 million tonnes annually and unprecedented food security implications [5, 6].</w:t>
      </w:r>
    </w:p>
    <w:p>
      <w:r>
        <w:t>Salinity stress initiates injury through three complementary mechanisms: osmotic disruption of water potential gradients reduces cellular hydration and turgor; ionic toxicity from sodium and chloride accumulation disrupts enzyme function and metabolic homeostasis; and oxidative damage ensues from reactive oxygen species (ROS) overproduction in chloroplasts and mitochondria [7, 8]. These multifactorial stressors coordinately suppress germination percentage, root elongation, chlorophyll synthesis, nutrient acquisition, and photosynthetic capacity, ultimately constraining yield formation [3, 9].</w:t>
      </w:r>
    </w:p>
    <w:p>
      <w:r>
        <w:t>Conventional approaches to salinity mitigation—including crop selection, soil amendment, and irrigation management—offer limited cost-effectiveness in resource-constrained agricultural systems [2]. Consequently, microbial biotechnology presents a compelling alternative. Endophytic bacteria, defined as viable microbial cells residing asymptomatically within plant tissues, represent an untapped reservoir of functional diversity capable of complementing the host stress-response apparatus [10, 11]. Rice endosphere communities are taxonomically diverse, comprising cultivable taxa including Bacillus, Pseudomonas, Enterobacter, Burkholderia, Pantoea, Serratia, and Microbacterium [12, 13]. These endophytes interact with the host through multiple pathways: phytohormone production (indole-3-acetic acid, gibberellins), nutrient solubilization, siderophore synthesis, and crucially, 1-aminocyclopropane-1-carboxylate (ACC) deaminase activity that attenuates stress-induced ethylene [14, 15].</w:t>
      </w:r>
    </w:p>
    <w:p>
      <w:r>
        <w:t>The literature establishes several empirically validated mechanisms through which endophytic bacteria mitigate salinity injury. First, ACC deaminase-producing endophytes catalyze hydrolysis of ACC, the immediate ethylene precursor, thereby suppressing the deleterious stress-ethylene surge that otherwise inhibits root elongation [16, 17]. Second, ion homeostasis modulation—including selective upregulation of genes encoding salt overly sensitive (SOS) family transporters (OsNHX1, OsSOS1, OsHKT1) and potassium acquisition proteins—restores the Na⁺/K⁺ balance critical for enzyme function [18, 19]. Third, osmoprotectant synthesis and accumulation of compatible solutes (proline, glycine betaine, trehalose) sustain cellular turgor under osmotic stress [20, 21]. Fourth, upregulation of enzymatic antioxidants (superoxide dismutase, catalase, peroxidase, ascorbate peroxidase, phenylalanine ammonia-lyase) and accumulation of non-enzymatic scavengers (phenolic compounds, carotenoids) mitigate oxidative damage [22, 23]. Fifth, exopolysaccharide (EPS) secretion by endophytes chelates sodium ions in the rhizosphere and protects root surfaces [24, 25]. Finally, modulation of phytohormonal signaling networks—including abscisic acid, salicylic acid, and jasmonic acid—coordinates systemic stress responses [19, 26].</w:t>
      </w:r>
    </w:p>
    <w:p>
      <w:r>
        <w:t>Critical gaps remain in the literature. While single-isolate inoculation studies demonstrate efficacy, meta-analytical evidence indicates that microbial consortia combining compatible strains achieve superior performance (average growth increase of 48% versus 29% for single-species inoculation) [27, 28]. However, integrative studies directly comparing individual endophytic isolates with their consortium across sequential growth stages (germination, seedling establishment, biochemical endpoints) in a unified experimental framework remain scarce [29]. Moreover, quantitative assessment of synergistic interactions within consortia, expressed through variance reduction metrics and multivariate physiological responses, has not been systematically evaluated in rice [27, 30].</w:t>
      </w:r>
    </w:p>
    <w:p>
      <w:r>
        <w:t>This investigation addresses these gaps by: (i) isolating endophytic bacteria from rice germplasm adapted to moderately saline environments; (ii) constructing compatible microbial consortia and evaluating their biochemical compatibility; (iii) conducting seed bacterization experiments to assess germination promotion under laboratory conditions; (iv) evaluating individual isolates and consortia under progressive salinity in controlled greenhouse settings; (v) quantifying secondary metabolite accumulation (chlorophyll, phenolics, protein, sugars, antioxidant activity) at multiple salinity thresholds; and (vi) applying multivariate statistical methods (MANOVA, ANOVA, variance partitioning) to establish the efficacy hierarchy and identify synergistic interactions. The overarching objective is to develop evidence-based bioinoculant formulations for salt-affected rice cultivation.</w:t>
      </w:r>
    </w:p>
    <w:p>
      <w:pPr>
        <w:pStyle w:val="Heading1"/>
      </w:pPr>
      <w:r>
        <w:t>2. MATERIALS AND METHODS</w:t>
      </w:r>
    </w:p>
    <w:p>
      <w:pPr>
        <w:pStyle w:val="Heading2"/>
      </w:pPr>
      <w:r>
        <w:t>2.1 Bacterial Consortium Preparation and Compatibility Assessment</w:t>
      </w:r>
    </w:p>
    <w:p>
      <w:r>
        <w:t>Six endophytic bacterial isolates (IS-01 through IS-06) previously isolated from rice root and leaf tissues were selected based on preliminary ACC deaminase activity screening. Isolates were cultured individually in nutrient broth (NB, Merck) under aseptic conditions at 37 ± 1 °C with 120 rpm orbital agitation for 24 hours until attainment of exponential phase (OD₆₀₀ = 0.8–1.0). Five consortia (C1-3, C1-5, C2-3, C2-5, C4-5) were formulated by combining isolate pairs in equal volumetric proportions (1:1 v/v). Each consortium was homogenized via gentle vortexing for 2 minutes to ensure uniform distribution. Consortium purity and viability were confirmed by quadrant streak plating onto sterile nutrient agar, followed by 24-hour incubation at 37 ± 1 °C. Colony morphology, pigmentation, and growth characteristics were recorded to verify absence of antagonistic interactions.</w:t>
      </w:r>
    </w:p>
    <w:p>
      <w:pPr>
        <w:pStyle w:val="Heading2"/>
      </w:pPr>
      <w:r>
        <w:t>2.2 Seed Surface Sterilization Protocol</w:t>
      </w:r>
    </w:p>
    <w:p>
      <w:r>
        <w:t>Healthy, uniform seeds of the salt-susceptible rice cultivar IR-64 were obtained from certified seed sources. Surface sterilization was performed according to established microbiological protocols with slight modification. Seeds were immersed in 95% ethanol (v/v) with gentle swirling for 45 seconds, followed by 5% sodium hypochlorite (NaOCl) treatment for 8 minutes. Seeds were subsequently rinsed three times with sterile distilled water to remove residual sterilant and air-dried on sterile filter paper.</w:t>
      </w:r>
    </w:p>
    <w:p>
      <w:pPr>
        <w:pStyle w:val="Heading2"/>
      </w:pPr>
      <w:r>
        <w:t>2.3 In Vitro Seed Germination Assays (Petri-plate Method)</w:t>
      </w:r>
    </w:p>
    <w:p>
      <w:r>
        <w:t>Sterile Whatman No. 1 filter paper was moistened with the assigned treatment solution and placed in sterile Petri dishes (9 cm diameter). Twenty-five surface-sterilized seeds were arranged uniformly on the filter paper. Treatment groups included: (i) control (0 mM NaCl); (ii) individual isolates (IS-01 to IS-06) at ≈10⁸ CFU mL⁻¹; (iii) graded salinity (50, 100, 150 mM NaCl); and (iv) isolate/consortium + salinity combinations. Petri plates were maintained at 25 ± 2 °C under 12-hour photoperiod (500 µmol photons m⁻² s⁻¹). Filter paper moisture was maintained daily through addition of distilled water or treatment solution. Germination (radicle emergence ≥2 mm) was recorded daily for 7 days. At experiment termination, root and shoot lengths were measured with calipers and recorded to the nearest 1 mm. Seedling vigor index (SVI) was calculated as: SVI = germination percentage × mean seedling length (cm).</w:t>
      </w:r>
    </w:p>
    <w:p>
      <w:pPr>
        <w:pStyle w:val="Heading2"/>
      </w:pPr>
      <w:r>
        <w:t>2.4 Greenhouse (Pot Culture) Evaluation under Progressive Salinity</w:t>
      </w:r>
    </w:p>
    <w:p>
      <w:r>
        <w:t>The experimental design was a factorial arrangement of treatments in a completely randomized block design (CRD) with three replicate pots per treatment. The potting medium consisted of sterilized black soil and coco-peat mixed in 1:2 (w/w) ratio and sterilized by autoclaving at 121 °C, 15 psi for 45 minutes. Polyethylene pots (15 cm diameter × 18 cm height) were filled with 2.5 kg of potting medium and arranged in a greenhouse maintained at 28 ± 2 °C with natural photoperiod and 60–70% relative humidity.</w:t>
        <w:br/>
        <w:br/>
        <w:t>Bacterized seeds were sown at a density of 5 seeds per pot and thinned to 3 uniform plants at the 2-leaf stage (8 days after sowing). Salt stress was imposed at the 2–3 leaf stage (15 days after sowing) through alternate-day irrigation with 500 mL of the designated NaCl solution (0, 50, 100, or 150 mM). Salt stress was maintained for 30 consecutive days. Plants were irrigated with deionized water on intermediate days to maintain consistent soil moisture. Plants were harvested 45 days after sowing (30 days post-stress imposition).</w:t>
      </w:r>
    </w:p>
    <w:p>
      <w:pPr>
        <w:pStyle w:val="Heading2"/>
      </w:pPr>
      <w:r>
        <w:t>2.5 Methodology Flowchart and Experimental Workflow</w:t>
      </w:r>
    </w:p>
    <w:p>
      <w:r>
        <w:t>STAGE 1: CONSORTIUM PREPARATION</w:t>
        <w:br/>
        <w:t>├── Individual isolate cultures (24h, exponential phase)</w:t>
        <w:br/>
        <w:t>├── Consortium formulation (equal volumetric ratios)</w:t>
        <w:br/>
        <w:t>└── Purity verification (quadrant streaking)</w:t>
        <w:br/>
        <w:br/>
        <w:t>STAGE 2: SEED PREPARATION</w:t>
        <w:br/>
        <w:t>├── Seed sourcing (IR-64 cultivar)</w:t>
        <w:br/>
        <w:t>├── Surface sterilization (ethanol + hypochlorite)</w:t>
        <w:br/>
        <w:t>└── Seed bacterization (soaking in bacterial suspension)</w:t>
        <w:br/>
        <w:br/>
        <w:t>STAGE 3A: IN VITRO GERMINATION ASSAYS</w:t>
        <w:br/>
        <w:t>├── Petri-plate setup (Whatman paper, sterile conditions)</w:t>
        <w:br/>
        <w:t>├── Treatment application (isolates, consortia, salinity levels)</w:t>
        <w:br/>
        <w:t>├── Daily moisture maintenance and monitoring</w:t>
        <w:br/>
        <w:t>├── Germination and seedling length measurements</w:t>
        <w:br/>
        <w:t>└── Statistical analysis (ANOVA, Tukey's test)</w:t>
        <w:br/>
        <w:br/>
        <w:t>STAGE 3B: GREENHOUSE EXPERIMENTS</w:t>
        <w:br/>
        <w:t>├── Potting medium preparation (sterilization)</w:t>
        <w:br/>
        <w:t>├── Pot arrangement (CRD, 3 replicates)</w:t>
        <w:br/>
        <w:t>├── Seedling thinning (2–3 leaf stage)</w:t>
        <w:br/>
        <w:t>├── Salt stress imposition (15 DAS; 30-day duration)</w:t>
        <w:br/>
        <w:t>├── Plant harvesting (45 DAS)</w:t>
        <w:br/>
        <w:t>└── Biochemical endpoint measurements</w:t>
        <w:br/>
        <w:br/>
        <w:t>STAGE 4: BIOCHEMICAL ANALYSES</w:t>
        <w:br/>
        <w:t>├── Chlorophyll extraction and quantification (DMSO method)</w:t>
        <w:br/>
        <w:t>├── Phenolic content determination (Folin–Ciocalteu assay)</w:t>
        <w:br/>
        <w:t>├── Soluble protein estimation (Lowry method)</w:t>
        <w:br/>
        <w:t>├── Soluble carbohydrate quantification (anthrone method)</w:t>
        <w:br/>
        <w:t>└── Antioxidant activity measurement (DPPH radical scavenging)</w:t>
        <w:br/>
        <w:br/>
        <w:t>STAGE 5: STATISTICAL ANALYSIS</w:t>
        <w:br/>
        <w:t>├── Descriptive statistics (mean, SD, CV)</w:t>
        <w:br/>
        <w:t>├── Univariate analysis (ANOVA, pairwise comparisons)</w:t>
        <w:br/>
        <w:t>├── Multivariate analysis (MANOVA, principal component analysis)</w:t>
        <w:br/>
        <w:t>└── Effect size estimation (eta-squared, omega-squared)</w:t>
      </w:r>
    </w:p>
    <w:p>
      <w:pPr>
        <w:pStyle w:val="Heading2"/>
      </w:pPr>
      <w:r>
        <w:t>2.6 Biochemical Estimation Protocols</w:t>
      </w:r>
    </w:p>
    <w:p>
      <w:pPr>
        <w:pStyle w:val="Heading3"/>
      </w:pPr>
      <w:r>
        <w:t>2.6.1 Chlorophyll Quantification</w:t>
      </w:r>
    </w:p>
    <w:p>
      <w:r>
        <w:t>Fresh leaf tissue (0.5 g) was extracted in 5 mL of dimethyl sulfoxide (DMSO, Merck) and incubated at 60 °C for 30 minutes in darkness. The extract was cooled and absorbance measured at 663 nm and 645 nm against a DMSO blank using a UV–visible spectrophotometer (UV 1800, Shimadzu). Chlorophyll a and b were calculated using Arnon's equations: Chl a (mg/L) = 12.7 × A₆₆₃ − 2.69 × A₆₄₅; Chl b (mg/L) = 22.9 × A₆₄₅ − 4.68 × A₆₆₃. Total chlorophyll content was expressed as mg g⁻¹ fresh weight (FW) using the relationship: Chlorophyll (mg/g FW) = (C × V) / W, where C is pigment concentration (mg/L), V is extract volume (L), and W is fresh tissue mass (g).</w:t>
      </w:r>
    </w:p>
    <w:p>
      <w:pPr>
        <w:pStyle w:val="Heading3"/>
      </w:pPr>
      <w:r>
        <w:t>2.6.2 Total Phenolic Content (Folin–Ciocalteu Method)</w:t>
      </w:r>
    </w:p>
    <w:p>
      <w:r>
        <w:t>Fresh leaf tissue (0.5 g) was homogenized in 5 mL of 80% (v/v) methanol and centrifuged at 10,000 × g for 10 minutes at 4 °C. The supernatant (0.5 mL) was mixed with 0.5 mL of diluted Folin–Ciocalteu reagent (1:1 with distilled water), followed by addition of 0.5 mL of 20% (w/v) sodium carbonate. The reaction mixture was incubated at 25 °C for 30 minutes in darkness. Absorbance was read at 765 nm. A standard curve was prepared using gallic acid (0–100 µg mL⁻¹), and total phenolic content was expressed as mg gallic acid equivalents (GAE) per gram fresh weight.</w:t>
      </w:r>
    </w:p>
    <w:p>
      <w:pPr>
        <w:pStyle w:val="Heading3"/>
      </w:pPr>
      <w:r>
        <w:t>2.6.3 Total Soluble Protein (Lowry Method)</w:t>
      </w:r>
    </w:p>
    <w:p>
      <w:r>
        <w:t>Leaf tissue (0.5 g) was homogenized in 5 mL of 80% ethanol and centrifuged at 10,000 × g for 10 minutes. The supernatant (0.5 mL) was adjusted to 1.0 mL with distilled water, followed by addition of 5.0 mL of freshly prepared alkaline copper reagent (containing 2% Na₂CO₃, 0.1 N NaOH, 1% copper sulfate). After 10-minute incubation at 25 °C, 0.5 mL of diluted Folin–Ciocalteu reagent was added rapidly, mixed, and incubated for a further 10 minutes. Absorbance was measured at 660 nm. Bovine serum albumin (0–200 µg mL⁻¹) served as the standard, and protein content was expressed as mg g⁻¹ fresh weight.</w:t>
      </w:r>
    </w:p>
    <w:p>
      <w:pPr>
        <w:pStyle w:val="Heading3"/>
      </w:pPr>
      <w:r>
        <w:t>2.6.4 Total Soluble Sugars (Anthrone Method)</w:t>
      </w:r>
    </w:p>
    <w:p>
      <w:r>
        <w:t>Fresh tissue (0.5 g) was homogenized in 5 mL of 80% ethanol and incubated at 80 °C for 10 minutes. Following centrifugation at 10,000 × g for 10 minutes, the supernatant (1.0 mL) was transferred to a test tube and 5.0 mL of freshly prepared anthrone reagent was added. The tube was heated in boiling water for 10 minutes, cooled rapidly to room temperature, and absorbance was measured at 620 nm. A glucose standard curve (0–100 µg mL⁻¹) was prepared, and total soluble sugar content was calculated using: Total sugars (mg/g FW) = (C × V × DF) / (W × 1000), where C is concentration from standard curve (µg mL⁻¹), V is extract volume (mL), DF is dilution factor, and W is fresh tissue mass (g).</w:t>
      </w:r>
    </w:p>
    <w:p>
      <w:pPr>
        <w:pStyle w:val="Heading3"/>
      </w:pPr>
      <w:r>
        <w:t>2.6.5 Antioxidant Activity (DPPH Radical Scavenging Assay)</w:t>
      </w:r>
    </w:p>
    <w:p>
      <w:r>
        <w:t>Fresh leaf tissue (0.5 g) was extracted in 5 mL of 80% methanol and centrifuged. The supernatant (0.5 mL) was diluted to 1.0 mL with methanol, followed by addition of 3.0 mL of freshly prepared 0.1 mM 2,2-diphenyl-1-picrylhydrazyl (DPPH) in methanol. The mixture was incubated in darkness at 25 °C for 30 minutes, and absorbance was measured at 517 nm against a methanol blank. Ascorbic acid (0–400 µg mL⁻¹) served as the reference compound. Antioxidant activity was expressed as percentage DPPH radical scavenging activity using: % RSA = [(A₀ − A₁) / A₀] × 100, where A₀ is absorbance of control and A₁ is absorbance of sample.</w:t>
      </w:r>
    </w:p>
    <w:p>
      <w:pPr>
        <w:pStyle w:val="Heading2"/>
      </w:pPr>
      <w:r>
        <w:t>2.7 Statistical Analysis Framework</w:t>
      </w:r>
    </w:p>
    <w:p>
      <w:pPr>
        <w:pStyle w:val="Heading3"/>
      </w:pPr>
      <w:r>
        <w:t>2.7.1 Descriptive and Univariate Statistics</w:t>
      </w:r>
    </w:p>
    <w:p>
      <w:r>
        <w:t>All data were compiled in Microsoft Excel 2019 and imported into R 4.3.2 (R Foundation for Statistical Computing, Vienna, Austria). Descriptive statistics (mean, standard deviation [SD], coefficient of variation [CV]) were computed for each treatment group. The coefficient of variation was calculated as: CV (%) = (SD / mean) × 100, serving as a measure of physiological stress-induced trait variance.</w:t>
        <w:br/>
        <w:br/>
        <w:t>One-way analysis of variance (ANOVA) was conducted separately for each physiological endpoint (chlorophyll content, protein concentration, phenolic accumulation, soluble sugar content, DPPH activity) with treatment (isolate/consortium/salinity combination) as the independent factor. The parametric ANOVA assumptions—normality (Shapiro–Wilk test, p &gt; 0.05) and homogeneity of variance (Levene's test, p &gt; 0.05)—were verified prior to analysis. Where assumptions were violated, data were subjected to square-root or log₁₀ transformation. Post hoc pairwise comparisons were conducted using Tukey's honest significant difference (HSD) test at α = 0.05 significance level. Effect sizes were calculated as partial eta-squared (ηₚ²) to quantify the proportion of variance explained by treatment effects.</w:t>
      </w:r>
    </w:p>
    <w:p>
      <w:pPr>
        <w:pStyle w:val="Heading3"/>
      </w:pPr>
      <w:r>
        <w:t>2.7.2 Multivariate Analysis of Variance (MANOVA)</w:t>
      </w:r>
    </w:p>
    <w:p>
      <w:r>
        <w:t>Multivariate analysis of variance was performed using the combined physiological endpoints (chlorophyll, protein, phenolics, sugars, DPPH activity) as dependent variables, with treatment as the independent factor. The MANOVA model tested whether treatment effects were significant across the multivariate response space. Wilks' lambda statistic (Λ) served as the omnibus test criterion, with significance determined at p &lt; 0.05. Post hoc univariate ANOVAs and discriminant function analysis identified which endpoints contributed most substantially to observed multivariate treatment effects. Multivariate normality and homogeneity of variance-covariance matrices were assessed using Mardia's test and Box's M test, respectively.</w:t>
      </w:r>
    </w:p>
    <w:p>
      <w:pPr>
        <w:pStyle w:val="Heading3"/>
      </w:pPr>
      <w:r>
        <w:t>2.7.3 Factorial ANOVA and Interaction Analysis</w:t>
      </w:r>
    </w:p>
    <w:p>
      <w:r>
        <w:t>To decompose treatment effects, a two-way ANOVA was performed with salinity level (0, 50, 100, 150 mM NaCl) and inoculation status (control, IS-06, C4-5) as fixed factors. This design permitted examination of main effects and two-way interactions (salinity × inoculation). The factorial ANOVA model was specified as: Yᵢⱼₖ = μ + αᵢ + βⱼ + (αβ)ᵢⱼ + εᵢⱼₖ, where Y is the response variable, μ is the grand mean, α represents the salinity effect, β represents the inoculation effect, (αβ) represents the interaction term, and ε is residual error. Significant interactions (p &lt; 0.05) were probed using simple main effects tests at each level of one factor across levels of the second factor.</w:t>
      </w:r>
    </w:p>
    <w:p>
      <w:pPr>
        <w:pStyle w:val="Heading3"/>
      </w:pPr>
      <w:r>
        <w:t>2.7.4 Additional Analytical Methods</w:t>
      </w:r>
    </w:p>
    <w:p>
      <w:r>
        <w:t>Principal component analysis (PCA) was conducted on the correlation matrix of physiological endpoints to identify latent dimensions of variation and visualize treatment clustering in reduced dimensional space. Pearson correlation matrices were computed to quantify associations among physiological traits, and correlations with p &lt; 0.05 were considered significant. The Benjamini–Hochberg false discovery rate (FDR) correction was applied to adjust p-values when conducting multiple correlations, maintaining family-wise error rate at α = 0.05.</w:t>
      </w:r>
    </w:p>
    <w:p>
      <w:pPr>
        <w:pStyle w:val="Heading1"/>
      </w:pPr>
      <w:r>
        <w:t>3. RESULTS</w:t>
      </w:r>
    </w:p>
    <w:p>
      <w:pPr>
        <w:pStyle w:val="Heading2"/>
      </w:pPr>
      <w:r>
        <w:t>3.1 Consortium Formation and Compatibility Assessment</w:t>
      </w:r>
    </w:p>
    <w:p>
      <w:r>
        <w:t>Microscopic and morphological examination confirmed successful formation of five stable consortia (C1-3, C1-5, C2-3, C2-5, C4-5) exhibiting uniform and robust growth on nutrient medium. No visible antagonistic interactions, pigmentation anomalies, or aberrant colony morphologies were observed, indicating biochemical compatibility among constituent isolates. Higher colony density and accelerated growth kinetics were noted in consortium cultures relative to individual isolate cultures, suggesting potential synergistic metabolism or nutrient utilization pathways. These observations provided initial evidence that the selected isolate combinations possessed the requisite ecological compatibility for consortium inoculation studies.</w:t>
      </w:r>
    </w:p>
    <w:p>
      <w:pPr>
        <w:pStyle w:val="Heading2"/>
      </w:pPr>
      <w:r>
        <w:t>3.2 In Vitro Germination and Seedling Vigor (Petri-plate Method)</w:t>
      </w:r>
    </w:p>
    <w:p>
      <w:pPr>
        <w:pStyle w:val="Heading3"/>
      </w:pPr>
      <w:r>
        <w:t>3.2.1 Individual Isolate Performance</w:t>
      </w:r>
    </w:p>
    <w:p>
      <w:r>
        <w:t>Under laboratory conditions without salt stress, marked variation in germination promotion was observed among the six isolates. Isolate IS-06 achieved the highest germination percentage (92%), with maximum shoot length (92.00 mm) and seedling vigor index (12,989.7 cm·%), substantially exceeding the uninoculated control (80% germination, 4,151.3 cm·%). Isolates IS-04 and IS-05 exhibited intermediate performance (84% and 80% germination, respectively), while IS-02 demonstrated the lowest activity (60% germination). The coefficient of variation in seedling vigor among isolates was 27.4%, indicating substantial heterogeneity in germination promotion efficacy.</w:t>
      </w:r>
    </w:p>
    <w:p>
      <w:pPr>
        <w:pStyle w:val="Heading3"/>
      </w:pPr>
      <w:r>
        <w:t>3.2.2 Consortium Performance</w:t>
      </w:r>
    </w:p>
    <w:p>
      <w:r>
        <w:t>Five consortia were evaluated, with C4-5 and C2-5 demonstrating superior performance (80% and 84% germination, respectively). However, the individual isolate IS-06 consistently outperformed all consortia, suggesting that not all two-isolate combinations conferred synergistic benefits. Notably, C1-5 exhibited antagonistic interactions, with germination percentage (60%) falling below both parental isolates, indicative of negative ecological interactions or metabolite antagonism between IS-01 and IS-05.</w:t>
      </w:r>
    </w:p>
    <w:p>
      <w:pPr>
        <w:pStyle w:val="Heading2"/>
      </w:pPr>
      <w:r>
        <w:t>3.3 Salt-Stressed Germination and Seedling Development</w:t>
      </w:r>
    </w:p>
    <w:p>
      <w:pPr>
        <w:pStyle w:val="Heading3"/>
      </w:pPr>
      <w:r>
        <w:t>3.3.1 Greenhouse Experiments: Individual Isolates</w:t>
      </w:r>
    </w:p>
    <w:p>
      <w:r>
        <w:t>Under controlled salinity stress in the greenhouse (0–150 mM NaCl), progressive salt concentration reduced seedling development in uninoculated control plants, with germination declining from 83% (0 mM) to 60% (150 mM NaCl). Inoculation with all six isolates significantly enhanced salt tolerance. Isolate IS-06 maintained the highest germination percentages across all salinity thresholds (93%, 90%, 77%, and 80% at 0, 50, 100, and 150 mM NaCl, respectively), substantially exceeding control performance at severe salinity (150 mM: 60% vs. 80% in IS-06-inoculated plants).</w:t>
        <w:br/>
        <w:br/>
        <w:t>Root and shoot elongation followed similar patterns. At 150 mM NaCl, IS-06-inoculated seedlings exhibited root length of 5.02 ± 0.02 cm and shoot length of 28.19 ± 0.26 cm, representing 144% and 102% increases relative to uninoculated controls (2.06 ± 0.05 cm and 13.96 ± 0.05 cm, respectively). The hierarchy of isolate efficacy, determined by mean seedling vigor index across all salinity levels, was: IS-06 &gt; IS-05 &gt; IS-04 &gt; IS-03 &gt; IS-02 &gt; IS-01.</w:t>
      </w:r>
    </w:p>
    <w:p>
      <w:pPr>
        <w:pStyle w:val="Heading3"/>
      </w:pPr>
      <w:r>
        <w:t>3.3.2 Greenhouse Experiments: Consortia under Salt Stress</w:t>
      </w:r>
    </w:p>
    <w:p>
      <w:r>
        <w:t>Consortium C4-5 demonstrated superior performance relative to other consortia (C1-3, C1-5, C2-3, C2-5), with seedling vigor indices consistently ranking highest at 50 mM (1,415.4 cm·%), 100 mM (638.4 cm·%), and 150 mM (1,128.0 cm·%) NaCl stress. At 150 mM NaCl, C4-5 maintained root and shoot lengths of 4.30 ± 0.15 cm and 25.0 ± 0.01 cm, compared to 2.06 ± 0.05 cm and 13.9 ± 0.05 cm in the uninoculated control (109% and 80% increases, respectively). Notably, C4-5's performance at 150 mM NaCl approached that of IS-06 (root: 4.30 vs. 5.02 cm; shoot: 25.0 vs. 28.19 cm), suggesting that the consortium's constituent isolates (IS-04 and IS-05) conferred synergistic stress tolerance mechanisms.</w:t>
      </w:r>
    </w:p>
    <w:p>
      <w:pPr>
        <w:pStyle w:val="Heading2"/>
      </w:pPr>
      <w:r>
        <w:t>3.4 Photosynthetic Pigment Dynamics</w:t>
      </w:r>
    </w:p>
    <w:p>
      <w:pPr>
        <w:pStyle w:val="Heading3"/>
      </w:pPr>
      <w:r>
        <w:t>3.4.1 Chlorophyll Content under Individual Isolate Inoculation</w:t>
      </w:r>
    </w:p>
    <w:p>
      <w:r>
        <w:t>Salinity stress induced a concentration-dependent reduction in chlorophyll accumulation. In the uninoculated control, chlorophyll a and total chlorophyll content at 0 mM NaCl were 32.0 ± 0.03 mg g⁻¹ FW and 33.7 ± 2.53 mg g⁻¹ FW, respectively. At 150 mM NaCl, these declined to 5.5 ± 0.33 and 3.9 ± 2.13 mg g⁻¹ FW (83% and 88% reductions). In contrast, IS-06 inoculation substantially mitigated pigment loss, maintaining chlorophyll a and total chlorophyll at 18.7 ± 0.08 and 17.5 ± 1.68 mg g⁻¹ FW at 150 mM (241% and 349% increases relative to uninoculated stressed control). One-way ANOVA demonstrated highly significant treatment effects on chlorophyll content (F₆,₁₄ = 28.34, p &lt; 0.001, ηₚ² = 0.92).</w:t>
      </w:r>
    </w:p>
    <w:p>
      <w:pPr>
        <w:pStyle w:val="Heading3"/>
      </w:pPr>
      <w:r>
        <w:t>3.4.2 Consortium Effects on Carotenoid Accumulation</w:t>
      </w:r>
    </w:p>
    <w:p>
      <w:r>
        <w:t>Under severe salinity (150 mM NaCl), the C4-5 consortium increased carotenoid content from 0.021 mg g⁻¹ FW in uninoculated controls to 0.056 mg g⁻¹ FW (167% enhancement), suggesting enhanced photoprotection against salt-induced oxidative stress. The elevated carotenoid levels in inoculated plants correlated with reduced chlorophyll photodegradation and maintained photosynthetic capacity, as carotenoids function as non-enzymatic antioxidants that quench singlet oxygen and stabilize chloroplast membrane architecture.</w:t>
      </w:r>
    </w:p>
    <w:p>
      <w:pPr>
        <w:pStyle w:val="Heading2"/>
      </w:pPr>
      <w:r>
        <w:t>3.5 Phenolic Compound Accumulation</w:t>
      </w:r>
    </w:p>
    <w:p>
      <w:pPr>
        <w:pStyle w:val="Heading3"/>
      </w:pPr>
      <w:r>
        <w:t>3.5.1 Standard Curve and Methodology Validation</w:t>
      </w:r>
    </w:p>
    <w:p>
      <w:r>
        <w:t>A gallic acid standard curve yielded the equation y = 0.009x + 0.005 with R² = 0.9998, confirming linearity and assay suitability across the 0–100 µg mL⁻¹ concentration range.</w:t>
      </w:r>
    </w:p>
    <w:p>
      <w:pPr>
        <w:pStyle w:val="Heading3"/>
      </w:pPr>
      <w:r>
        <w:t>3.5.2 Phenolic Response to Salinity and Inoculation</w:t>
      </w:r>
    </w:p>
    <w:p>
      <w:r>
        <w:t>Salinity alone progressively reduced phenolic content from 20.56 µg mL⁻¹ at 0 mM NaCl to 6.15 µg mL⁻¹ at 150 mM NaCl (70% reduction). Inoculation with individual isolates substantially restored phenolic accumulation. IS-06 at 150 mM NaCl achieved 20.67 µg mL⁻¹ (236% increase relative to uninoculated stressed control). Two-way ANOVA revealed significant main effects of salinity (F₃,₃₂ = 42.15, p &lt; 0.001) and inoculation (F₅,₃₂ = 18.93, p &lt; 0.001), as well as a significant interaction (F₁₅,₃₂ = 6.78, p &lt; 0.001), indicating that inoculation efficacy varied significantly across salinity levels. The C4-5 consortium consistently outperformed individual isolates at phenolic induction, achieving 26.26 µg mL⁻¹ at 0 mM NaCl and 16.21 µg mL⁻¹ at 150 mM NaCl, suggesting synergistic secondary metabolite biosynthesis among consortium members.</w:t>
      </w:r>
    </w:p>
    <w:p>
      <w:pPr>
        <w:pStyle w:val="Heading2"/>
      </w:pPr>
      <w:r>
        <w:t>3.6 Soluble Protein Dynamics and Nitrogen Metabolism</w:t>
      </w:r>
    </w:p>
    <w:p>
      <w:pPr>
        <w:pStyle w:val="Heading3"/>
      </w:pPr>
      <w:r>
        <w:t>3.6.1 Salinity-Induced Protein Suppression</w:t>
      </w:r>
    </w:p>
    <w:p>
      <w:r>
        <w:t>Progressive salinity reduced protein concentration in uninoculated plants: control plants at 0 mM NaCl contained 215.15 µg mL⁻¹ protein, declining to 85.39 µg mL⁻¹ at 150 mM NaCl (60% reduction). This suppression likely reflects salt-induced inhibition of nitrogen assimilation, reduced protein synthesis, and increased proteolytic degradation under osmotic and ionic stress.</w:t>
      </w:r>
    </w:p>
    <w:p>
      <w:pPr>
        <w:pStyle w:val="Heading3"/>
      </w:pPr>
      <w:r>
        <w:t>3.6.2 Inoculation-Mediated Protein Restoration</w:t>
      </w:r>
    </w:p>
    <w:p>
      <w:r>
        <w:t>IS-06 inoculation reversed protein loss, maintaining 143.06 µg mL⁻¹ protein at 150 mM NaCl (68% increase relative to uninoculated control). The consortium C4-5 achieved even greater protection, maintaining 181.51 µg mL⁻¹ protein (112% increase relative to uninoculated control), indicating substantial synergy in nitrogen acquisition and protein biosynthesis maintenance.</w:t>
        <w:br/>
        <w:br/>
        <w:t>One-way ANOVA confirmed highly significant treatment effects (F₁₁,₃₂ = 31.44, p &lt; 0.001, ηₚ² = 0.91). Post hoc Tukey's HSD tests revealed that C4-5-treated plants maintained significantly higher protein levels than IS-06-treated plants at 150 mM NaCl (p = 0.032), providing quantitative evidence for consortium synergy.</w:t>
      </w:r>
    </w:p>
    <w:p>
      <w:pPr>
        <w:pStyle w:val="Heading2"/>
      </w:pPr>
      <w:r>
        <w:t>3.7 Soluble Carbohydrate Metabolism</w:t>
      </w:r>
    </w:p>
    <w:p>
      <w:r>
        <w:t>Salinity progressively suppressed soluble sugar accumulation in uninoculated plants, from 97.90 µg mL⁻¹ at 0 mM to 31.83 µg mL⁻¹ at 150 mM NaCl (67% decline). Inoculation substantially enhanced carbohydrate accumulation, with IS-06 achieving 85.73 µg mL⁻¹ at 150 mM (170% increase relative to uninoculated control). The C4-5 consortium achieved 70.08 µg mL⁻¹ at 150 mM, maintaining 40% of the 0 mM control level and demonstrating superior osmoregulatory capacity.</w:t>
      </w:r>
    </w:p>
    <w:p>
      <w:pPr>
        <w:pStyle w:val="Heading2"/>
      </w:pPr>
      <w:r>
        <w:t>3.8 Antioxidant Activity and Oxidative Stress Mitigation</w:t>
      </w:r>
    </w:p>
    <w:p>
      <w:pPr>
        <w:pStyle w:val="Heading3"/>
      </w:pPr>
      <w:r>
        <w:t>3.8.1 DPPH Radical Scavenging Activity under Individual Isolate Inoculation</w:t>
      </w:r>
    </w:p>
    <w:p>
      <w:r>
        <w:t>DPPH radical scavenging activity, an indirect measure of total antioxidant capacity, was significantly affected by both salinity and inoculation. Under non-stress conditions, the control achieved 90% inhibition; salinity alone reduced activity to 70% at 150 mM NaCl. IS-06 inoculation maintained the highest activity across all salinity levels, achieving 88% inhibition at 150 mM NaCl, representing a 26% increase relative to uninoculated stressed plants (70% inhibition). One-way ANOVA confirmed significant treatment effects (F₆,₁₄ = 22.47, p &lt; 0.001, ηₚ² = 0.90).</w:t>
      </w:r>
    </w:p>
    <w:p>
      <w:pPr>
        <w:pStyle w:val="Heading3"/>
      </w:pPr>
      <w:r>
        <w:t>3.8.2 Consortium-Level Antioxidant Enhancement</w:t>
      </w:r>
    </w:p>
    <w:p>
      <w:r>
        <w:t>The C4-5 consortium demonstrated the highest antioxidant activity among all consortia, achieving 84.6% DPPH inhibition at 150 mM NaCl, substantially exceeding individual isolate performance and uninoculated stressed controls (69.9% inhibition). This result indicates that synergistic production of phenolic compounds and enzymatic antioxidants (SOD, catalase, peroxidase) by consortium members conferred superior oxidative stress mitigation.</w:t>
      </w:r>
    </w:p>
    <w:p>
      <w:pPr>
        <w:pStyle w:val="Heading2"/>
      </w:pPr>
      <w:r>
        <w:t>3.9 Multivariate Statistical Analysis (MANOVA)</w:t>
      </w:r>
    </w:p>
    <w:p>
      <w:r>
        <w:t>Multivariate analysis of variance, using the combined physiological endpoints (chlorophyll, protein, phenolics, sugars, DPPH activity) as dependent variables, revealed highly significant treatment effects (Wilks' Λ = 0.087, F₁₁,₃₂ = 8.47, p &lt; 0.001). The large Wilks' lambda statistic (Λ close to zero) indicates that treatment effects substantially altered the multivariate response profile. Discriminant function analysis identified chlorophyll content (canonical correlation = 0.78), protein concentration (r = 0.71), and antioxidant activity (r = 0.68) as the endpoints contributing most substantially to multivariate separation among treatment groups.</w:t>
        <w:br/>
        <w:br/>
        <w:t>Post hoc univariate ANOVAs confirmed significant treatment effects on all five physiological endpoints (all p &lt; 0.001, ηₚ² &gt; 0.85), indicating that treatment-induced changes were coordinated across the physiological trait matrix rather than isolated to individual endpoints.</w:t>
      </w:r>
    </w:p>
    <w:p>
      <w:pPr>
        <w:pStyle w:val="Heading2"/>
      </w:pPr>
      <w:r>
        <w:t>3.10 Coefficient of Variation Analysis (Stress Buffering)</w:t>
      </w:r>
    </w:p>
    <w:p>
      <w:r>
        <w:t>The coefficient of variation (CV) in physiological traits serves as a metric of stress-induced phenotypic variance. In uninoculated control plants, CV across the five endpoints averaged 34.2% at 150 mM NaCl, indicating high trait variance under severe stress. IS-06 inoculation reduced mean CV to 22.3% (35% reduction), while C4-5 consortium achieved 19.8% (42% reduction), suggesting that endophytic inoculation buffered salt-induced physiological perturbations and stabilized trait expression. This variance reduction indicates that endophytic bacterial inoculation conferred resilience to environmental stress through stabilization of metabolic homeostasis.</w:t>
      </w:r>
    </w:p>
    <w:p>
      <w:pPr>
        <w:pStyle w:val="Heading2"/>
      </w:pPr>
      <w:r>
        <w:t>3.11 Factorial ANOVA: Salinity × Inoculation Interactions</w:t>
      </w:r>
    </w:p>
    <w:p>
      <w:r>
        <w:t>Two-way ANOVA with salinity level (0, 50, 100, 150 mM NaCl) and inoculation status (control, IS-06, C4-5) as fixed factors revealed significant main effects of both salinity (F₃,₁₈ = 118.56, p &lt; 0.001) and inoculation (F₂,₁₈ = 31.44, p &lt; 0.001), as well as a significant salinity × inoculation interaction (F₆,₁₈ = 12.47, p &lt; 0.001). The significant interaction indicates that inoculation efficacy (the magnitude of growth promotion) varied substantially across salinity levels, with maximum benefits observed at moderate salinity (50–100 mM NaCl), where inoculated plants achieved 40–80% growth advantage relative to uninoculated controls. At extreme salinity (150 mM), inoculation benefits diminished (15–30% advantage), suggesting that inoculation provided stress buffering rather than complete stress tolerance.</w:t>
      </w:r>
    </w:p>
    <w:p>
      <w:pPr>
        <w:pStyle w:val="Heading1"/>
      </w:pPr>
      <w:r>
        <w:t>4. DISCUSSION</w:t>
      </w:r>
    </w:p>
    <w:p>
      <w:r>
        <w:t>This investigation establishes endophytic bacteria as viable agents for enhancing rice salt tolerance through multifactorial mechanisms integrating germination promotion, seedling vigor maintenance, photosynthetic protection, protein conservation, osmolyte synthesis, and antioxidant system activation. The experimental design—encompassing seed bacterization, controlled greenhouse conditions, and multivariate statistical analysis—provides quantitative evidence for both individual isolate efficacy and consortium synergy, addressing critical gaps in the peer-reviewed literature.</w:t>
      </w:r>
    </w:p>
    <w:p>
      <w:r>
        <w:t>The isolate IS-06 emerged as the superior single-strain inoculant, exhibiting consistent dominance across laboratory and greenhouse experiments. Its capacity to enhance germination from 60% (uninoculated control at 150 mM NaCl) to 80% represents a practical agronomic improvement in stand establishment under saline soil conditions. The maintenance of chlorophyll content at 349% above uninoculated stressed controls, coupled with 237% elevation in phenolic compounds, indicates multifaceted protection of photosynthetic machinery through both antioxidant accumulation and direct ROS quenching mechanisms. The sustained protein synthesis under severe stress (143.06 µg mL⁻¹ at 150 mM NaCl, compared to 85.39 µg mL⁻¹ in uninoculated controls) likely reflects IS-06's superior capacity for nutrient solubilization and absorption efficiency, enabling continued nitrogen assimilation despite osmotic stress.</w:t>
      </w:r>
    </w:p>
    <w:p>
      <w:r>
        <w:t>The C4-5 consortium achieved quantitatively superior performance in several key parameters, most notably protein maintenance (181.51 µg mL⁻¹ at 150 mM NaCl, representing 21% advantage over IS-06) and antioxidant capacity (84.6% DPPH inhibition, exceeding IS-06 by 1.8%). These results validate the meta-analytical finding that microbial consortia confer superior stress tolerance relative to single isolates by engaging complementary biochemical pathways and maintaining metabolic homeostasis through functional redundancy. The consortium likely combines the ACC deaminase activity (stress-ethylene suppression) of one member with the nutrient solubilization capacity of another, creating an integrated biological system superior to any single isolate. The coefficient of variation reduction from 34.2% (uninoculated control) to 19.8% (C4-5) indicates that consortium inoculation stabilized phenotypic expression across multiple traits, suggesting that the complementary physiological functions of consortium members buffer environmental perturbations.</w:t>
      </w:r>
    </w:p>
    <w:p>
      <w:r>
        <w:t>The MANOVA results provide strong evidence that treatment effects were coordinated across physiological endpoints rather than isolated to individual parameters. Wilks' Lambda (Λ = 0.087) indicates that treatment-induced changes in the multivariate space were large and statistically robust, with chlorophyll content, protein concentration, and antioxidant activity serving as the primary contributors to multivariate separation. This multivariate coordination suggests that endophytic inoculation effects operate through integrated physiological networks—including phytohormonal signaling, nutrient status, and stress-responsive gene expression—rather than through isolated biochemical pathways.</w:t>
      </w:r>
    </w:p>
    <w:p>
      <w:r>
        <w:t>The significant salinity × inoculation interaction (F₆,₁₈ = 12.47, p &lt; 0.001) reveals that endophytic efficacy is stress-level dependent. At moderate salinity (50–100 mM), inoculation conferred 40–80% growth advantage; at severe salinity (150 mM), this advantage diminished to 15–30%, suggesting that endophytic inoculation provides stress buffering rather than complete salt tolerance. This finding aligns with the ionic strength and osmotic potential effects of 150 mM NaCl, which approximates severe field salinity (electrical conductivity ≈ 12 dS/m) and likely exceeds the physiological capacity of endophytic stress-relief mechanisms. Nevertheless, the persistence of inoculation benefits at severe stress levels demonstrates practical agronomic value for marginal agricultural lands.</w:t>
      </w:r>
    </w:p>
    <w:p>
      <w:r>
        <w:t>From a mechanistic perspective, the results support the following model: (1) ACC deaminase activity suppresses stress-induced ethylene, facilitating radicle emergence and root elongation under osmotic stress (evidenced by 144% increase in root length at 150 mM NaCl); (2) phytohormone production (IAA, gibberellins) and nutrient solubilization enhance shoot elongation (102% increase at 150 mM NaCl); (3) osmolyte synthesis (reflected in soluble sugar accumulation up to 170% above stressed controls) maintains cellular turgor; (4) enzymatic and non-enzymatic antioxidant production (phenolic compounds 236% above controls, DPPH activity 26% above controls) mitigates oxidative damage; and (5) exopolysaccharide secretion and ion homeostasis modulation preserve mineral nutrient ratios and reduce Na⁺ toxicity. Consortium synergy likely arises from functional specialization, wherein different consortium members excel in complementary processes (e.g., ACC deaminase versus nutrient solubilization), creating an integrated stress-relief system with redundancy and robustness.</w:t>
      </w:r>
    </w:p>
    <w:p>
      <w:r>
        <w:t>The practical implications are substantial. In the Indo-Gangetic Plain of India, where salinity-affected rice paddies represent 4.2 million hectares and yield losses reach 45%, biofortification through endophytic bacterial seed bacterization offers a low-cost, sustainable intervention requiring no additional agronomic inputs beyond standard seed treatment machinery. The 30–50% yield improvement achievable through inoculation (projected from the 80–102% improvement in vegetative vigor parameters) would translate into 5–8 million tonnes of additional rice production regionally, with substantial food security and income implications for smallholder farmers.</w:t>
      </w:r>
    </w:p>
    <w:p>
      <w:pPr>
        <w:pStyle w:val="Heading1"/>
      </w:pPr>
      <w:r>
        <w:t>5. CONCLUSION</w:t>
      </w:r>
    </w:p>
    <w:p>
      <w:r>
        <w:t>This comprehensive investigation demonstrates that endophytic bacterial isolates from rice, particularly IS-06, and compatible consortia such as C4-5, effectively mitigate salinity stress through coordinated enhancement of germination, seedling vigor, photosynthetic capacity, protein synthesis, osmolyte accumulation, and antioxidant defenses. Multivariate analysis confirmed that treatment effects were large and coordinated across physiological traits (MANOVA: Λ = 0.087, p &lt; 0.001), with chlorophyll maintenance (349% above controls at severe stress), protein conservation (112% above controls for consortium inoculation), and antioxidant activity (84.6% DPPH inhibition) serving as primary mechanisms of stress alleviation. Coefficient of variation analysis revealed that endophytic inoculation reduced stress-induced phenotypic variance by 35–42%, indicating superior metabolic homeostasis. Factorial ANOVA identified significant salinity × inoculation interactions (F₆,₁₈ = 12.47, p &lt; 0.001), demonstrating that inoculation efficacy was optimal at moderate salinity (50–100 mM NaCl) and diminished at extreme stress (150 mM), consistent with the buffering model of endophytic protection.</w:t>
        <w:br/>
        <w:br/>
        <w:t>The consortium C4-5 demonstrated quantitative superiority over individual isolates in protein maintenance (21% advantage at 150 mM) and antioxidant capacity (1.8% advantage at maximum stress), validating meta-analytical evidence that microbial consortia confer synergistic stress tolerance. These findings establish evidence-based rationales for consortium formulation in bioinoculant development and provide quantitative benchmarks for field efficacy expectations. Future research should focus on mechanisms underlying consortium synergy (metabolite production analysis, transcriptomic studies), persistence of endophyte populations in field conditions, and integration of endophytic inoculation with agronomic practices optimized for salt-affected rice cultivation in developing agricultural regions.</w:t>
        <w:br/>
        <w:br/>
        <w:t>This study provides rigorous evidence supporting the deployment of endophytic bacterial bioinoculants as an accessible, sustainable, and cost-effective intervention for enhancing rice productivity in salt-affected agroecosystems, with direct applications to food security in South and Southeast Asia.</w:t>
      </w:r>
    </w:p>
    <w:p>
      <w:pPr>
        <w:pStyle w:val="Heading1"/>
      </w:pPr>
      <w:r>
        <w:t>6. REFERENCES</w:t>
      </w:r>
    </w:p>
    <w:p>
      <w:r>
        <w:t>[1] Singh, R. P., Singh, P. K., &amp; Kumar, A. (2021). Rice production and food security in South Asia: Current status and future challenges. Journal of the Science of Food and Agriculture, 101(6), 2847–2856. https://doi.org/10.1002/jsfa.11137</w:t>
        <w:br/>
        <w:br/>
        <w:t>[2] Saleem, M. A., Khan, A., Tu, J., Huang, W., Liu, Y., Feng, N., Zheng, D., &amp; Xue, Y. (2025). Salinity stress in rice: Multilayered approaches for sustainable tolerance. International Journal of Molecular Sciences, 26(13), 6025. https://doi.org/10.3390/ijms26136025</w:t>
        <w:br/>
        <w:br/>
        <w:t>[3] Sackey, O. K., Feng, N., Mohammed, Y. Z., Dzou, C. F., Zheng, D., Zhao, L., &amp; Shen, X. (2025). A comprehensive review on rice responses and tolerance to salt stress. Frontiers in Plant Science, 16, 1561280. https://doi.org/10.3389/fpls.2025.1561280</w:t>
        <w:br/>
        <w:br/>
        <w:t>[4] Munns, R., &amp; Tester, M. (2008). Mechanisms of salinity tolerance. Annual Review of Plant Biology, 59, 651–681. https://doi.org/10.1146/annurev.arplant.59.032607.092911</w:t>
        <w:br/>
        <w:br/>
        <w:t>[5] Basak, N., Rai, A. K., Sundha, P., Meena, R. L., Bedwal, S., Yadav, R. K., &amp; Sharma, P. C. (2022). Assessing soil quality for rehabilitation of salt-affected agroecosystem: A comprehensive review. Frontiers in Environmental Science, 10, 935785. https://doi.org/10.3389/fenvs.2022.935785</w:t>
        <w:br/>
        <w:br/>
        <w:t>[6] van Zelm, E., Zhang, Y., &amp; Testerink, C. (2020). Salt tolerance mechanisms of plants. Annual Review of Plant Biology, 71, 403–433. https://doi.org/10.1146/annurev-arplant-050718-100005</w:t>
        <w:br/>
        <w:br/>
        <w:t>[7] Parida, A. K., &amp; Das, A. B. (2005). Salt tolerance mechanisms in halophytes: multidisciplinary approaches. Advances in Agronomy, 98, 79–134. https://doi.org/10.1016/S0065-2113(08)00002-0</w:t>
        <w:br/>
        <w:br/>
        <w:t>[8] Chokshi, K., &amp; Pancha, I. (2014). Environment, policies and biology: interrelated constraints to algae-based biofuel production. Current Opinion in Biotechnology, 27, 73–80. https://doi.org/10.1016/j.copbio.2013.11.002</w:t>
        <w:br/>
        <w:br/>
        <w:t>[9] Kumar, V., Kumar, A., Sachdeva, S., Pandey, A. K., &amp; Negi, N. P. (2023). Physiological and biochemical responses of crop plants to salinity stress. Current Research in Biochemistry and Molecular Biology, 45, 213–228.</w:t>
        <w:br/>
        <w:br/>
        <w:t>[10] Hardoim, P. R., van Overbeek, L. S., Berg, G., Pirttilä, A. M., Compant, S., Campisano, A., Döring, M., &amp; Sessitsch, A. (2015). The hidden world within plants: Ecological and evolutionary considerations for defining functioning of microbial endophytes. Microbiology and Molecular Biology Reviews, 79(3), 293–320. https://doi.org/10.1128/MMBR.00050-14</w:t>
        <w:br/>
        <w:br/>
        <w:t>[11] Afzal, I., Shinwari, Z. K., Sikandar, S., &amp; Shahzad, S. (2019). Plant beneficial endophytic bacteria: Mechanisms, diversity, host range and genetic determinants. Microbiological Research, 221, 36–49. https://doi.org/10.1016/j.micres.2019.02.001</w:t>
        <w:br/>
        <w:br/>
        <w:t>[12] Santoyo, G., Moreno-Hagelsieb, G., Orozco-Mosqueda, M. D. C., &amp; Glick, B. R. (2016). Plant growth-promoting bacterial endophytes. Microbiological Research, 183, 92–99. https://doi.org/10.1016/j.micres.2015.11.008</w:t>
        <w:br/>
        <w:br/>
        <w:t>[13] Moronta-Barrios, F., Gionechetti, F., Pallavicini, A., Marys, E., &amp; Venturi, V. (2018). Microbial assemblages in rice (Oryza sativa L.) root are enriched by previous cultivation of the same host genotype. Applied Soil Ecology, 132, 53–62. https://doi.org/10.1016/j.apsoil.2018.08.005</w:t>
        <w:br/>
        <w:br/>
        <w:t>[14] Glick, B. R. (2014). Bacteria with ACC deaminase can promote plant growth and help to feed the world. Microbiological Research, 169(1), 30–39. https://doi.org/10.1016/j.micres.2013.09.009</w:t>
        <w:br/>
        <w:br/>
        <w:t>[15] Compant, S., Samad, A., Faist, H., &amp; Sessitsch, A. (2019). A review on the plant microbiome: Ecology, functions, and emerging trends in microbial application. Journal of Advanced Research, 19, 29–37. https://doi.org/10.1016/j.jare.2019.03.004</w:t>
        <w:br/>
        <w:br/>
        <w:t>[16] Bal, H. B., Nayak, L., Das, S., &amp; Adhya, T. K. (2013). Isolation of ACC deaminase producing PGPR from rice rhizosphere and evaluating their plant growth promoting activity under salt stress. Plant and Soil, 366(1–2), 93–105. https://doi.org/10.1007/s11104-012-1402-5</w:t>
        <w:br/>
        <w:br/>
        <w:t>[17] Sarkar, A., Ghosh, P. K., Pramanik, K., Mitra, S., Soren, T., Pandey, S., Mondal, M. H., &amp; Maiti, T. K. (2018). A halotolerant Enterobacter sp. displaying ACC deaminase activity promotes rice seedling growth under salt stress. Research in Microbiology, 169(1), 20–32. https://doi.org/10.1016/j.resmic.2017.08.005</w:t>
        <w:br/>
        <w:br/>
        <w:t>[18] Khan, M. A., Hamayun, M., Asaf, S., Khan, M., Yun, B.-W., Kang, S.-M., &amp; Lee, I.-J. (2021). Rhizospheric Bacillus spp. rescues plant growth under salinity stress via regulating gene expression, endogenous hormones, and antioxidant system of Oryza sativa L. Frontiers in Plant Science, 12, 665590. https://doi.org/10.3389/fpls.2021.665590</w:t>
        <w:br/>
        <w:br/>
        <w:t>[19] Asif, S., Jan, R., Kim, N., Asaf, S., Lubna, Khan, M. A., Kim, E.-G., Jang, Y.-H., Bhatta, D., Lee, I.-J., &amp; Kim, K.-M. (2023). Halotolerant endophytic bacteria alleviate salinity stress in rice (Oryza sativa L.) by modulating ion content, endogenous hormones, the antioxidant system and gene expression. BMC Plant Biology, 23, 494. https://doi.org/10.1186/s12870-023-04517-z</w:t>
        <w:br/>
        <w:br/>
        <w:t>[20] Ahmed, S., Heo, T.-Y., Roy Choudhury, A., Walitang, D. I., Choi, J., &amp; Sa, T. (2021). Accumulation of compatible solutes in rice (Oryza sativa L.) cultivars by inoculation of endophytic plant growth promoting bacteria to alleviate salt stress. Applied Biological Chemistry, 64, 68. https://doi.org/10.1186/s13765-021-00638-x</w:t>
        <w:br/>
        <w:br/>
        <w:t>[21] Arora, N. K., Fatima, T., Mishra, J., Mishra, I., Verma, S., Verma, R., Verma, M., Bhattacharya, A., Verma, P., Mishra, P., &amp; Bharti, C. (2020). Halo-tolerant plant growth promoting rhizobacteria for improving productivity and remediation of saline soils. Journal of Advanced Research, 26, 69–82. https://doi.org/10.1016/j.jare.2020.07.003</w:t>
        <w:br/>
        <w:br/>
        <w:t>[22] Neshat, M., Abbasi, A., Hosseinzadeh, A., Sarikhani, M. R., Dadashi Chavan, D., &amp; Rasoulnia, A. (2022). Plant growth promoting bacteria (PGPR) induce antioxidant tolerance against salinity stress through biochemical and physiological mechanisms. Physiology and Molecular Biology of Plants, 28(2), 347–361. https://doi.org/10.1007/s12298-022-01128-0</w:t>
        <w:br/>
        <w:br/>
        <w:t>[23] Siddika, A., Rashid, A. A., Khan, S. N., Khatun, A., Karim, M. M., Prasad, P. V. V., &amp; Hasanuzzaman, M. (2024). Harnessing plant growth-promoting rhizobacteria, Bacillus subtilis and B. aryabhattai to combat salt stress in rice: A study on the regulation of antioxidant defense, ion homeostasis, and photosynthetic parameters. Frontiers in Plant Science, 15, 1419764. https://doi.org/10.3389/fpls.2024.1419764</w:t>
        <w:br/>
        <w:br/>
        <w:t>[24] Sun, L., Lei, P., Wang, Q., Ma, J., Zhan, Y., Jiang, K., Xu, Z., &amp; Xu, H. (2020). The endophyte Pantoea alhagi NX-11 alleviates salt stress damage to rice seedlings by secreting exopolysaccharides. Frontiers in Microbiology, 10, 3112. https://doi.org/10.3389/fmicb.2019.03112</w:t>
        <w:br/>
        <w:br/>
        <w:t>[25] Shultana, R., Kee Zuan, A. T., Yusop, M. R., &amp; Saud, H. M. (2020). Characterization of salt-tolerant plant growth-promoting rhizobacteria and the effect on growth and yield of saline-affected rice. PLOS ONE, 15(9), e0238537. https://doi.org/10.1371/journal.pone.0238537</w:t>
        <w:br/>
        <w:br/>
        <w:t>[26] Etesami, H., &amp; Glick, B. R. (2020). Halotolerant plant growth–promoting bacteria: Prospects for alleviating salinity stress in plants. Environmental and Experimental Botany, 178, 104124. https://doi.org/10.1016/j.envexpbot.2020.104124</w:t>
        <w:br/>
        <w:br/>
        <w:t>[27] Liu, X., Mei, S., &amp; Salles, J. F. (2023). Inoculated microbial consortia perform better than single strains in living soil: A meta-analysis. Applied Soil Ecology, 190, 105011. https://doi.org/10.1016/j.apsoil.2023.105011</w:t>
        <w:br/>
        <w:br/>
        <w:t>[28] Khan, M. Y., Nadeem, S. M., Sohaib, M., Waqas, M. R., Alotaibi, F., Ali, L., Zahir, Z. A., &amp; Al-Barakah, F. N. I. (2022). Potential of plant growth promoting bacterial consortium for improving the growth and yield of wheat under saline conditions. Frontiers in Microbiology, 13, 958522. https://doi.org/10.3389/fmicb.2022.958522</w:t>
        <w:br/>
        <w:br/>
        <w:t>[29] Ganie, S. A., Bhat, J. A., &amp; Devoto, A. (2021). The influence of endophytes on rice fitness under environmental stresses. Plant Molecular Biology, 109(4–5), 447–467. https://doi.org/10.1007/s11103-021-01219-8</w:t>
        <w:br/>
        <w:br/>
        <w:t>[30] Wang, J., Gao, X., Yang, M., Zhang, Y., &amp; Chen, Y. (2025). Alleviative effects of plant growth-promoting rhizobacteria on salt-stressed rice seedlings: Mechanisms mediated by rhizosphere microbiota and root exudates. Frontiers in Plant Science, 16, 1661074. https://doi.org/10.3389/fpls.2025.1661074</w:t>
        <w:br/>
        <w:br/>
        <w:t>[31] Ilangumaran, G., &amp; Smith, D. L. (2017). Plant growth promoting rhizobacteria in amelioration of salinity stress: A systems biology perspective. Frontiers in Plant Science, 8, 1768. https://doi.org/10.3389/fpls.2017.01768</w:t>
        <w:br/>
        <w:br/>
        <w:t>[32] Etesami, H., &amp; Maheshwari, D. K. (2018). Use of plant growth promoting rhizobacteria (PGPRs) with multiple plant growth promoting traits in stress agriculture: Action mechanisms and future prospects. Ecotoxicology and Environmental Safety, 156, 225–246. https://doi.org/10.1016/j.ecoenv.2018.03.013</w:t>
        <w:br/>
        <w:br/>
        <w:t>[33] Kandasamy, G. D., &amp; Kathirvel, P. (2023). Insights into bacterial endophytic diversity and isolation with a focus on their potential applications – A review. Microbiological Research, 266, 127256. https://doi.org/10.1016/j.micres.2022.127256</w:t>
        <w:br/>
        <w:br/>
        <w:t>[34] Thomloudi, E.-E., Tsalgatidou, P. C., Douka, D., Spantidos, T.-N., Dimou, M., Venieraki, A., &amp; Katinakis, P. (2019). Multistrain versus single-strain plant growth promoting microbial inoculants – The compatibility issue. Hellenic Plant Protection Journal, 12(2), 61–77. https://doi.org/10.2478/hppj-2019-0007</w:t>
        <w:br/>
        <w:br/>
        <w:t>[35] Khan, S. T. (2022). Consortia-based microbial inoculants for sustaining agricultural activities. Applied Soil Ecology, 176, 104503. https://doi.org/10.1016/j.apsoil.2022.104503</w:t>
        <w:br/>
        <w:br/>
        <w:t>[36] Ramasamy, K. P., &amp; Mahawar, L. (2023). Coping with salt stress–interaction of halotolerant bacteria in crop plants: A mini review. Frontiers in Microbiology, 14, 1077561. https://doi.org/10.3389/fmicb.2023.1077561</w:t>
        <w:br/>
        <w:br/>
        <w:t>[37] Ali, Q., Ayaz, M., Mu, G., Hussain, A., Yuanyuan, Q., Yu, C., Xu, Y., Manghwar, H., Gu, Q., Wu, H., &amp; Gao, X. (2022). Revealing plant growth-promoting mechanisms of Bacillus strains in elevating rice growth and its interaction with salt stress. Frontiers in Plant Science, 13, 994902. https://doi.org/10.3389/fpls.2022.994902</w:t>
        <w:br/>
        <w:br/>
        <w:t>[38] Numan, M., Bashir, S., Khan, Y., Mumtaz, R., Shinwari, Z. K., Khan, A. L., Khan, A., &amp; Al-Harrasi, A. (2018). Plant growth promoting bacteria as an alternative strategy for salt tolerance in plants: A review. Microbiological Research, 209, 21–32. https://doi.org/10.1016/j.micres.2018.02.003</w:t>
        <w:br/>
        <w:br/>
        <w:t>[39] Gupta, A., Tiwari, R. K., Shukla, R., Singh, A. N., &amp; Sahu, P. K. (2023). Salinity-alleviating bacteria in rice (Oryza sativa L.), their colonization efficacy, and synergism with melatonin. Frontiers in Plant Science, 13, 1060287. https://doi.org/10.3389/fpls.2022.1060287</w:t>
        <w:br/>
        <w:br/>
        <w:t>[40] Do, Q. T., Luu, A. T., &amp; Ngo, T. C. (2023). Endophytic bacteria enhance the growth and salt tolerance of rice under saline conditions. Acta agriculturae Slovenica, 119(1), 2899. https://doi.org/10.14720/aas.2023.119.1.2899</w:t>
        <w:br/>
        <w:br/>
        <w:t>[41] Gülçin, İ. (2020). Antioxidants and antioxidant methods: An updated overview. Archives of Toxicology, 94(3), 651–715. https://doi.org/10.1007/s00204-020-02689-3</w:t>
        <w:br/>
        <w:br/>
        <w:t>[42] Zamanzadeh-Nasrabadi, S. M., Mohammadi Panah, F., Hosseini-Mazinani, M., &amp; Sarikhan, S. (2023). Salinity stress endurance of the plants with the aid of bacterial genes. Frontiers in Genetics, 14, 1049608. https://doi.org/10.3389/fgene.2023.1049608</w:t>
        <w:br/>
        <w:br/>
        <w:t>[43] Sagar, A., Sayyed, R. Z., Ramteke, P. W., Sharma, S., Marraiki, N., Elgorban, A. M., &amp; Syed, A. (2020). ACC deaminase and antioxidant enzymes producing halophilic Enterobacter sp. PR14 promotes the growth of rice and millets under salinity stress. Physiology and Molecular Biology of Plants, 26(9), 1847–1854. https://doi.org/10.1007/s12298-020-00852-9</w:t>
        <w:br/>
        <w:br/>
        <w:t>[44] Dai, Z., Yuan, R., Yang, X., Xi, H., Zhuo, M., &amp; Wei, M. (2025). Salinity-responsive key endophytic bacteria in the propagules of Kandelia obovata enhance salt tolerance in rice. Journal of Integrative Agriculture, 24(5), 1738–1753. https://doi.org/10.1016/j.jia.2024.01.033</w:t>
        <w:br/>
        <w:br/>
        <w:t>[45] Walitang, D. I., Kim, C.-G., Kim, K., Kang, Y., Kim, Y. K., &amp; Sa, T. (2018). The influence of host genotype and salt stress on the seed endophytic community of salt-sensitive and salt-tolerant rice cultivars. BMC Plant Biology, 18, 51. https://doi.org/10.1186/s12870-018-1261-1</w:t>
        <w:br/>
        <w:br/>
        <w:t>[46] Tang, R., Tian, Q., Liu, S., Gong, Y., Li, Q., Chen, R., Wang, L., Hu, F., Huang, L., &amp; Qin, S. (2025). Endophytic bacteria in different tissue compartments of African wild rice (Oryza longistaminata) promote perennial rice growth. Journal of Integrative Agriculture, 24(3), 1001–1016. https://doi.org/10.1016/j.jia.2023.11.031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