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jc w:val="center"/>
      </w:pPr>
      <w:r>
        <w:rPr>
          <w:rFonts w:ascii="Times New Roman" w:hAnsi="Times New Roman" w:eastAsia="Times New Roman"/>
          <w:b/>
          <w:i w:val="0"/>
          <w:color w:val="000000"/>
          <w:sz w:val="24"/>
        </w:rPr>
        <w:t>Deciphering endophytic bacteria-mediated salinity tolerance in rice (</w:t>
      </w:r>
      <w:r>
        <w:rPr>
          <w:rFonts w:ascii="Times New Roman" w:hAnsi="Times New Roman" w:eastAsia="Times New Roman"/>
          <w:b/>
          <w:i/>
          <w:color w:val="000000"/>
          <w:sz w:val="24"/>
        </w:rPr>
        <w:t>Oryza sativa</w:t>
      </w:r>
      <w:r>
        <w:rPr>
          <w:rFonts w:ascii="Times New Roman" w:hAnsi="Times New Roman" w:eastAsia="Times New Roman"/>
          <w:b/>
          <w:i w:val="0"/>
          <w:color w:val="000000"/>
          <w:sz w:val="24"/>
        </w:rPr>
        <w:t xml:space="preserve"> L. cv. IR-64) through physiological and biochemical responses of single isolates and dual-strain consortia</w:t>
      </w:r>
    </w:p>
    <w:p>
      <w:pPr>
        <w:spacing w:before="0" w:after="120" w:line="360" w:lineRule="auto"/>
        <w:jc w:val="center"/>
      </w:pPr>
      <w:r>
        <w:rPr>
          <w:rFonts w:ascii="Times New Roman" w:hAnsi="Times New Roman" w:eastAsia="Times New Roman"/>
          <w:b w:val="0"/>
          <w:i w:val="0"/>
          <w:color w:val="000000"/>
          <w:sz w:val="24"/>
        </w:rPr>
        <w:t>[Author Name]</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[Co-author / Research Guide Name]</w:t>
      </w:r>
      <w:r>
        <w:rPr>
          <w:rFonts w:ascii="Times New Roman" w:hAnsi="Times New Roman" w:eastAsia="Times New Roman"/>
          <w:b w:val="0"/>
          <w:i w:val="0"/>
          <w:color w:val="000000"/>
          <w:sz w:val="24"/>
          <w:vertAlign w:val="superscript"/>
        </w:rPr>
        <w:t>1</w:t>
      </w:r>
    </w:p>
    <w:p>
      <w:pPr>
        <w:spacing w:before="0" w:after="40" w:line="276" w:lineRule="auto"/>
        <w:jc w:val="center"/>
      </w:pP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[Department], [Institution], [City, PIN], India</w:t>
      </w:r>
    </w:p>
    <w:p>
      <w:pPr>
        <w:spacing w:before="0" w:after="40" w:line="276" w:lineRule="auto"/>
        <w:jc w:val="center"/>
      </w:pPr>
      <w:r>
        <w:rPr>
          <w:rFonts w:ascii="Times New Roman" w:hAnsi="Times New Roman" w:eastAsia="Times New Roman"/>
          <w:b w:val="0"/>
          <w:i w:val="0"/>
          <w:color w:val="000000"/>
          <w:sz w:val="24"/>
          <w:vertAlign w:val="superscript"/>
        </w:rPr>
        <w:t>*</w:t>
      </w:r>
      <w:r>
        <w:rPr>
          <w:rFonts w:ascii="Times New Roman" w:hAnsi="Times New Roman" w:eastAsia="Times New Roman"/>
          <w:b w:val="0"/>
          <w:i w:val="0"/>
          <w:color w:val="000000"/>
          <w:sz w:val="24"/>
        </w:rPr>
        <w:t>Corresponding author: [e-mail address]</w:t>
      </w:r>
    </w:p>
    <w:p>
      <w:pPr>
        <w:keepNext/>
        <w:spacing w:before="240" w:after="120" w:line="360" w:lineRule="auto"/>
        <w:jc w:val="left"/>
      </w:pPr>
      <w:r>
        <w:rPr>
          <w:rFonts w:ascii="Times New Roman" w:hAnsi="Times New Roman" w:eastAsia="Times New Roman"/>
          <w:b/>
          <w:i w:val="0"/>
          <w:color w:val="000000"/>
          <w:sz w:val="24"/>
        </w:rPr>
        <w:t>Abstract</w:t>
      </w:r>
    </w:p>
    <w:p>
      <w:pPr>
        <w:spacing w:before="0" w:after="120" w:line="360" w:lineRule="auto"/>
        <w:ind w:firstLine="567"/>
        <w:jc w:val="both"/>
      </w:pPr>
      <w:r>
        <w:rPr>
          <w:rFonts w:ascii="Times New Roman" w:hAnsi="Times New Roman" w:eastAsia="Times New Roman"/>
          <w:b w:val="0"/>
          <w:i w:val="0"/>
          <w:color w:val="000000"/>
          <w:sz w:val="24"/>
        </w:rPr>
        <w:t xml:space="preserve">Salinity limits rice yields on roughly one billion hectares of salt-affected land, and the seedling stage is where the crop is most exposed. This study tested whether six rice endophytes (IS-01 to IS-06) and five dual-strain consortia assembled from these isolates (C1-3, C1-5, C2-3, C2-5, C4-5) keep seedlings of the salt-susceptible cultivar IR-64 growing and metabolically stable under 0, 50, 100 and 150 mM NaCl. At 150 mM, salinity cut seedling vigour index (SVI) by 57.7%,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by 82.8%, soluble protein by 60.3% and soluble sugars by 67.5%. Inoculation did not change germination significantly (likelihood-ratio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11.61, df = 6,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0.071), but the inoculant × NaCl interaction was significant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0.001) for every continuous growth and biochemical trait except consortium shoot length. At 150 mM, IS-06 raised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by 240%, soluble sugars by 169% and SVI by 142% over the salinity-matched control. Consortium C4-5 (IS-04 + IS-05) kept 80.8% of its unstressed protein, against 39.7% in uninoculated plants, and exceeded both parent strains for protein,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and SVI. A single growth–metabolite axis carried 51.7% of the variance in principal component analysis, and a composite membership index ranked IS-06 (0.647) and C4-5 (0.617) first under severe stress. Three pairings (C1-3, C1-5, C2-3) ranked below both parent strains, so the value of a consortium depended on which strains were combined. IS-06 and C4-5 are the strongest candidates for field evaluation.</w:t>
      </w:r>
    </w:p>
    <w:p>
      <w:pPr>
        <w:spacing w:before="0" w:after="200" w:line="360" w:lineRule="auto"/>
        <w:jc w:val="both"/>
      </w:pPr>
      <w:r>
        <w:rPr>
          <w:rFonts w:ascii="Times New Roman" w:hAnsi="Times New Roman" w:eastAsia="Times New Roman"/>
          <w:b/>
          <w:i w:val="0"/>
          <w:color w:val="000000"/>
          <w:sz w:val="24"/>
        </w:rPr>
        <w:t>Keywords:</w:t>
      </w:r>
      <w:r>
        <w:rPr>
          <w:rFonts w:ascii="Times New Roman" w:hAnsi="Times New Roman" w:eastAsia="Times New Roman"/>
          <w:b w:val="0"/>
          <w:i w:val="0"/>
          <w:color w:val="000000"/>
          <w:sz w:val="24"/>
        </w:rPr>
        <w:t xml:space="preserve"> bacterial endophytes; microbial consortium; seed bacterization; salinity tolerance; osmolytes; photosynthetic pigments; rice</w:t>
      </w:r>
    </w:p>
    <w:p>
      <w:pPr>
        <w:keepNext/>
        <w:spacing w:before="240" w:after="120" w:line="360" w:lineRule="auto"/>
        <w:jc w:val="left"/>
      </w:pPr>
      <w:r>
        <w:rPr>
          <w:rFonts w:ascii="Times New Roman" w:hAnsi="Times New Roman" w:eastAsia="Times New Roman"/>
          <w:b/>
          <w:i w:val="0"/>
          <w:color w:val="000000"/>
          <w:sz w:val="24"/>
        </w:rPr>
        <w:t>Highlights</w:t>
      </w:r>
    </w:p>
    <w:p>
      <w:pPr>
        <w:spacing w:before="0" w:after="60" w:line="360" w:lineRule="auto"/>
        <w:ind w:left="340" w:hanging="340"/>
        <w:jc w:val="both"/>
      </w:pPr>
      <w:r>
        <w:rPr>
          <w:rFonts w:ascii="Times New Roman" w:hAnsi="Times New Roman" w:eastAsia="Times New Roman"/>
          <w:b w:val="0"/>
          <w:i w:val="0"/>
          <w:color w:val="000000"/>
          <w:sz w:val="24"/>
        </w:rPr>
        <w:t>• Six rice endophytes and five dual-strain consortia were screened under 0 to 150 mM NaCl.</w:t>
      </w:r>
    </w:p>
    <w:p>
      <w:pPr>
        <w:spacing w:before="0" w:after="60" w:line="360" w:lineRule="auto"/>
        <w:ind w:left="340" w:hanging="340"/>
        <w:jc w:val="both"/>
      </w:pPr>
      <w:r>
        <w:rPr>
          <w:rFonts w:ascii="Times New Roman" w:hAnsi="Times New Roman" w:eastAsia="Times New Roman"/>
          <w:b w:val="0"/>
          <w:i w:val="0"/>
          <w:color w:val="000000"/>
          <w:sz w:val="24"/>
        </w:rPr>
        <w:t>• Salinity reduced seedling vigour by 57.7% and leaf soluble sugars by 67.5% at 150 mM.</w:t>
      </w:r>
    </w:p>
    <w:p>
      <w:pPr>
        <w:spacing w:before="0" w:after="60" w:line="360" w:lineRule="auto"/>
        <w:ind w:left="340" w:hanging="340"/>
        <w:jc w:val="both"/>
      </w:pPr>
      <w:r>
        <w:rPr>
          <w:rFonts w:ascii="Times New Roman" w:hAnsi="Times New Roman" w:eastAsia="Times New Roman"/>
          <w:b w:val="0"/>
          <w:i w:val="0"/>
          <w:color w:val="000000"/>
          <w:sz w:val="24"/>
        </w:rPr>
        <w:t>• Inoculation did not alter germination significantly but protected growth and leaf metabolites.</w:t>
      </w:r>
    </w:p>
    <w:p>
      <w:pPr>
        <w:spacing w:before="0" w:after="60" w:line="360" w:lineRule="auto"/>
        <w:ind w:left="340" w:hanging="340"/>
        <w:jc w:val="both"/>
      </w:pPr>
      <w:r>
        <w:rPr>
          <w:rFonts w:ascii="Times New Roman" w:hAnsi="Times New Roman" w:eastAsia="Times New Roman"/>
          <w:b w:val="0"/>
          <w:i w:val="0"/>
          <w:color w:val="000000"/>
          <w:sz w:val="24"/>
        </w:rPr>
        <w:t>• Isolate IS-06 and consortium C4-5 ranked highest on a composite resilience index.</w:t>
      </w:r>
    </w:p>
    <w:p>
      <w:pPr>
        <w:spacing w:before="0" w:after="60" w:line="360" w:lineRule="auto"/>
        <w:ind w:left="340" w:hanging="340"/>
        <w:jc w:val="both"/>
      </w:pPr>
      <w:r>
        <w:rPr>
          <w:rFonts w:ascii="Times New Roman" w:hAnsi="Times New Roman" w:eastAsia="Times New Roman"/>
          <w:b w:val="0"/>
          <w:i w:val="0"/>
          <w:color w:val="000000"/>
          <w:sz w:val="24"/>
        </w:rPr>
        <w:t>• Consortium benefit depended on the partner pair; three of five pairings underperformed.</w:t>
      </w:r>
    </w:p>
    <w:p>
      <w:pPr>
        <w:keepNext/>
        <w:spacing w:before="240" w:after="120" w:line="360" w:lineRule="auto"/>
        <w:jc w:val="left"/>
      </w:pPr>
      <w:r>
        <w:rPr>
          <w:rFonts w:ascii="Times New Roman" w:hAnsi="Times New Roman" w:eastAsia="Times New Roman"/>
          <w:b/>
          <w:i w:val="0"/>
          <w:color w:val="000000"/>
          <w:sz w:val="24"/>
        </w:rPr>
        <w:t>1. Introduction</w:t>
      </w:r>
    </w:p>
    <w:p>
      <w:pPr>
        <w:spacing w:before="0" w:after="120" w:line="360" w:lineRule="auto"/>
        <w:ind w:firstLine="567"/>
        <w:jc w:val="both"/>
      </w:pPr>
      <w:r>
        <w:rPr>
          <w:rFonts w:ascii="Times New Roman" w:hAnsi="Times New Roman" w:eastAsia="Times New Roman"/>
          <w:b w:val="0"/>
          <w:i w:val="0"/>
          <w:color w:val="000000"/>
          <w:sz w:val="24"/>
        </w:rPr>
        <w:t>Rice feeds more than half of the world's population, yet it is one of the more salt-sensitive cereals, and its sensitivity peaks during seedling establishment and again at flowering (Singh et al., 2021). The problem is large. About one billion hectares of land carry some form of salinity or sodicity (Basak et al., 2022), and irrigated rice systems in South and Southeast Asia sit squarely inside that footprint (Saleem et al., 2025). Breeding has produced tolerant cultivars, but progress is slow because tolerance is controlled by many genes acting at different growth stages (Ismail &amp; Horie, 2017). Interventions that can be deployed within a single cropping season are therefore needed on marginal saline land.</w:t>
      </w:r>
    </w:p>
    <w:p>
      <w:pPr>
        <w:spacing w:before="0" w:after="120" w:line="360" w:lineRule="auto"/>
        <w:ind w:firstLine="567"/>
        <w:jc w:val="both"/>
      </w:pPr>
      <w:r>
        <w:rPr>
          <w:rFonts w:ascii="Times New Roman" w:hAnsi="Times New Roman" w:eastAsia="Times New Roman"/>
          <w:b w:val="0"/>
          <w:i w:val="0"/>
          <w:color w:val="000000"/>
          <w:sz w:val="24"/>
        </w:rPr>
        <w:t>Salt damages plants in two overlapping phases. The first is osmotic: a saline root zone lowers the water potential of the soil solution, so roots struggle to take up water and cell expansion slows within hours. The second is ionic. Sodium and chloride accumulate in older leaves, displace potassium, disturb enzyme function and speed up leaf senescence (Munns &amp; Tester, 2008). Riding on both phases is oxidative stress. When CO</w:t>
      </w:r>
      <w:r>
        <w:rPr>
          <w:rFonts w:ascii="Times New Roman" w:hAnsi="Times New Roman" w:eastAsia="Times New Roman"/>
          <w:b w:val="0"/>
          <w:i w:val="0"/>
          <w:color w:val="000000"/>
          <w:sz w:val="24"/>
          <w:vertAlign w:val="subscript"/>
        </w:rPr>
        <w:t>2</w:t>
      </w:r>
      <w:r>
        <w:rPr>
          <w:rFonts w:ascii="Times New Roman" w:hAnsi="Times New Roman" w:eastAsia="Times New Roman"/>
          <w:b w:val="0"/>
          <w:i w:val="0"/>
          <w:color w:val="000000"/>
          <w:sz w:val="24"/>
        </w:rPr>
        <w:t xml:space="preserve"> fixation slows, electrons pile up in the chloroplast and reactive oxygen species (ROS) form faster than the antioxidant system can remove them, damaging membranes, pigments and proteins (Gill &amp; Tuteja, 2010). Plants respond by adjusting ion transport and metabolism and by accumulating compatible solutes such as soluble sugars, proline and glycine betaine (van Zelm et al., 2020). Because the size of these adjustments differs between genotypes and treatments, physiological markers like chlorophyll, soluble protein and sugars are widely used to score salt responses (Negrão et al., 2017).</w:t>
      </w:r>
    </w:p>
    <w:p>
      <w:pPr>
        <w:spacing w:before="0" w:after="120" w:line="360" w:lineRule="auto"/>
        <w:ind w:firstLine="567"/>
        <w:jc w:val="both"/>
      </w:pPr>
      <w:r>
        <w:rPr>
          <w:rFonts w:ascii="Times New Roman" w:hAnsi="Times New Roman" w:eastAsia="Times New Roman"/>
          <w:b w:val="0"/>
          <w:i w:val="0"/>
          <w:color w:val="000000"/>
          <w:sz w:val="24"/>
        </w:rPr>
        <w:t xml:space="preserve">Endophytic bacteria offer a different route to tolerance. They live inside plant tissues for at least part of their life cycle without causing disease (Hardoim et al., 2015). Rice roots, stems, leaves and seeds carry a diverse endophytic community, with </w:t>
      </w:r>
      <w:r>
        <w:rPr>
          <w:rFonts w:ascii="Times New Roman" w:hAnsi="Times New Roman" w:eastAsia="Times New Roman"/>
          <w:b w:val="0"/>
          <w:i/>
          <w:color w:val="000000"/>
          <w:sz w:val="24"/>
        </w:rPr>
        <w:t>Bacillus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Pseudomonas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Enterobacter</w:t>
      </w:r>
      <w:r>
        <w:rPr>
          <w:rFonts w:ascii="Times New Roman" w:hAnsi="Times New Roman" w:eastAsia="Times New Roman"/>
          <w:b w:val="0"/>
          <w:i w:val="0"/>
          <w:color w:val="000000"/>
          <w:sz w:val="24"/>
        </w:rPr>
        <w:t xml:space="preserve"> and </w:t>
      </w:r>
      <w:r>
        <w:rPr>
          <w:rFonts w:ascii="Times New Roman" w:hAnsi="Times New Roman" w:eastAsia="Times New Roman"/>
          <w:b w:val="0"/>
          <w:i/>
          <w:color w:val="000000"/>
          <w:sz w:val="24"/>
        </w:rPr>
        <w:t>Pantoea</w:t>
      </w:r>
      <w:r>
        <w:rPr>
          <w:rFonts w:ascii="Times New Roman" w:hAnsi="Times New Roman" w:eastAsia="Times New Roman"/>
          <w:b w:val="0"/>
          <w:i w:val="0"/>
          <w:color w:val="000000"/>
          <w:sz w:val="24"/>
        </w:rPr>
        <w:t xml:space="preserve"> among the genera most often isolated (Santoyo et al., 2016). Because endophytes already occupy host tissues, they are thought to face less competition from the soil microflora than rhizosphere inoculants do. Seed-borne endophytes are particularly interesting. They travel with the seed, colonize the seedling early and can be passed on vertically (Walitang et al., 2017). Their composition in rice shifts with host genotype and with salt stress itself (Walitang et al., 2018), which hints that some of these bacteria have been selected for life in a saline host.</w:t>
      </w:r>
    </w:p>
    <w:p>
      <w:pPr>
        <w:spacing w:before="0" w:after="120" w:line="360" w:lineRule="auto"/>
        <w:ind w:firstLine="567"/>
        <w:jc w:val="both"/>
      </w:pPr>
      <w:r>
        <w:rPr>
          <w:rFonts w:ascii="Times New Roman" w:hAnsi="Times New Roman" w:eastAsia="Times New Roman"/>
          <w:b w:val="0"/>
          <w:i w:val="0"/>
          <w:color w:val="000000"/>
          <w:sz w:val="24"/>
        </w:rPr>
        <w:t>How do these bacteria help? The best-studied mechanism is the enzyme 1-aminocyclopropane-1-carboxylate (ACC) deaminase. It breaks down ACC, the immediate precursor of ethylene, and so blunts the burst of stress ethylene that otherwise inhibits root elongation (Glick, 2014). Growth-promoting bacteria also produce indole-3-acetic acid, solubilize phosphate and other nutrients, release siderophores and, in some cases, fix nitrogen. Under salinity, a further set of traits becomes relevant. Inoculated rice plants have shown lower shoot Na</w:t>
      </w:r>
      <w:r>
        <w:rPr>
          <w:rFonts w:ascii="Times New Roman" w:hAnsi="Times New Roman" w:eastAsia="Times New Roman"/>
          <w:b w:val="0"/>
          <w:i w:val="0"/>
          <w:color w:val="000000"/>
          <w:sz w:val="24"/>
          <w:vertAlign w:val="superscript"/>
        </w:rPr>
        <w:t>+</w:t>
      </w:r>
      <w:r>
        <w:rPr>
          <w:rFonts w:ascii="Times New Roman" w:hAnsi="Times New Roman" w:eastAsia="Times New Roman"/>
          <w:b w:val="0"/>
          <w:i w:val="0"/>
          <w:color w:val="000000"/>
          <w:sz w:val="24"/>
        </w:rPr>
        <w:t>, better K</w:t>
      </w:r>
      <w:r>
        <w:rPr>
          <w:rFonts w:ascii="Times New Roman" w:hAnsi="Times New Roman" w:eastAsia="Times New Roman"/>
          <w:b w:val="0"/>
          <w:i w:val="0"/>
          <w:color w:val="000000"/>
          <w:sz w:val="24"/>
          <w:vertAlign w:val="superscript"/>
        </w:rPr>
        <w:t>+</w:t>
      </w:r>
      <w:r>
        <w:rPr>
          <w:rFonts w:ascii="Times New Roman" w:hAnsi="Times New Roman" w:eastAsia="Times New Roman"/>
          <w:b w:val="0"/>
          <w:i w:val="0"/>
          <w:color w:val="000000"/>
          <w:sz w:val="24"/>
        </w:rPr>
        <w:t xml:space="preserve"> uptake, higher antioxidant enzyme activity and altered hormone profiles (M. A. Khan et al., 2021; Asif et al., 2023), and inoculated seedlings often accumulate more soluble sugars and other osmolytes. Halotolerant strains carrying ACC deaminase have promoted rice seedling growth under salt, and salt-tolerant bacteria have improved both growth and grain yield of rice in saline soil. Microbe-mediated salt tolerance is therefore best seen as a set of complementary mechanisms rather than a single trait (Ilangumaran &amp; Smith, 2017; Etesami &amp; Glick, 2020).</w:t>
      </w:r>
    </w:p>
    <w:p>
      <w:pPr>
        <w:spacing w:before="0" w:after="120" w:line="360" w:lineRule="auto"/>
        <w:ind w:firstLine="567"/>
        <w:jc w:val="both"/>
      </w:pPr>
      <w:r>
        <w:rPr>
          <w:rFonts w:ascii="Times New Roman" w:hAnsi="Times New Roman" w:eastAsia="Times New Roman"/>
          <w:b w:val="0"/>
          <w:i w:val="0"/>
          <w:color w:val="000000"/>
          <w:sz w:val="24"/>
        </w:rPr>
        <w:t>That view leads naturally to consortia. If no single strain carries every useful trait, combining two or more compatible strains might cover more of the stress response. A meta-analysis of 51 live-soil studies found that consortium inoculation raised plant growth by 48% on average, compared with 29% for single-strain inoculation (Liu et al., 2023). Consortia have also improved wheat growth and yield under saline conditions (M. Y. Khan et al., 2022), and a ten-member synthetic community colonized rice roots together as a stable group (Moronta-Barrios et al., 2018). The case is not closed, though. Strains can compete for the same niche, and poorly matched partners may cancel each other out. Most rice studies still test either a single strain or a single mixture (Ganie et al., 2021; Wang et al., 2025). Comparisons that line up individual isolates next to consortia built from those same isolates, across germination, seedling growth and leaf biochemistry, are scarce.</w:t>
      </w:r>
    </w:p>
    <w:p>
      <w:pPr>
        <w:spacing w:before="0" w:after="120" w:line="360" w:lineRule="auto"/>
        <w:ind w:firstLine="567"/>
        <w:jc w:val="both"/>
      </w:pPr>
      <w:r>
        <w:rPr>
          <w:rFonts w:ascii="Times New Roman" w:hAnsi="Times New Roman" w:eastAsia="Times New Roman"/>
          <w:b w:val="0"/>
          <w:i w:val="0"/>
          <w:color w:val="000000"/>
          <w:sz w:val="24"/>
        </w:rPr>
        <w:t>A second gap is methodological. Screening papers often report dozens of traits one at a time, each with its own significance test, and rank inoculants by whichever trait looks best. That makes it hard to see whether an inoculant helps the plant as a whole or only moves one number. Standardizing traits and combining them, through indices and multivariate ordination, gives a fairer picture (Jolliffe &amp; Cadima, 2016).</w:t>
      </w:r>
    </w:p>
    <w:p>
      <w:pPr>
        <w:spacing w:before="0" w:after="120" w:line="360" w:lineRule="auto"/>
        <w:ind w:firstLine="567"/>
        <w:jc w:val="both"/>
      </w:pPr>
      <w:r>
        <w:rPr>
          <w:rFonts w:ascii="Times New Roman" w:hAnsi="Times New Roman" w:eastAsia="Times New Roman"/>
          <w:b w:val="0"/>
          <w:i w:val="0"/>
          <w:color w:val="000000"/>
          <w:sz w:val="24"/>
        </w:rPr>
        <w:t>This study was built around those two gaps. The objectives were to (i) assemble dual-strain consortia from six rice endophytes and check their in vitro compatibility; (ii) compare isolates and consortia for effects on germination and seedling vigour in a laboratory assay; (iii) test the same inoculants in a polyhouse pot trial under 0, 50, 100 and 150 mM NaCl, measuring growth, photosynthetic pigments, phenolics, soluble protein, soluble sugars and DPPH radical scavenging; and (iv) rank the inoculants with salinity-induced reduction and mitigation indices, a composite membership index and principal component analysis. It was hypothesized that at least one consortium to outperform both of its parent strains under severe salinity, and that the benefit of mixing would depend on which strains were paired.</w:t>
      </w:r>
    </w:p>
    <w:p>
      <w:pPr>
        <w:keepNext/>
        <w:spacing w:before="240" w:after="120" w:line="360" w:lineRule="auto"/>
        <w:jc w:val="left"/>
      </w:pPr>
      <w:r>
        <w:rPr>
          <w:rFonts w:ascii="Times New Roman" w:hAnsi="Times New Roman" w:eastAsia="Times New Roman"/>
          <w:b/>
          <w:i w:val="0"/>
          <w:color w:val="000000"/>
          <w:sz w:val="24"/>
        </w:rPr>
        <w:t>2. Materials and methods</w:t>
      </w:r>
    </w:p>
    <w:p>
      <w:pPr>
        <w:keepNext/>
        <w:spacing w:before="160" w:after="120" w:line="360" w:lineRule="auto"/>
        <w:jc w:val="left"/>
      </w:pPr>
      <w:r>
        <w:rPr>
          <w:rFonts w:ascii="Times New Roman" w:hAnsi="Times New Roman" w:eastAsia="Times New Roman"/>
          <w:b/>
          <w:i w:val="0"/>
          <w:color w:val="000000"/>
          <w:sz w:val="24"/>
        </w:rPr>
        <w:t>2.1 Experimental overview</w:t>
      </w:r>
    </w:p>
    <w:p>
      <w:pPr>
        <w:spacing w:before="0" w:after="120" w:line="360" w:lineRule="auto"/>
        <w:ind w:firstLine="567"/>
        <w:jc w:val="both"/>
      </w:pPr>
      <w:r>
        <w:rPr>
          <w:rFonts w:ascii="Times New Roman" w:hAnsi="Times New Roman" w:eastAsia="Times New Roman"/>
          <w:b w:val="0"/>
          <w:i w:val="0"/>
          <w:color w:val="000000"/>
          <w:sz w:val="24"/>
        </w:rPr>
        <w:t>The work ran in five linked stages (Fig. 1): inoculum and consortium preparation, seed bacterization, a laboratory germination assay without salt, a polyhouse pot trial across a graded NaCl series, and leaf biochemistry on the pot-grown plants, followed by univariate, index-based and multivariate analysis.</w:t>
      </w:r>
    </w:p>
    <w:p>
      <w:pPr>
        <w:keepNext/>
        <w:jc w:val="center"/>
      </w:pPr>
      <w:r>
        <w:drawing>
          <wp:inline xmlns:a="http://schemas.openxmlformats.org/drawingml/2006/main" xmlns:pic="http://schemas.openxmlformats.org/drawingml/2006/picture">
            <wp:extent cx="5112000" cy="6714291"/>
            <wp:docPr id="1" name="Picture 1"/>
            <wp:cNvGraphicFramePr>
              <a:graphicFrameLocks noChangeAspect="1"/>
            </wp:cNvGraphicFramePr>
            <a:graphic>
              <a:graphicData uri="http://schemas.openxmlformats.org/drawingml/2006/picture">
                <pic:pic>
                  <pic:nvPicPr>
                    <pic:cNvPr id="0" name="Fig1_workflow.png"/>
                    <pic:cNvPicPr/>
                  </pic:nvPicPr>
                  <pic:blipFill>
                    <a:blip r:embed="rId10"/>
                    <a:stretch>
                      <a:fillRect/>
                    </a:stretch>
                  </pic:blipFill>
                  <pic:spPr>
                    <a:xfrm>
                      <a:off x="0" y="0"/>
                      <a:ext cx="5112000" cy="6714291"/>
                    </a:xfrm>
                    <a:prstGeom prst="rect"/>
                  </pic:spPr>
                </pic:pic>
              </a:graphicData>
            </a:graphic>
          </wp:inline>
        </w:drawing>
      </w:r>
    </w:p>
    <w:p>
      <w:pPr>
        <w:spacing w:before="80" w:after="240" w:line="240" w:lineRule="auto"/>
        <w:jc w:val="both"/>
      </w:pPr>
      <w:r>
        <w:rPr>
          <w:rFonts w:ascii="Times New Roman" w:hAnsi="Times New Roman" w:eastAsia="Times New Roman"/>
          <w:b/>
          <w:i w:val="0"/>
          <w:color w:val="000000"/>
          <w:sz w:val="24"/>
        </w:rPr>
        <w:t>Fig. 1.</w:t>
      </w:r>
      <w:r>
        <w:rPr>
          <w:rFonts w:ascii="Times New Roman" w:hAnsi="Times New Roman" w:eastAsia="Times New Roman"/>
          <w:b w:val="0"/>
          <w:i w:val="0"/>
          <w:color w:val="000000"/>
          <w:sz w:val="24"/>
        </w:rPr>
        <w:t xml:space="preserve"> Infographic flowchart of the experimental workflow. Stage 1, preparation of single-isolate inocula and dual-strain consortia with purity checks; Stage 2, surface sterilization and bacterization of rice cv. IR-64 seeds; Stage 3A, laboratory germination assay; Stage 3B, polyhouse pot trial under 0–150 mM NaCl; Stage 4, leaf biochemical assays on polyhouse plants; Stage 5, statistical analysis, derived indices and multivariate analysis. DAS, days after sowing; CRD, completely randomized design; CMI, composite membership index.</w:t>
      </w:r>
    </w:p>
    <w:p>
      <w:pPr>
        <w:keepNext/>
        <w:spacing w:before="160" w:after="120" w:line="360" w:lineRule="auto"/>
        <w:jc w:val="left"/>
      </w:pPr>
      <w:r>
        <w:rPr>
          <w:rFonts w:ascii="Times New Roman" w:hAnsi="Times New Roman" w:eastAsia="Times New Roman"/>
          <w:b/>
          <w:i w:val="0"/>
          <w:color w:val="000000"/>
          <w:sz w:val="24"/>
        </w:rPr>
        <w:t>2.2 Endophytic isolates and consortium preparation</w:t>
      </w:r>
    </w:p>
    <w:p>
      <w:pPr>
        <w:spacing w:before="0" w:after="120" w:line="360" w:lineRule="auto"/>
        <w:ind w:firstLine="567"/>
        <w:jc w:val="both"/>
      </w:pPr>
      <w:r>
        <w:rPr>
          <w:rFonts w:ascii="Times New Roman" w:hAnsi="Times New Roman" w:eastAsia="Times New Roman"/>
          <w:b w:val="0"/>
          <w:i w:val="0"/>
          <w:color w:val="000000"/>
          <w:sz w:val="24"/>
        </w:rPr>
        <w:t>Six endophytic bacterial isolates previously recovered from surface-sterilized tissues of rice plants (IS-01 to IS-06) were grown separately in nutrient broth at 37 ± 1 °C to exponential phase. Five two-member consortia were assembled by mixing equal volumes (1:1, v/v) of the partner cultures: C1-3 (IS-01 + IS-03), C1-5 (IS-01 + IS-05), C2-3 (IS-02 + IS-03), C2-5 (IS-02 + IS-05) and C4-5 (IS-04 + IS-05). Compatibility and purity were checked by quadrant streaking on nutrient agar (37 ± 1 °C, 12–24 h), recording colony morphology, density and any inhibition zone between colony types (Walitang et al., 2017).</w:t>
      </w:r>
    </w:p>
    <w:p>
      <w:pPr>
        <w:keepNext/>
        <w:spacing w:before="160" w:after="120" w:line="360" w:lineRule="auto"/>
        <w:jc w:val="left"/>
      </w:pPr>
      <w:r>
        <w:rPr>
          <w:rFonts w:ascii="Times New Roman" w:hAnsi="Times New Roman" w:eastAsia="Times New Roman"/>
          <w:b/>
          <w:i w:val="0"/>
          <w:color w:val="000000"/>
          <w:sz w:val="24"/>
        </w:rPr>
        <w:t>2.3 Seed sterilization, bacterization and NaCl solutions</w:t>
      </w:r>
    </w:p>
    <w:p>
      <w:pPr>
        <w:spacing w:before="0" w:after="120" w:line="360" w:lineRule="auto"/>
        <w:ind w:firstLine="567"/>
        <w:jc w:val="both"/>
      </w:pPr>
      <w:r>
        <w:rPr>
          <w:rFonts w:ascii="Times New Roman" w:hAnsi="Times New Roman" w:eastAsia="Times New Roman"/>
          <w:b w:val="0"/>
          <w:i w:val="0"/>
          <w:color w:val="000000"/>
          <w:sz w:val="24"/>
        </w:rPr>
        <w:t xml:space="preserve">Seeds of IR-64, a widely grown but salt-susceptible </w:t>
      </w:r>
      <w:r>
        <w:rPr>
          <w:rFonts w:ascii="Times New Roman" w:hAnsi="Times New Roman" w:eastAsia="Times New Roman"/>
          <w:b w:val="0"/>
          <w:i/>
          <w:color w:val="000000"/>
          <w:sz w:val="24"/>
        </w:rPr>
        <w:t>indica</w:t>
      </w:r>
      <w:r>
        <w:rPr>
          <w:rFonts w:ascii="Times New Roman" w:hAnsi="Times New Roman" w:eastAsia="Times New Roman"/>
          <w:b w:val="0"/>
          <w:i w:val="0"/>
          <w:color w:val="000000"/>
          <w:sz w:val="24"/>
        </w:rPr>
        <w:t xml:space="preserve"> cultivar, were surface-sterilized in 95% (v/v) ethanol for 30–60 s and 5% (v/v) sodium hypochlorite for 5–10 min, rinsed two to three times in sterile distilled water and soaked for 30 min in the appropriate bacterial suspension (about 10</w:t>
      </w:r>
      <w:r>
        <w:rPr>
          <w:rFonts w:ascii="Times New Roman" w:hAnsi="Times New Roman" w:eastAsia="Times New Roman"/>
          <w:b w:val="0"/>
          <w:i w:val="0"/>
          <w:color w:val="000000"/>
          <w:sz w:val="24"/>
          <w:vertAlign w:val="superscript"/>
        </w:rPr>
        <w:t>8</w:t>
      </w:r>
      <w:r>
        <w:rPr>
          <w:rFonts w:ascii="Times New Roman" w:hAnsi="Times New Roman" w:eastAsia="Times New Roman"/>
          <w:b w:val="0"/>
          <w:i w:val="0"/>
          <w:color w:val="000000"/>
          <w:sz w:val="24"/>
        </w:rPr>
        <w:t xml:space="preserve"> CFU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control seeds were not bacterized. NaCl solutions of 50, 100 and 150 mM (2.922, 5.844 and 8.766 g 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were prepared in sterile distilled water, which served as the 0 mM treatment.</w:t>
      </w:r>
    </w:p>
    <w:p>
      <w:pPr>
        <w:keepNext/>
        <w:spacing w:before="160" w:after="120" w:line="360" w:lineRule="auto"/>
        <w:jc w:val="left"/>
      </w:pPr>
      <w:r>
        <w:rPr>
          <w:rFonts w:ascii="Times New Roman" w:hAnsi="Times New Roman" w:eastAsia="Times New Roman"/>
          <w:b/>
          <w:i w:val="0"/>
          <w:color w:val="000000"/>
          <w:sz w:val="24"/>
        </w:rPr>
        <w:t>2.4 Laboratory germination assay</w:t>
      </w:r>
    </w:p>
    <w:p>
      <w:pPr>
        <w:spacing w:before="0" w:after="120" w:line="360" w:lineRule="auto"/>
        <w:ind w:firstLine="567"/>
        <w:jc w:val="both"/>
      </w:pPr>
      <w:r>
        <w:rPr>
          <w:rFonts w:ascii="Times New Roman" w:hAnsi="Times New Roman" w:eastAsia="Times New Roman"/>
          <w:b w:val="0"/>
          <w:i w:val="0"/>
          <w:color w:val="000000"/>
          <w:sz w:val="24"/>
        </w:rPr>
        <w:t>Bacterized seeds (25 per treatment) were placed on moist Whatman No. 1 filter paper in Petri dishes at 25 ± 2 °C and kept moist throughout. A seed was scored as germinated when the radicle reached 2 mm, and root and shoot lengths were measured at the end of the assay. Isolates and consortia were run as separate batches, each with its own control. The seedling vigour index was calculated as SVI = germination (%) × (root + shoot length, cm) (Abdul-Baki &amp; Anderson, 1973).</w:t>
      </w:r>
    </w:p>
    <w:p>
      <w:pPr>
        <w:keepNext/>
        <w:spacing w:before="160" w:after="120" w:line="360" w:lineRule="auto"/>
        <w:jc w:val="left"/>
      </w:pPr>
      <w:r>
        <w:rPr>
          <w:rFonts w:ascii="Times New Roman" w:hAnsi="Times New Roman" w:eastAsia="Times New Roman"/>
          <w:b/>
          <w:i w:val="0"/>
          <w:color w:val="000000"/>
          <w:sz w:val="24"/>
        </w:rPr>
        <w:t>2.5 Polyhouse pot experiment</w:t>
      </w:r>
    </w:p>
    <w:p>
      <w:pPr>
        <w:spacing w:before="0" w:after="120" w:line="360" w:lineRule="auto"/>
        <w:ind w:firstLine="567"/>
        <w:jc w:val="both"/>
      </w:pPr>
      <w:r>
        <w:rPr>
          <w:rFonts w:ascii="Times New Roman" w:hAnsi="Times New Roman" w:eastAsia="Times New Roman"/>
          <w:b w:val="0"/>
          <w:i w:val="0"/>
          <w:color w:val="000000"/>
          <w:sz w:val="24"/>
        </w:rPr>
        <w:t>Pots (15 cm × 18 cm) held 2.5 kg of sterilized soil and cocopeat (1:2, w/w) and were arranged in a completely randomized design with three replicate pots per treatment. The isolate experiment had seven inoculation levels (control, IS-01 to IS-06) and the consortium experiment six (control and the five consortia), each crossed with four NaCl levels (0, 50, 100 and 150 mM); 30 seeds were sown per treatment. Germination was scored as the percentage of sown seeds that produced a seedling, and seedlings were then thinned to three per pot. Salt stress was applied from the two- to three-leaf stage (15 days after sowing, DAS) with 500 mL of the relevant solution on alternate days for 30 days. Plants were harvested at 45 DAS for root and shoot length and leaf biochemistry.</w:t>
      </w:r>
    </w:p>
    <w:p>
      <w:pPr>
        <w:keepNext/>
        <w:spacing w:before="160" w:after="120" w:line="360" w:lineRule="auto"/>
        <w:jc w:val="left"/>
      </w:pPr>
      <w:r>
        <w:rPr>
          <w:rFonts w:ascii="Times New Roman" w:hAnsi="Times New Roman" w:eastAsia="Times New Roman"/>
          <w:b/>
          <w:i w:val="0"/>
          <w:color w:val="000000"/>
          <w:sz w:val="24"/>
        </w:rPr>
        <w:t>2.6 Leaf biochemical assays</w:t>
      </w:r>
    </w:p>
    <w:p>
      <w:pPr>
        <w:spacing w:before="0" w:after="120" w:line="360" w:lineRule="auto"/>
        <w:ind w:firstLine="567"/>
        <w:jc w:val="both"/>
      </w:pPr>
      <w:r>
        <w:rPr>
          <w:rFonts w:ascii="Times New Roman" w:hAnsi="Times New Roman" w:eastAsia="Times New Roman"/>
          <w:b w:val="0"/>
          <w:i w:val="0"/>
          <w:color w:val="000000"/>
          <w:sz w:val="24"/>
        </w:rPr>
        <w:t xml:space="preserve">All assays used 0.5 g of fresh, fully expanded leaf tissue. Pigments were extracted in 5 mL of dimethyl sulfoxide at 60 °C for 30 min (Hiscox &amp; Israelstam, 1979) and read at 663, 645 and 490 nm.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and </w:t>
      </w:r>
      <w:r>
        <w:rPr>
          <w:rFonts w:ascii="Times New Roman" w:hAnsi="Times New Roman" w:eastAsia="Times New Roman"/>
          <w:b w:val="0"/>
          <w:i/>
          <w:color w:val="000000"/>
          <w:sz w:val="24"/>
        </w:rPr>
        <w:t>b</w:t>
      </w:r>
      <w:r>
        <w:rPr>
          <w:rFonts w:ascii="Times New Roman" w:hAnsi="Times New Roman" w:eastAsia="Times New Roman"/>
          <w:b w:val="0"/>
          <w:i w:val="0"/>
          <w:color w:val="000000"/>
          <w:sz w:val="24"/>
        </w:rPr>
        <w:t xml:space="preserve"> were calculated with Arnon's (1949) equations (Chl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 12.7 A</w:t>
      </w:r>
      <w:r>
        <w:rPr>
          <w:rFonts w:ascii="Times New Roman" w:hAnsi="Times New Roman" w:eastAsia="Times New Roman"/>
          <w:b w:val="0"/>
          <w:i w:val="0"/>
          <w:color w:val="000000"/>
          <w:sz w:val="24"/>
          <w:vertAlign w:val="subscript"/>
        </w:rPr>
        <w:t>663</w:t>
      </w:r>
      <w:r>
        <w:rPr>
          <w:rFonts w:ascii="Times New Roman" w:hAnsi="Times New Roman" w:eastAsia="Times New Roman"/>
          <w:b w:val="0"/>
          <w:i w:val="0"/>
          <w:color w:val="000000"/>
          <w:sz w:val="24"/>
        </w:rPr>
        <w:t xml:space="preserve"> − 2.69 A</w:t>
      </w:r>
      <w:r>
        <w:rPr>
          <w:rFonts w:ascii="Times New Roman" w:hAnsi="Times New Roman" w:eastAsia="Times New Roman"/>
          <w:b w:val="0"/>
          <w:i w:val="0"/>
          <w:color w:val="000000"/>
          <w:sz w:val="24"/>
          <w:vertAlign w:val="subscript"/>
        </w:rPr>
        <w:t>645</w:t>
      </w:r>
      <w:r>
        <w:rPr>
          <w:rFonts w:ascii="Times New Roman" w:hAnsi="Times New Roman" w:eastAsia="Times New Roman"/>
          <w:b w:val="0"/>
          <w:i w:val="0"/>
          <w:color w:val="000000"/>
          <w:sz w:val="24"/>
        </w:rPr>
        <w:t xml:space="preserve">; Chl </w:t>
      </w:r>
      <w:r>
        <w:rPr>
          <w:rFonts w:ascii="Times New Roman" w:hAnsi="Times New Roman" w:eastAsia="Times New Roman"/>
          <w:b w:val="0"/>
          <w:i/>
          <w:color w:val="000000"/>
          <w:sz w:val="24"/>
        </w:rPr>
        <w:t>b</w:t>
      </w:r>
      <w:r>
        <w:rPr>
          <w:rFonts w:ascii="Times New Roman" w:hAnsi="Times New Roman" w:eastAsia="Times New Roman"/>
          <w:b w:val="0"/>
          <w:i w:val="0"/>
          <w:color w:val="000000"/>
          <w:sz w:val="24"/>
        </w:rPr>
        <w:t xml:space="preserve"> = 22.9 A</w:t>
      </w:r>
      <w:r>
        <w:rPr>
          <w:rFonts w:ascii="Times New Roman" w:hAnsi="Times New Roman" w:eastAsia="Times New Roman"/>
          <w:b w:val="0"/>
          <w:i w:val="0"/>
          <w:color w:val="000000"/>
          <w:sz w:val="24"/>
          <w:vertAlign w:val="subscript"/>
        </w:rPr>
        <w:t>645</w:t>
      </w:r>
      <w:r>
        <w:rPr>
          <w:rFonts w:ascii="Times New Roman" w:hAnsi="Times New Roman" w:eastAsia="Times New Roman"/>
          <w:b w:val="0"/>
          <w:i w:val="0"/>
          <w:color w:val="000000"/>
          <w:sz w:val="24"/>
        </w:rPr>
        <w:t xml:space="preserve"> − 4.68 A</w:t>
      </w:r>
      <w:r>
        <w:rPr>
          <w:rFonts w:ascii="Times New Roman" w:hAnsi="Times New Roman" w:eastAsia="Times New Roman"/>
          <w:b w:val="0"/>
          <w:i w:val="0"/>
          <w:color w:val="000000"/>
          <w:sz w:val="24"/>
          <w:vertAlign w:val="subscript"/>
        </w:rPr>
        <w:t>663</w:t>
      </w:r>
      <w:r>
        <w:rPr>
          <w:rFonts w:ascii="Times New Roman" w:hAnsi="Times New Roman" w:eastAsia="Times New Roman"/>
          <w:b w:val="0"/>
          <w:i w:val="0"/>
          <w:color w:val="000000"/>
          <w:sz w:val="24"/>
        </w:rPr>
        <w:t>) and are reported, like carotenoids (Lichtenthaler, 1987), as mg 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of extract; total chlorophyll is the sum of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and </w:t>
      </w:r>
      <w:r>
        <w:rPr>
          <w:rFonts w:ascii="Times New Roman" w:hAnsi="Times New Roman" w:eastAsia="Times New Roman"/>
          <w:b w:val="0"/>
          <w:i/>
          <w:color w:val="000000"/>
          <w:sz w:val="24"/>
        </w:rPr>
        <w:t>b</w:t>
      </w:r>
      <w:r>
        <w:rPr>
          <w:rFonts w:ascii="Times New Roman" w:hAnsi="Times New Roman" w:eastAsia="Times New Roman"/>
          <w:b w:val="0"/>
          <w:i w:val="0"/>
          <w:color w:val="000000"/>
          <w:sz w:val="24"/>
        </w:rPr>
        <w:t>. Total phenolics were measured with Folin–Ciocalteu reagent at 765 nm against gallic acid (y = 0.009x + 0.005, R</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0.9998) (Singleton &amp; Rossi, 1965), soluble protein by the Lowry method at 660 nm against bovine serum albumin (Lowry et al., 1951), and soluble sugars with anthrone at 620 nm against glucose (Yemm &amp; Willis, 1954). DPPH radical scavenging was measured at 517 nm after 30 min in the dark, with ascorbic acid as the reference, as [(A</w:t>
      </w:r>
      <w:r>
        <w:rPr>
          <w:rFonts w:ascii="Times New Roman" w:hAnsi="Times New Roman" w:eastAsia="Times New Roman"/>
          <w:b w:val="0"/>
          <w:i w:val="0"/>
          <w:color w:val="000000"/>
          <w:sz w:val="24"/>
          <w:vertAlign w:val="subscript"/>
        </w:rPr>
        <w:t>0</w:t>
      </w:r>
      <w:r>
        <w:rPr>
          <w:rFonts w:ascii="Times New Roman" w:hAnsi="Times New Roman" w:eastAsia="Times New Roman"/>
          <w:b w:val="0"/>
          <w:i w:val="0"/>
          <w:color w:val="000000"/>
          <w:sz w:val="24"/>
        </w:rPr>
        <w:t xml:space="preserve"> − A</w:t>
      </w:r>
      <w:r>
        <w:rPr>
          <w:rFonts w:ascii="Times New Roman" w:hAnsi="Times New Roman" w:eastAsia="Times New Roman"/>
          <w:b w:val="0"/>
          <w:i w:val="0"/>
          <w:color w:val="000000"/>
          <w:sz w:val="24"/>
          <w:vertAlign w:val="subscript"/>
        </w:rPr>
        <w:t>1</w:t>
      </w:r>
      <w:r>
        <w:rPr>
          <w:rFonts w:ascii="Times New Roman" w:hAnsi="Times New Roman" w:eastAsia="Times New Roman"/>
          <w:b w:val="0"/>
          <w:i w:val="0"/>
          <w:color w:val="000000"/>
          <w:sz w:val="24"/>
        </w:rPr>
        <w:t>) / A</w:t>
      </w:r>
      <w:r>
        <w:rPr>
          <w:rFonts w:ascii="Times New Roman" w:hAnsi="Times New Roman" w:eastAsia="Times New Roman"/>
          <w:b w:val="0"/>
          <w:i w:val="0"/>
          <w:color w:val="000000"/>
          <w:sz w:val="24"/>
          <w:vertAlign w:val="subscript"/>
        </w:rPr>
        <w:t>0</w:t>
      </w:r>
      <w:r>
        <w:rPr>
          <w:rFonts w:ascii="Times New Roman" w:hAnsi="Times New Roman" w:eastAsia="Times New Roman"/>
          <w:b w:val="0"/>
          <w:i w:val="0"/>
          <w:color w:val="000000"/>
          <w:sz w:val="24"/>
        </w:rPr>
        <w:t>] × 100 (Brand-Williams et al., 1995; Gülçin, 2020). Because every extract was prepared from the same tissue mass in the same volume, all biochemical values are expressed per volume of extract and are directly comparable between treatments. Isolate and consortium extracts were assayed in separate batches.</w:t>
      </w:r>
    </w:p>
    <w:p>
      <w:pPr>
        <w:keepNext/>
        <w:spacing w:before="160" w:after="120" w:line="360" w:lineRule="auto"/>
        <w:jc w:val="left"/>
      </w:pPr>
      <w:r>
        <w:rPr>
          <w:rFonts w:ascii="Times New Roman" w:hAnsi="Times New Roman" w:eastAsia="Times New Roman"/>
          <w:b/>
          <w:i w:val="0"/>
          <w:color w:val="000000"/>
          <w:sz w:val="24"/>
        </w:rPr>
        <w:t>2.7 Derived indices</w:t>
      </w:r>
    </w:p>
    <w:p>
      <w:pPr>
        <w:spacing w:before="0" w:after="120" w:line="360" w:lineRule="auto"/>
        <w:ind w:firstLine="567"/>
        <w:jc w:val="both"/>
      </w:pPr>
      <w:r>
        <w:rPr>
          <w:rFonts w:ascii="Times New Roman" w:hAnsi="Times New Roman" w:eastAsia="Times New Roman"/>
          <w:b w:val="0"/>
          <w:i w:val="0"/>
          <w:color w:val="000000"/>
          <w:sz w:val="24"/>
        </w:rPr>
        <w:t>Salinity-induced reduction in uninoculated plants was SIR = (X</w:t>
      </w:r>
      <w:r>
        <w:rPr>
          <w:rFonts w:ascii="Times New Roman" w:hAnsi="Times New Roman" w:eastAsia="Times New Roman"/>
          <w:b w:val="0"/>
          <w:i w:val="0"/>
          <w:color w:val="000000"/>
          <w:sz w:val="24"/>
          <w:vertAlign w:val="subscript"/>
        </w:rPr>
        <w:t>0</w:t>
      </w:r>
      <w:r>
        <w:rPr>
          <w:rFonts w:ascii="Times New Roman" w:hAnsi="Times New Roman" w:eastAsia="Times New Roman"/>
          <w:b w:val="0"/>
          <w:i w:val="0"/>
          <w:color w:val="000000"/>
          <w:sz w:val="24"/>
        </w:rPr>
        <w:t xml:space="preserve"> − X</w:t>
      </w:r>
      <w:r>
        <w:rPr>
          <w:rFonts w:ascii="Times New Roman" w:hAnsi="Times New Roman" w:eastAsia="Times New Roman"/>
          <w:b w:val="0"/>
          <w:i w:val="0"/>
          <w:color w:val="000000"/>
          <w:sz w:val="24"/>
          <w:vertAlign w:val="subscript"/>
        </w:rPr>
        <w:t>S</w:t>
      </w:r>
      <w:r>
        <w:rPr>
          <w:rFonts w:ascii="Times New Roman" w:hAnsi="Times New Roman" w:eastAsia="Times New Roman"/>
          <w:b w:val="0"/>
          <w:i w:val="0"/>
          <w:color w:val="000000"/>
          <w:sz w:val="24"/>
        </w:rPr>
        <w:t>) / X</w:t>
      </w:r>
      <w:r>
        <w:rPr>
          <w:rFonts w:ascii="Times New Roman" w:hAnsi="Times New Roman" w:eastAsia="Times New Roman"/>
          <w:b w:val="0"/>
          <w:i w:val="0"/>
          <w:color w:val="000000"/>
          <w:sz w:val="24"/>
          <w:vertAlign w:val="subscript"/>
        </w:rPr>
        <w:t>0</w:t>
      </w:r>
      <w:r>
        <w:rPr>
          <w:rFonts w:ascii="Times New Roman" w:hAnsi="Times New Roman" w:eastAsia="Times New Roman"/>
          <w:b w:val="0"/>
          <w:i w:val="0"/>
          <w:color w:val="000000"/>
          <w:sz w:val="24"/>
        </w:rPr>
        <w:t xml:space="preserve"> × 100, where X</w:t>
      </w:r>
      <w:r>
        <w:rPr>
          <w:rFonts w:ascii="Times New Roman" w:hAnsi="Times New Roman" w:eastAsia="Times New Roman"/>
          <w:b w:val="0"/>
          <w:i w:val="0"/>
          <w:color w:val="000000"/>
          <w:sz w:val="24"/>
          <w:vertAlign w:val="subscript"/>
        </w:rPr>
        <w:t>0</w:t>
      </w:r>
      <w:r>
        <w:rPr>
          <w:rFonts w:ascii="Times New Roman" w:hAnsi="Times New Roman" w:eastAsia="Times New Roman"/>
          <w:b w:val="0"/>
          <w:i w:val="0"/>
          <w:color w:val="000000"/>
          <w:sz w:val="24"/>
        </w:rPr>
        <w:t xml:space="preserve"> and X</w:t>
      </w:r>
      <w:r>
        <w:rPr>
          <w:rFonts w:ascii="Times New Roman" w:hAnsi="Times New Roman" w:eastAsia="Times New Roman"/>
          <w:b w:val="0"/>
          <w:i w:val="0"/>
          <w:color w:val="000000"/>
          <w:sz w:val="24"/>
          <w:vertAlign w:val="subscript"/>
        </w:rPr>
        <w:t>S</w:t>
      </w:r>
      <w:r>
        <w:rPr>
          <w:rFonts w:ascii="Times New Roman" w:hAnsi="Times New Roman" w:eastAsia="Times New Roman"/>
          <w:b w:val="0"/>
          <w:i w:val="0"/>
          <w:color w:val="000000"/>
          <w:sz w:val="24"/>
        </w:rPr>
        <w:t xml:space="preserve"> are values at 0 mM and salinity level S. Inoculation-mediated mitigation compared each inoculant with the control at the same salinity: IMM = (X</w:t>
      </w:r>
      <w:r>
        <w:rPr>
          <w:rFonts w:ascii="Times New Roman" w:hAnsi="Times New Roman" w:eastAsia="Times New Roman"/>
          <w:b w:val="0"/>
          <w:i w:val="0"/>
          <w:color w:val="000000"/>
          <w:sz w:val="24"/>
          <w:vertAlign w:val="subscript"/>
        </w:rPr>
        <w:t>i,S</w:t>
      </w:r>
      <w:r>
        <w:rPr>
          <w:rFonts w:ascii="Times New Roman" w:hAnsi="Times New Roman" w:eastAsia="Times New Roman"/>
          <w:b w:val="0"/>
          <w:i w:val="0"/>
          <w:color w:val="000000"/>
          <w:sz w:val="24"/>
        </w:rPr>
        <w:t xml:space="preserve"> − X</w:t>
      </w:r>
      <w:r>
        <w:rPr>
          <w:rFonts w:ascii="Times New Roman" w:hAnsi="Times New Roman" w:eastAsia="Times New Roman"/>
          <w:b w:val="0"/>
          <w:i w:val="0"/>
          <w:color w:val="000000"/>
          <w:sz w:val="24"/>
          <w:vertAlign w:val="subscript"/>
        </w:rPr>
        <w:t>c,S</w:t>
      </w:r>
      <w:r>
        <w:rPr>
          <w:rFonts w:ascii="Times New Roman" w:hAnsi="Times New Roman" w:eastAsia="Times New Roman"/>
          <w:b w:val="0"/>
          <w:i w:val="0"/>
          <w:color w:val="000000"/>
          <w:sz w:val="24"/>
        </w:rPr>
        <w:t>) / X</w:t>
      </w:r>
      <w:r>
        <w:rPr>
          <w:rFonts w:ascii="Times New Roman" w:hAnsi="Times New Roman" w:eastAsia="Times New Roman"/>
          <w:b w:val="0"/>
          <w:i w:val="0"/>
          <w:color w:val="000000"/>
          <w:sz w:val="24"/>
          <w:vertAlign w:val="subscript"/>
        </w:rPr>
        <w:t>c,S</w:t>
      </w:r>
      <w:r>
        <w:rPr>
          <w:rFonts w:ascii="Times New Roman" w:hAnsi="Times New Roman" w:eastAsia="Times New Roman"/>
          <w:b w:val="0"/>
          <w:i w:val="0"/>
          <w:color w:val="000000"/>
          <w:sz w:val="24"/>
        </w:rPr>
        <w:t xml:space="preserve"> × 100. The retention index was RI = X</w:t>
      </w:r>
      <w:r>
        <w:rPr>
          <w:rFonts w:ascii="Times New Roman" w:hAnsi="Times New Roman" w:eastAsia="Times New Roman"/>
          <w:b w:val="0"/>
          <w:i w:val="0"/>
          <w:color w:val="000000"/>
          <w:sz w:val="24"/>
          <w:vertAlign w:val="subscript"/>
        </w:rPr>
        <w:t>i,150</w:t>
      </w:r>
      <w:r>
        <w:rPr>
          <w:rFonts w:ascii="Times New Roman" w:hAnsi="Times New Roman" w:eastAsia="Times New Roman"/>
          <w:b w:val="0"/>
          <w:i w:val="0"/>
          <w:color w:val="000000"/>
          <w:sz w:val="24"/>
        </w:rPr>
        <w:t xml:space="preserve"> / X</w:t>
      </w:r>
      <w:r>
        <w:rPr>
          <w:rFonts w:ascii="Times New Roman" w:hAnsi="Times New Roman" w:eastAsia="Times New Roman"/>
          <w:b w:val="0"/>
          <w:i w:val="0"/>
          <w:color w:val="000000"/>
          <w:sz w:val="24"/>
          <w:vertAlign w:val="subscript"/>
        </w:rPr>
        <w:t>i,0</w:t>
      </w:r>
      <w:r>
        <w:rPr>
          <w:rFonts w:ascii="Times New Roman" w:hAnsi="Times New Roman" w:eastAsia="Times New Roman"/>
          <w:b w:val="0"/>
          <w:i w:val="0"/>
          <w:color w:val="000000"/>
          <w:sz w:val="24"/>
        </w:rPr>
        <w:t xml:space="preserve"> × 100. Relative measures are preferred when treatments differ in their unstressed baseline (Negrão et al., 2017). A composite membership index (CMI) was computed by rescaling nine traits (germination, root length, shoot length, SVI,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carotenoids, soluble protein, soluble sugars and DPPH scavenging) to 0–1 across all 48 treatment combinations as (X − X</w:t>
      </w:r>
      <w:r>
        <w:rPr>
          <w:rFonts w:ascii="Times New Roman" w:hAnsi="Times New Roman" w:eastAsia="Times New Roman"/>
          <w:b w:val="0"/>
          <w:i w:val="0"/>
          <w:color w:val="000000"/>
          <w:sz w:val="24"/>
          <w:vertAlign w:val="subscript"/>
        </w:rPr>
        <w:t>min</w:t>
      </w:r>
      <w:r>
        <w:rPr>
          <w:rFonts w:ascii="Times New Roman" w:hAnsi="Times New Roman" w:eastAsia="Times New Roman"/>
          <w:b w:val="0"/>
          <w:i w:val="0"/>
          <w:color w:val="000000"/>
          <w:sz w:val="24"/>
        </w:rPr>
        <w:t>) / (X</w:t>
      </w:r>
      <w:r>
        <w:rPr>
          <w:rFonts w:ascii="Times New Roman" w:hAnsi="Times New Roman" w:eastAsia="Times New Roman"/>
          <w:b w:val="0"/>
          <w:i w:val="0"/>
          <w:color w:val="000000"/>
          <w:sz w:val="24"/>
          <w:vertAlign w:val="subscript"/>
        </w:rPr>
        <w:t>max</w:t>
      </w:r>
      <w:r>
        <w:rPr>
          <w:rFonts w:ascii="Times New Roman" w:hAnsi="Times New Roman" w:eastAsia="Times New Roman"/>
          <w:b w:val="0"/>
          <w:i w:val="0"/>
          <w:color w:val="000000"/>
          <w:sz w:val="24"/>
        </w:rPr>
        <w:t xml:space="preserve"> − X</w:t>
      </w:r>
      <w:r>
        <w:rPr>
          <w:rFonts w:ascii="Times New Roman" w:hAnsi="Times New Roman" w:eastAsia="Times New Roman"/>
          <w:b w:val="0"/>
          <w:i w:val="0"/>
          <w:color w:val="000000"/>
          <w:sz w:val="24"/>
          <w:vertAlign w:val="subscript"/>
        </w:rPr>
        <w:t>min</w:t>
      </w:r>
      <w:r>
        <w:rPr>
          <w:rFonts w:ascii="Times New Roman" w:hAnsi="Times New Roman" w:eastAsia="Times New Roman"/>
          <w:b w:val="0"/>
          <w:i w:val="0"/>
          <w:color w:val="000000"/>
          <w:sz w:val="24"/>
        </w:rPr>
        <w:t xml:space="preserve">) and averaging them. Phenolics (incomplete for isolates) and chlorophyll </w:t>
      </w:r>
      <w:r>
        <w:rPr>
          <w:rFonts w:ascii="Times New Roman" w:hAnsi="Times New Roman" w:eastAsia="Times New Roman"/>
          <w:b w:val="0"/>
          <w:i/>
          <w:color w:val="000000"/>
          <w:sz w:val="24"/>
        </w:rPr>
        <w:t>b</w:t>
      </w:r>
      <w:r>
        <w:rPr>
          <w:rFonts w:ascii="Times New Roman" w:hAnsi="Times New Roman" w:eastAsia="Times New Roman"/>
          <w:b w:val="0"/>
          <w:i w:val="0"/>
          <w:color w:val="000000"/>
          <w:sz w:val="24"/>
        </w:rPr>
        <w:t xml:space="preserve"> (batch-dependent; Section 3.3) were excluded.</w:t>
      </w:r>
    </w:p>
    <w:p>
      <w:pPr>
        <w:keepNext/>
        <w:spacing w:before="160" w:after="120" w:line="360" w:lineRule="auto"/>
        <w:jc w:val="left"/>
      </w:pPr>
      <w:r>
        <w:rPr>
          <w:rFonts w:ascii="Times New Roman" w:hAnsi="Times New Roman" w:eastAsia="Times New Roman"/>
          <w:b/>
          <w:i w:val="0"/>
          <w:color w:val="000000"/>
          <w:sz w:val="24"/>
        </w:rPr>
        <w:t>2.8 Statistical analysis</w:t>
      </w:r>
    </w:p>
    <w:p>
      <w:pPr>
        <w:spacing w:before="0" w:after="120" w:line="360" w:lineRule="auto"/>
        <w:ind w:firstLine="567"/>
        <w:jc w:val="both"/>
      </w:pPr>
      <w:r>
        <w:rPr>
          <w:rFonts w:ascii="Times New Roman" w:hAnsi="Times New Roman" w:eastAsia="Times New Roman"/>
          <w:b w:val="0"/>
          <w:i w:val="0"/>
          <w:color w:val="000000"/>
          <w:sz w:val="24"/>
        </w:rPr>
        <w:t>Laboratory germination was compared within each batch by a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test of independence, with Fisher's exact test for the best inoculant against the control. Pot germination was fitted with a binomial generalized linear model (logit link; factors inoculant and NaCl), and effects were tested by likelihood-ratio (LR)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tests between nested models. Continuous traits were analysed by two-way ANOVA (inoculant × NaCl) computed from replicate means and SDs (n = 3) (Larson, 1992), with partial eta-squared (η</w:t>
      </w:r>
      <w:r>
        <w:rPr>
          <w:rFonts w:ascii="Times New Roman" w:hAnsi="Times New Roman" w:eastAsia="Times New Roman"/>
          <w:b w:val="0"/>
          <w:i w:val="0"/>
          <w:color w:val="000000"/>
          <w:sz w:val="24"/>
          <w:vertAlign w:val="subscript"/>
        </w:rPr>
        <w:t>p</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as effect size and Tukey's HSD at α = 0.05 (Tukey, 1949); traits without recorded replicate SDs (consortium sugars and DPPH) were described only. Pearson correlations among the nine CMI traits were computed across the 48 treatment means (|r| ≥ 0.285 for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0.05), and principal component analysis (PCA) was run on the z-scored trait matrix (Jolliffe &amp; Cadima, 2016). Analyses used SciPy (Virtanen et al., 2020) and statsmodels (Seabold &amp; Perktold, 2010). Values are means ± SD of three replicates.</w:t>
      </w:r>
    </w:p>
    <w:p>
      <w:pPr>
        <w:keepNext/>
        <w:spacing w:before="240" w:after="120" w:line="360" w:lineRule="auto"/>
        <w:jc w:val="left"/>
      </w:pPr>
      <w:r>
        <w:rPr>
          <w:rFonts w:ascii="Times New Roman" w:hAnsi="Times New Roman" w:eastAsia="Times New Roman"/>
          <w:b/>
          <w:i w:val="0"/>
          <w:color w:val="000000"/>
          <w:sz w:val="24"/>
        </w:rPr>
        <w:t>3. Results</w:t>
      </w:r>
    </w:p>
    <w:p>
      <w:pPr>
        <w:keepNext/>
        <w:spacing w:before="160" w:after="120" w:line="360" w:lineRule="auto"/>
        <w:jc w:val="left"/>
      </w:pPr>
      <w:r>
        <w:rPr>
          <w:rFonts w:ascii="Times New Roman" w:hAnsi="Times New Roman" w:eastAsia="Times New Roman"/>
          <w:b/>
          <w:i w:val="0"/>
          <w:color w:val="000000"/>
          <w:sz w:val="24"/>
        </w:rPr>
        <w:t>3.1 Consortium compatibility and laboratory germination</w:t>
      </w:r>
    </w:p>
    <w:p>
      <w:pPr>
        <w:spacing w:before="0" w:after="120" w:line="360" w:lineRule="auto"/>
        <w:ind w:firstLine="567"/>
        <w:jc w:val="both"/>
      </w:pPr>
      <w:r>
        <w:rPr>
          <w:rFonts w:ascii="Times New Roman" w:hAnsi="Times New Roman" w:eastAsia="Times New Roman"/>
          <w:b w:val="0"/>
          <w:i w:val="0"/>
          <w:color w:val="000000"/>
          <w:sz w:val="24"/>
        </w:rPr>
        <w:t>All five pairings grew as uniform, stable cultures, with no inhibition zones or altered colony forms where partners met; consortium plates also looked denser than single-isolate plates. This shows that the partners can share a plate, not that the strains cooperate within the plant.</w:t>
      </w:r>
    </w:p>
    <w:p>
      <w:pPr>
        <w:spacing w:before="0" w:after="120" w:line="360" w:lineRule="auto"/>
        <w:ind w:firstLine="567"/>
        <w:jc w:val="both"/>
      </w:pPr>
      <w:r>
        <w:rPr>
          <w:rFonts w:ascii="Times New Roman" w:hAnsi="Times New Roman" w:eastAsia="Times New Roman"/>
          <w:b w:val="0"/>
          <w:i w:val="0"/>
          <w:color w:val="000000"/>
          <w:sz w:val="24"/>
        </w:rPr>
        <w:t>In the laboratory assay, germination ranged from 60% to 92% among isolates and 56% to 84% among consortia (Table 1), but the differences were not significant (isolates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9.40, df = 6,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0.152; consortia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7.02, df = 5,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0.219). Even IS-06 against its control (92% vs. 80%) gave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0.417. The clear effects were on seedling growth. IS-06 (SVI 1327.8) and IS-04 (1313.2) stood well above the control (920.2), whereas IS-02 and IS-03 fell below it; among the consortia, C4-5 produced the longest roots of the assay (90.66 ± 0.57 mm) and the highest SVI (1271.9).</w:t>
      </w:r>
    </w:p>
    <w:p>
      <w:pPr>
        <w:keepNext/>
        <w:spacing w:before="120" w:after="80" w:line="240" w:lineRule="auto"/>
        <w:jc w:val="both"/>
      </w:pPr>
      <w:r>
        <w:rPr>
          <w:rFonts w:ascii="Times New Roman" w:hAnsi="Times New Roman" w:eastAsia="Times New Roman"/>
          <w:b/>
          <w:i w:val="0"/>
          <w:color w:val="000000"/>
          <w:sz w:val="24"/>
        </w:rPr>
        <w:t>Table 1.</w:t>
      </w:r>
      <w:r>
        <w:rPr>
          <w:rFonts w:ascii="Times New Roman" w:hAnsi="Times New Roman" w:eastAsia="Times New Roman"/>
          <w:b w:val="0"/>
          <w:i w:val="0"/>
          <w:color w:val="000000"/>
          <w:sz w:val="24"/>
        </w:rPr>
        <w:t xml:space="preserve"> Germination and early seedling growth of rice cv. IR-64 bacterized with single endophytic isolates or dual-strain consortia in the laboratory assay (0 mM NaCl; 25 seeds per treatment).</w:t>
      </w:r>
    </w:p>
    <w:tbl>
      <w:tblPr>
        <w:tblW w:type="auto" w:w="0"/>
        <w:jc w:val="center"/>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Layout w:type="fixed"/>
        <w:tblW w:w="8845" w:type="dxa"/>
      </w:tblPr>
      <w:tblGrid>
        <w:gridCol w:w="1417"/>
        <w:gridCol w:w="1474"/>
        <w:gridCol w:w="1757"/>
        <w:gridCol w:w="1644"/>
        <w:gridCol w:w="1644"/>
        <w:gridCol w:w="907"/>
      </w:tblGrid>
      <w:tr>
        <w:tc>
          <w:tcPr>
            <w:tcW w:type="dxa" w:w="1417"/>
            <w:vAlign w:val="center"/>
            <w:tcBorders>
              <w:bottom w:val="single" w:sz="6" w:color="000000"/>
            </w:tcBorders>
          </w:tcPr>
          <w:p>
            <w:pPr>
              <w:keepNext/>
              <w:spacing w:after="0" w:before="0" w:line="240" w:lineRule="auto"/>
              <w:jc w:val="center"/>
            </w:pPr>
            <w:r/>
            <w:r>
              <w:rPr>
                <w:rFonts w:ascii="Times New Roman" w:hAnsi="Times New Roman" w:eastAsia="Times New Roman"/>
                <w:b/>
                <w:i w:val="0"/>
                <w:color w:val="000000"/>
                <w:sz w:val="24"/>
              </w:rPr>
              <w:t>Treatment</w:t>
            </w:r>
          </w:p>
        </w:tc>
        <w:tc>
          <w:tcPr>
            <w:tcW w:type="dxa" w:w="1474"/>
            <w:vAlign w:val="center"/>
            <w:tcBorders>
              <w:bottom w:val="single" w:sz="6" w:color="000000"/>
            </w:tcBorders>
          </w:tcPr>
          <w:p>
            <w:pPr>
              <w:keepNext/>
              <w:spacing w:after="0" w:before="0" w:line="240" w:lineRule="auto"/>
              <w:jc w:val="center"/>
            </w:pPr>
            <w:r/>
            <w:r>
              <w:rPr>
                <w:rFonts w:ascii="Times New Roman" w:hAnsi="Times New Roman" w:eastAsia="Times New Roman"/>
                <w:b/>
                <w:i w:val="0"/>
                <w:color w:val="000000"/>
                <w:sz w:val="24"/>
              </w:rPr>
              <w:t>Germinated / total</w:t>
            </w:r>
          </w:p>
        </w:tc>
        <w:tc>
          <w:tcPr>
            <w:tcW w:type="dxa" w:w="1757"/>
            <w:vAlign w:val="center"/>
            <w:tcBorders>
              <w:bottom w:val="single" w:sz="6" w:color="000000"/>
            </w:tcBorders>
          </w:tcPr>
          <w:p>
            <w:pPr>
              <w:keepNext/>
              <w:spacing w:after="0" w:before="0" w:line="240" w:lineRule="auto"/>
              <w:jc w:val="center"/>
            </w:pPr>
            <w:r/>
            <w:r>
              <w:rPr>
                <w:rFonts w:ascii="Times New Roman" w:hAnsi="Times New Roman" w:eastAsia="Times New Roman"/>
                <w:b/>
                <w:i w:val="0"/>
                <w:color w:val="000000"/>
                <w:sz w:val="24"/>
              </w:rPr>
              <w:t>Germination (%)</w:t>
            </w:r>
          </w:p>
        </w:tc>
        <w:tc>
          <w:tcPr>
            <w:tcW w:type="dxa" w:w="1644"/>
            <w:vAlign w:val="center"/>
            <w:tcBorders>
              <w:bottom w:val="single" w:sz="6" w:color="000000"/>
            </w:tcBorders>
          </w:tcPr>
          <w:p>
            <w:pPr>
              <w:keepNext/>
              <w:spacing w:after="0" w:before="0" w:line="240" w:lineRule="auto"/>
              <w:jc w:val="center"/>
            </w:pPr>
            <w:r/>
            <w:r>
              <w:rPr>
                <w:rFonts w:ascii="Times New Roman" w:hAnsi="Times New Roman" w:eastAsia="Times New Roman"/>
                <w:b/>
                <w:i w:val="0"/>
                <w:color w:val="000000"/>
                <w:sz w:val="24"/>
              </w:rPr>
              <w:t>Root length (mm)</w:t>
            </w:r>
          </w:p>
        </w:tc>
        <w:tc>
          <w:tcPr>
            <w:tcW w:type="dxa" w:w="1644"/>
            <w:vAlign w:val="center"/>
            <w:tcBorders>
              <w:bottom w:val="single" w:sz="6" w:color="000000"/>
            </w:tcBorders>
          </w:tcPr>
          <w:p>
            <w:pPr>
              <w:keepNext/>
              <w:spacing w:after="0" w:before="0" w:line="240" w:lineRule="auto"/>
              <w:jc w:val="center"/>
            </w:pPr>
            <w:r/>
            <w:r>
              <w:rPr>
                <w:rFonts w:ascii="Times New Roman" w:hAnsi="Times New Roman" w:eastAsia="Times New Roman"/>
                <w:b/>
                <w:i w:val="0"/>
                <w:color w:val="000000"/>
                <w:sz w:val="24"/>
              </w:rPr>
              <w:t>Shoot length (mm)</w:t>
            </w:r>
          </w:p>
        </w:tc>
        <w:tc>
          <w:tcPr>
            <w:tcW w:type="dxa" w:w="907"/>
            <w:vAlign w:val="center"/>
            <w:tcBorders>
              <w:bottom w:val="single" w:sz="6" w:color="000000"/>
            </w:tcBorders>
          </w:tcPr>
          <w:p>
            <w:pPr>
              <w:keepNext/>
              <w:spacing w:after="0" w:before="0" w:line="240" w:lineRule="auto"/>
              <w:jc w:val="center"/>
            </w:pPr>
            <w:r/>
            <w:r>
              <w:rPr>
                <w:rFonts w:ascii="Times New Roman" w:hAnsi="Times New Roman" w:eastAsia="Times New Roman"/>
                <w:b/>
                <w:i w:val="0"/>
                <w:color w:val="000000"/>
                <w:sz w:val="24"/>
              </w:rPr>
              <w:t>SVI</w:t>
            </w:r>
          </w:p>
        </w:tc>
      </w:tr>
      <w:tr>
        <w:tc>
          <w:tcPr>
            <w:tcW w:type="dxa" w:w="907"/>
            <w:gridSpan w:val="6"/>
            <w:vAlign w:val="center"/>
          </w:tcPr>
          <w:p>
            <w:pPr>
              <w:keepNext/>
              <w:spacing w:after="0" w:before="0" w:line="240" w:lineRule="auto"/>
              <w:jc w:val="left"/>
            </w:pPr>
            <w:r/>
            <w:r>
              <w:rPr>
                <w:rFonts w:ascii="Times New Roman" w:hAnsi="Times New Roman" w:eastAsia="Times New Roman"/>
                <w:b w:val="0"/>
                <w:i/>
                <w:color w:val="000000"/>
                <w:sz w:val="24"/>
              </w:rPr>
              <w:t>Single isolates (batch 1)</w:t>
            </w:r>
          </w:p>
        </w:tc>
      </w:tr>
      <w:tr>
        <w:tc>
          <w:tcPr>
            <w:tcW w:type="dxa" w:w="1417"/>
            <w:vAlign w:val="center"/>
          </w:tcPr>
          <w:p>
            <w:pPr>
              <w:keepNext/>
              <w:spacing w:after="0" w:before="0" w:line="240" w:lineRule="auto"/>
              <w:jc w:val="left"/>
            </w:pPr>
            <w:r/>
            <w:r>
              <w:rPr>
                <w:rFonts w:ascii="Times New Roman" w:hAnsi="Times New Roman" w:eastAsia="Times New Roman"/>
                <w:b w:val="0"/>
                <w:i w:val="0"/>
                <w:color w:val="000000"/>
                <w:sz w:val="24"/>
              </w:rPr>
              <w:t>Control</w:t>
            </w:r>
          </w:p>
        </w:tc>
        <w:tc>
          <w:tcPr>
            <w:tcW w:type="dxa" w:w="1474"/>
            <w:vAlign w:val="center"/>
          </w:tcPr>
          <w:p>
            <w:pPr>
              <w:keepNext/>
              <w:spacing w:after="0" w:before="0" w:line="240" w:lineRule="auto"/>
              <w:jc w:val="center"/>
            </w:pPr>
            <w:r/>
            <w:r>
              <w:rPr>
                <w:rFonts w:ascii="Times New Roman" w:hAnsi="Times New Roman" w:eastAsia="Times New Roman"/>
                <w:b w:val="0"/>
                <w:i w:val="0"/>
                <w:color w:val="000000"/>
                <w:sz w:val="24"/>
              </w:rPr>
              <w:t>20 / 25</w:t>
            </w:r>
          </w:p>
        </w:tc>
        <w:tc>
          <w:tcPr>
            <w:tcW w:type="dxa" w:w="1757"/>
            <w:vAlign w:val="center"/>
          </w:tcPr>
          <w:p>
            <w:pPr>
              <w:keepNext/>
              <w:spacing w:after="0" w:before="0" w:line="240" w:lineRule="auto"/>
              <w:jc w:val="center"/>
            </w:pPr>
            <w:r/>
            <w:r>
              <w:rPr>
                <w:rFonts w:ascii="Times New Roman" w:hAnsi="Times New Roman" w:eastAsia="Times New Roman"/>
                <w:b w:val="0"/>
                <w:i w:val="0"/>
                <w:color w:val="000000"/>
                <w:sz w:val="24"/>
              </w:rPr>
              <w:t>80</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62.43 ± 1.19</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52.60 ± 3.78</w:t>
            </w:r>
          </w:p>
        </w:tc>
        <w:tc>
          <w:tcPr>
            <w:tcW w:type="dxa" w:w="907"/>
            <w:vAlign w:val="center"/>
          </w:tcPr>
          <w:p>
            <w:pPr>
              <w:keepNext/>
              <w:spacing w:after="0" w:before="0" w:line="240" w:lineRule="auto"/>
              <w:jc w:val="center"/>
            </w:pPr>
            <w:r/>
            <w:r>
              <w:rPr>
                <w:rFonts w:ascii="Times New Roman" w:hAnsi="Times New Roman" w:eastAsia="Times New Roman"/>
                <w:b w:val="0"/>
                <w:i w:val="0"/>
                <w:color w:val="000000"/>
                <w:sz w:val="24"/>
              </w:rPr>
              <w:t>920.2</w:t>
            </w:r>
          </w:p>
        </w:tc>
      </w:tr>
      <w:tr>
        <w:tc>
          <w:tcPr>
            <w:tcW w:type="dxa" w:w="1417"/>
            <w:vAlign w:val="center"/>
          </w:tcPr>
          <w:p>
            <w:pPr>
              <w:keepNext/>
              <w:spacing w:after="0" w:before="0" w:line="240" w:lineRule="auto"/>
              <w:jc w:val="left"/>
            </w:pPr>
            <w:r/>
            <w:r>
              <w:rPr>
                <w:rFonts w:ascii="Times New Roman" w:hAnsi="Times New Roman" w:eastAsia="Times New Roman"/>
                <w:b w:val="0"/>
                <w:i w:val="0"/>
                <w:color w:val="000000"/>
                <w:sz w:val="24"/>
              </w:rPr>
              <w:t>IS-01</w:t>
            </w:r>
          </w:p>
        </w:tc>
        <w:tc>
          <w:tcPr>
            <w:tcW w:type="dxa" w:w="1474"/>
            <w:vAlign w:val="center"/>
          </w:tcPr>
          <w:p>
            <w:pPr>
              <w:keepNext/>
              <w:spacing w:after="0" w:before="0" w:line="240" w:lineRule="auto"/>
              <w:jc w:val="center"/>
            </w:pPr>
            <w:r/>
            <w:r>
              <w:rPr>
                <w:rFonts w:ascii="Times New Roman" w:hAnsi="Times New Roman" w:eastAsia="Times New Roman"/>
                <w:b w:val="0"/>
                <w:i w:val="0"/>
                <w:color w:val="000000"/>
                <w:sz w:val="24"/>
              </w:rPr>
              <w:t>19 / 25</w:t>
            </w:r>
          </w:p>
        </w:tc>
        <w:tc>
          <w:tcPr>
            <w:tcW w:type="dxa" w:w="1757"/>
            <w:vAlign w:val="center"/>
          </w:tcPr>
          <w:p>
            <w:pPr>
              <w:keepNext/>
              <w:spacing w:after="0" w:before="0" w:line="240" w:lineRule="auto"/>
              <w:jc w:val="center"/>
            </w:pPr>
            <w:r/>
            <w:r>
              <w:rPr>
                <w:rFonts w:ascii="Times New Roman" w:hAnsi="Times New Roman" w:eastAsia="Times New Roman"/>
                <w:b w:val="0"/>
                <w:i w:val="0"/>
                <w:color w:val="000000"/>
                <w:sz w:val="24"/>
              </w:rPr>
              <w:t>76</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55.66 ± 3.05</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34.00 ± 4.58</w:t>
            </w:r>
          </w:p>
        </w:tc>
        <w:tc>
          <w:tcPr>
            <w:tcW w:type="dxa" w:w="907"/>
            <w:vAlign w:val="center"/>
          </w:tcPr>
          <w:p>
            <w:pPr>
              <w:keepNext/>
              <w:spacing w:after="0" w:before="0" w:line="240" w:lineRule="auto"/>
              <w:jc w:val="center"/>
            </w:pPr>
            <w:r/>
            <w:r>
              <w:rPr>
                <w:rFonts w:ascii="Times New Roman" w:hAnsi="Times New Roman" w:eastAsia="Times New Roman"/>
                <w:b w:val="0"/>
                <w:i w:val="0"/>
                <w:color w:val="000000"/>
                <w:sz w:val="24"/>
              </w:rPr>
              <w:t>681.4</w:t>
            </w:r>
          </w:p>
        </w:tc>
      </w:tr>
      <w:tr>
        <w:tc>
          <w:tcPr>
            <w:tcW w:type="dxa" w:w="1417"/>
            <w:vAlign w:val="center"/>
          </w:tcPr>
          <w:p>
            <w:pPr>
              <w:keepNext/>
              <w:spacing w:after="0" w:before="0" w:line="240" w:lineRule="auto"/>
              <w:jc w:val="left"/>
            </w:pPr>
            <w:r/>
            <w:r>
              <w:rPr>
                <w:rFonts w:ascii="Times New Roman" w:hAnsi="Times New Roman" w:eastAsia="Times New Roman"/>
                <w:b w:val="0"/>
                <w:i w:val="0"/>
                <w:color w:val="000000"/>
                <w:sz w:val="24"/>
              </w:rPr>
              <w:t>IS-02</w:t>
            </w:r>
          </w:p>
        </w:tc>
        <w:tc>
          <w:tcPr>
            <w:tcW w:type="dxa" w:w="1474"/>
            <w:vAlign w:val="center"/>
          </w:tcPr>
          <w:p>
            <w:pPr>
              <w:keepNext/>
              <w:spacing w:after="0" w:before="0" w:line="240" w:lineRule="auto"/>
              <w:jc w:val="center"/>
            </w:pPr>
            <w:r/>
            <w:r>
              <w:rPr>
                <w:rFonts w:ascii="Times New Roman" w:hAnsi="Times New Roman" w:eastAsia="Times New Roman"/>
                <w:b w:val="0"/>
                <w:i w:val="0"/>
                <w:color w:val="000000"/>
                <w:sz w:val="24"/>
              </w:rPr>
              <w:t>15 / 25</w:t>
            </w:r>
          </w:p>
        </w:tc>
        <w:tc>
          <w:tcPr>
            <w:tcW w:type="dxa" w:w="1757"/>
            <w:vAlign w:val="center"/>
          </w:tcPr>
          <w:p>
            <w:pPr>
              <w:keepNext/>
              <w:spacing w:after="0" w:before="0" w:line="240" w:lineRule="auto"/>
              <w:jc w:val="center"/>
            </w:pPr>
            <w:r/>
            <w:r>
              <w:rPr>
                <w:rFonts w:ascii="Times New Roman" w:hAnsi="Times New Roman" w:eastAsia="Times New Roman"/>
                <w:b w:val="0"/>
                <w:i w:val="0"/>
                <w:color w:val="000000"/>
                <w:sz w:val="24"/>
              </w:rPr>
              <w:t>60</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40.33 ± 0.47</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50.66 ± 1.15</w:t>
            </w:r>
          </w:p>
        </w:tc>
        <w:tc>
          <w:tcPr>
            <w:tcW w:type="dxa" w:w="907"/>
            <w:vAlign w:val="center"/>
          </w:tcPr>
          <w:p>
            <w:pPr>
              <w:keepNext/>
              <w:spacing w:after="0" w:before="0" w:line="240" w:lineRule="auto"/>
              <w:jc w:val="center"/>
            </w:pPr>
            <w:r/>
            <w:r>
              <w:rPr>
                <w:rFonts w:ascii="Times New Roman" w:hAnsi="Times New Roman" w:eastAsia="Times New Roman"/>
                <w:b w:val="0"/>
                <w:i w:val="0"/>
                <w:color w:val="000000"/>
                <w:sz w:val="24"/>
              </w:rPr>
              <w:t>545.9</w:t>
            </w:r>
          </w:p>
        </w:tc>
      </w:tr>
      <w:tr>
        <w:tc>
          <w:tcPr>
            <w:tcW w:type="dxa" w:w="1417"/>
            <w:vAlign w:val="center"/>
          </w:tcPr>
          <w:p>
            <w:pPr>
              <w:keepNext/>
              <w:spacing w:after="0" w:before="0" w:line="240" w:lineRule="auto"/>
              <w:jc w:val="left"/>
            </w:pPr>
            <w:r/>
            <w:r>
              <w:rPr>
                <w:rFonts w:ascii="Times New Roman" w:hAnsi="Times New Roman" w:eastAsia="Times New Roman"/>
                <w:b w:val="0"/>
                <w:i w:val="0"/>
                <w:color w:val="000000"/>
                <w:sz w:val="24"/>
              </w:rPr>
              <w:t>IS-03</w:t>
            </w:r>
          </w:p>
        </w:tc>
        <w:tc>
          <w:tcPr>
            <w:tcW w:type="dxa" w:w="1474"/>
            <w:vAlign w:val="center"/>
          </w:tcPr>
          <w:p>
            <w:pPr>
              <w:keepNext/>
              <w:spacing w:after="0" w:before="0" w:line="240" w:lineRule="auto"/>
              <w:jc w:val="center"/>
            </w:pPr>
            <w:r/>
            <w:r>
              <w:rPr>
                <w:rFonts w:ascii="Times New Roman" w:hAnsi="Times New Roman" w:eastAsia="Times New Roman"/>
                <w:b w:val="0"/>
                <w:i w:val="0"/>
                <w:color w:val="000000"/>
                <w:sz w:val="24"/>
              </w:rPr>
              <w:t>17 / 25</w:t>
            </w:r>
          </w:p>
        </w:tc>
        <w:tc>
          <w:tcPr>
            <w:tcW w:type="dxa" w:w="1757"/>
            <w:vAlign w:val="center"/>
          </w:tcPr>
          <w:p>
            <w:pPr>
              <w:keepNext/>
              <w:spacing w:after="0" w:before="0" w:line="240" w:lineRule="auto"/>
              <w:jc w:val="center"/>
            </w:pPr>
            <w:r/>
            <w:r>
              <w:rPr>
                <w:rFonts w:ascii="Times New Roman" w:hAnsi="Times New Roman" w:eastAsia="Times New Roman"/>
                <w:b w:val="0"/>
                <w:i w:val="0"/>
                <w:color w:val="000000"/>
                <w:sz w:val="24"/>
              </w:rPr>
              <w:t>68</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32.33 ± 2.08</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42.33 ± 1.52</w:t>
            </w:r>
          </w:p>
        </w:tc>
        <w:tc>
          <w:tcPr>
            <w:tcW w:type="dxa" w:w="907"/>
            <w:vAlign w:val="center"/>
          </w:tcPr>
          <w:p>
            <w:pPr>
              <w:keepNext/>
              <w:spacing w:after="0" w:before="0" w:line="240" w:lineRule="auto"/>
              <w:jc w:val="center"/>
            </w:pPr>
            <w:r/>
            <w:r>
              <w:rPr>
                <w:rFonts w:ascii="Times New Roman" w:hAnsi="Times New Roman" w:eastAsia="Times New Roman"/>
                <w:b w:val="0"/>
                <w:i w:val="0"/>
                <w:color w:val="000000"/>
                <w:sz w:val="24"/>
              </w:rPr>
              <w:t>507.7</w:t>
            </w:r>
          </w:p>
        </w:tc>
      </w:tr>
      <w:tr>
        <w:tc>
          <w:tcPr>
            <w:tcW w:type="dxa" w:w="1417"/>
            <w:vAlign w:val="center"/>
          </w:tcPr>
          <w:p>
            <w:pPr>
              <w:keepNext/>
              <w:spacing w:after="0" w:before="0" w:line="240" w:lineRule="auto"/>
              <w:jc w:val="left"/>
            </w:pPr>
            <w:r/>
            <w:r>
              <w:rPr>
                <w:rFonts w:ascii="Times New Roman" w:hAnsi="Times New Roman" w:eastAsia="Times New Roman"/>
                <w:b w:val="0"/>
                <w:i w:val="0"/>
                <w:color w:val="000000"/>
                <w:sz w:val="24"/>
              </w:rPr>
              <w:t>IS-04</w:t>
            </w:r>
          </w:p>
        </w:tc>
        <w:tc>
          <w:tcPr>
            <w:tcW w:type="dxa" w:w="1474"/>
            <w:vAlign w:val="center"/>
          </w:tcPr>
          <w:p>
            <w:pPr>
              <w:keepNext/>
              <w:spacing w:after="0" w:before="0" w:line="240" w:lineRule="auto"/>
              <w:jc w:val="center"/>
            </w:pPr>
            <w:r/>
            <w:r>
              <w:rPr>
                <w:rFonts w:ascii="Times New Roman" w:hAnsi="Times New Roman" w:eastAsia="Times New Roman"/>
                <w:b w:val="0"/>
                <w:i w:val="0"/>
                <w:color w:val="000000"/>
                <w:sz w:val="24"/>
              </w:rPr>
              <w:t>21 / 25</w:t>
            </w:r>
          </w:p>
        </w:tc>
        <w:tc>
          <w:tcPr>
            <w:tcW w:type="dxa" w:w="1757"/>
            <w:vAlign w:val="center"/>
          </w:tcPr>
          <w:p>
            <w:pPr>
              <w:keepNext/>
              <w:spacing w:after="0" w:before="0" w:line="240" w:lineRule="auto"/>
              <w:jc w:val="center"/>
            </w:pPr>
            <w:r/>
            <w:r>
              <w:rPr>
                <w:rFonts w:ascii="Times New Roman" w:hAnsi="Times New Roman" w:eastAsia="Times New Roman"/>
                <w:b w:val="0"/>
                <w:i w:val="0"/>
                <w:color w:val="000000"/>
                <w:sz w:val="24"/>
              </w:rPr>
              <w:t>84</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73.00 ± 4.35</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83.33 ± 3.21</w:t>
            </w:r>
          </w:p>
        </w:tc>
        <w:tc>
          <w:tcPr>
            <w:tcW w:type="dxa" w:w="907"/>
            <w:vAlign w:val="center"/>
          </w:tcPr>
          <w:p>
            <w:pPr>
              <w:keepNext/>
              <w:spacing w:after="0" w:before="0" w:line="240" w:lineRule="auto"/>
              <w:jc w:val="center"/>
            </w:pPr>
            <w:r/>
            <w:r>
              <w:rPr>
                <w:rFonts w:ascii="Times New Roman" w:hAnsi="Times New Roman" w:eastAsia="Times New Roman"/>
                <w:b w:val="0"/>
                <w:i w:val="0"/>
                <w:color w:val="000000"/>
                <w:sz w:val="24"/>
              </w:rPr>
              <w:t>1313.2</w:t>
            </w:r>
          </w:p>
        </w:tc>
      </w:tr>
      <w:tr>
        <w:tc>
          <w:tcPr>
            <w:tcW w:type="dxa" w:w="1417"/>
            <w:vAlign w:val="center"/>
          </w:tcPr>
          <w:p>
            <w:pPr>
              <w:keepNext/>
              <w:spacing w:after="0" w:before="0" w:line="240" w:lineRule="auto"/>
              <w:jc w:val="left"/>
            </w:pPr>
            <w:r/>
            <w:r>
              <w:rPr>
                <w:rFonts w:ascii="Times New Roman" w:hAnsi="Times New Roman" w:eastAsia="Times New Roman"/>
                <w:b w:val="0"/>
                <w:i w:val="0"/>
                <w:color w:val="000000"/>
                <w:sz w:val="24"/>
              </w:rPr>
              <w:t>IS-05</w:t>
            </w:r>
          </w:p>
        </w:tc>
        <w:tc>
          <w:tcPr>
            <w:tcW w:type="dxa" w:w="1474"/>
            <w:vAlign w:val="center"/>
          </w:tcPr>
          <w:p>
            <w:pPr>
              <w:keepNext/>
              <w:spacing w:after="0" w:before="0" w:line="240" w:lineRule="auto"/>
              <w:jc w:val="center"/>
            </w:pPr>
            <w:r/>
            <w:r>
              <w:rPr>
                <w:rFonts w:ascii="Times New Roman" w:hAnsi="Times New Roman" w:eastAsia="Times New Roman"/>
                <w:b w:val="0"/>
                <w:i w:val="0"/>
                <w:color w:val="000000"/>
                <w:sz w:val="24"/>
              </w:rPr>
              <w:t>20 / 25</w:t>
            </w:r>
          </w:p>
        </w:tc>
        <w:tc>
          <w:tcPr>
            <w:tcW w:type="dxa" w:w="1757"/>
            <w:vAlign w:val="center"/>
          </w:tcPr>
          <w:p>
            <w:pPr>
              <w:keepNext/>
              <w:spacing w:after="0" w:before="0" w:line="240" w:lineRule="auto"/>
              <w:jc w:val="center"/>
            </w:pPr>
            <w:r/>
            <w:r>
              <w:rPr>
                <w:rFonts w:ascii="Times New Roman" w:hAnsi="Times New Roman" w:eastAsia="Times New Roman"/>
                <w:b w:val="0"/>
                <w:i w:val="0"/>
                <w:color w:val="000000"/>
                <w:sz w:val="24"/>
              </w:rPr>
              <w:t>80</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63.00 ± 1.00</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72.33 ± 2.51</w:t>
            </w:r>
          </w:p>
        </w:tc>
        <w:tc>
          <w:tcPr>
            <w:tcW w:type="dxa" w:w="907"/>
            <w:vAlign w:val="center"/>
          </w:tcPr>
          <w:p>
            <w:pPr>
              <w:keepNext/>
              <w:spacing w:after="0" w:before="0" w:line="240" w:lineRule="auto"/>
              <w:jc w:val="center"/>
            </w:pPr>
            <w:r/>
            <w:r>
              <w:rPr>
                <w:rFonts w:ascii="Times New Roman" w:hAnsi="Times New Roman" w:eastAsia="Times New Roman"/>
                <w:b w:val="0"/>
                <w:i w:val="0"/>
                <w:color w:val="000000"/>
                <w:sz w:val="24"/>
              </w:rPr>
              <w:t>1082.6</w:t>
            </w:r>
          </w:p>
        </w:tc>
      </w:tr>
      <w:tr>
        <w:tc>
          <w:tcPr>
            <w:tcW w:type="dxa" w:w="1417"/>
            <w:vAlign w:val="center"/>
          </w:tcPr>
          <w:p>
            <w:pPr>
              <w:keepNext/>
              <w:spacing w:after="0" w:before="0" w:line="240" w:lineRule="auto"/>
              <w:jc w:val="left"/>
            </w:pPr>
            <w:r/>
            <w:r>
              <w:rPr>
                <w:rFonts w:ascii="Times New Roman" w:hAnsi="Times New Roman" w:eastAsia="Times New Roman"/>
                <w:b w:val="0"/>
                <w:i w:val="0"/>
                <w:color w:val="000000"/>
                <w:sz w:val="24"/>
              </w:rPr>
              <w:t>IS-06</w:t>
            </w:r>
          </w:p>
        </w:tc>
        <w:tc>
          <w:tcPr>
            <w:tcW w:type="dxa" w:w="1474"/>
            <w:vAlign w:val="center"/>
          </w:tcPr>
          <w:p>
            <w:pPr>
              <w:keepNext/>
              <w:spacing w:after="0" w:before="0" w:line="240" w:lineRule="auto"/>
              <w:jc w:val="center"/>
            </w:pPr>
            <w:r/>
            <w:r>
              <w:rPr>
                <w:rFonts w:ascii="Times New Roman" w:hAnsi="Times New Roman" w:eastAsia="Times New Roman"/>
                <w:b w:val="0"/>
                <w:i w:val="0"/>
                <w:color w:val="000000"/>
                <w:sz w:val="24"/>
              </w:rPr>
              <w:t>23 / 25</w:t>
            </w:r>
          </w:p>
        </w:tc>
        <w:tc>
          <w:tcPr>
            <w:tcW w:type="dxa" w:w="1757"/>
            <w:vAlign w:val="center"/>
          </w:tcPr>
          <w:p>
            <w:pPr>
              <w:keepNext/>
              <w:spacing w:after="0" w:before="0" w:line="240" w:lineRule="auto"/>
              <w:jc w:val="center"/>
            </w:pPr>
            <w:r/>
            <w:r>
              <w:rPr>
                <w:rFonts w:ascii="Times New Roman" w:hAnsi="Times New Roman" w:eastAsia="Times New Roman"/>
                <w:b w:val="0"/>
                <w:i w:val="0"/>
                <w:color w:val="000000"/>
                <w:sz w:val="24"/>
              </w:rPr>
              <w:t>92</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52.33 ± 2.51</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92.00 ± 2.64</w:t>
            </w:r>
          </w:p>
        </w:tc>
        <w:tc>
          <w:tcPr>
            <w:tcW w:type="dxa" w:w="907"/>
            <w:vAlign w:val="center"/>
          </w:tcPr>
          <w:p>
            <w:pPr>
              <w:keepNext/>
              <w:spacing w:after="0" w:before="0" w:line="240" w:lineRule="auto"/>
              <w:jc w:val="center"/>
            </w:pPr>
            <w:r/>
            <w:r>
              <w:rPr>
                <w:rFonts w:ascii="Times New Roman" w:hAnsi="Times New Roman" w:eastAsia="Times New Roman"/>
                <w:b w:val="0"/>
                <w:i w:val="0"/>
                <w:color w:val="000000"/>
                <w:sz w:val="24"/>
              </w:rPr>
              <w:t>1327.8</w:t>
            </w:r>
          </w:p>
        </w:tc>
      </w:tr>
      <w:tr>
        <w:tc>
          <w:tcPr>
            <w:tcW w:type="dxa" w:w="907"/>
            <w:gridSpan w:val="6"/>
            <w:vAlign w:val="center"/>
          </w:tcPr>
          <w:p>
            <w:pPr>
              <w:keepNext/>
              <w:spacing w:after="0" w:before="0" w:line="240" w:lineRule="auto"/>
              <w:jc w:val="left"/>
            </w:pPr>
            <w:r/>
            <w:r>
              <w:rPr>
                <w:rFonts w:ascii="Times New Roman" w:hAnsi="Times New Roman" w:eastAsia="Times New Roman"/>
                <w:b w:val="0"/>
                <w:i/>
                <w:color w:val="000000"/>
                <w:sz w:val="24"/>
              </w:rPr>
              <w:t>Dual-strain consortia (batch 2)</w:t>
            </w:r>
          </w:p>
        </w:tc>
      </w:tr>
      <w:tr>
        <w:tc>
          <w:tcPr>
            <w:tcW w:type="dxa" w:w="1417"/>
            <w:vAlign w:val="center"/>
          </w:tcPr>
          <w:p>
            <w:pPr>
              <w:keepNext/>
              <w:spacing w:after="0" w:before="0" w:line="240" w:lineRule="auto"/>
              <w:jc w:val="left"/>
            </w:pPr>
            <w:r/>
            <w:r>
              <w:rPr>
                <w:rFonts w:ascii="Times New Roman" w:hAnsi="Times New Roman" w:eastAsia="Times New Roman"/>
                <w:b w:val="0"/>
                <w:i w:val="0"/>
                <w:color w:val="000000"/>
                <w:sz w:val="24"/>
              </w:rPr>
              <w:t>Control</w:t>
            </w:r>
          </w:p>
        </w:tc>
        <w:tc>
          <w:tcPr>
            <w:tcW w:type="dxa" w:w="1474"/>
            <w:vAlign w:val="center"/>
          </w:tcPr>
          <w:p>
            <w:pPr>
              <w:keepNext/>
              <w:spacing w:after="0" w:before="0" w:line="240" w:lineRule="auto"/>
              <w:jc w:val="center"/>
            </w:pPr>
            <w:r/>
            <w:r>
              <w:rPr>
                <w:rFonts w:ascii="Times New Roman" w:hAnsi="Times New Roman" w:eastAsia="Times New Roman"/>
                <w:b w:val="0"/>
                <w:i w:val="0"/>
                <w:color w:val="000000"/>
                <w:sz w:val="24"/>
              </w:rPr>
              <w:t>17 / 25</w:t>
            </w:r>
          </w:p>
        </w:tc>
        <w:tc>
          <w:tcPr>
            <w:tcW w:type="dxa" w:w="1757"/>
            <w:vAlign w:val="center"/>
          </w:tcPr>
          <w:p>
            <w:pPr>
              <w:keepNext/>
              <w:spacing w:after="0" w:before="0" w:line="240" w:lineRule="auto"/>
              <w:jc w:val="center"/>
            </w:pPr>
            <w:r/>
            <w:r>
              <w:rPr>
                <w:rFonts w:ascii="Times New Roman" w:hAnsi="Times New Roman" w:eastAsia="Times New Roman"/>
                <w:b w:val="0"/>
                <w:i w:val="0"/>
                <w:color w:val="000000"/>
                <w:sz w:val="24"/>
              </w:rPr>
              <w:t>68</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43.50 ± 1.09</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33.78 ± 2.30</w:t>
            </w:r>
          </w:p>
        </w:tc>
        <w:tc>
          <w:tcPr>
            <w:tcW w:type="dxa" w:w="907"/>
            <w:vAlign w:val="center"/>
          </w:tcPr>
          <w:p>
            <w:pPr>
              <w:keepNext/>
              <w:spacing w:after="0" w:before="0" w:line="240" w:lineRule="auto"/>
              <w:jc w:val="center"/>
            </w:pPr>
            <w:r/>
            <w:r>
              <w:rPr>
                <w:rFonts w:ascii="Times New Roman" w:hAnsi="Times New Roman" w:eastAsia="Times New Roman"/>
                <w:b w:val="0"/>
                <w:i w:val="0"/>
                <w:color w:val="000000"/>
                <w:sz w:val="24"/>
              </w:rPr>
              <w:t>525.5</w:t>
            </w:r>
          </w:p>
        </w:tc>
      </w:tr>
      <w:tr>
        <w:tc>
          <w:tcPr>
            <w:tcW w:type="dxa" w:w="1417"/>
            <w:vAlign w:val="center"/>
          </w:tcPr>
          <w:p>
            <w:pPr>
              <w:keepNext/>
              <w:spacing w:after="0" w:before="0" w:line="240" w:lineRule="auto"/>
              <w:jc w:val="left"/>
            </w:pPr>
            <w:r/>
            <w:r>
              <w:rPr>
                <w:rFonts w:ascii="Times New Roman" w:hAnsi="Times New Roman" w:eastAsia="Times New Roman"/>
                <w:b w:val="0"/>
                <w:i w:val="0"/>
                <w:color w:val="000000"/>
                <w:sz w:val="24"/>
              </w:rPr>
              <w:t>C1-3</w:t>
            </w:r>
          </w:p>
        </w:tc>
        <w:tc>
          <w:tcPr>
            <w:tcW w:type="dxa" w:w="1474"/>
            <w:vAlign w:val="center"/>
          </w:tcPr>
          <w:p>
            <w:pPr>
              <w:keepNext/>
              <w:spacing w:after="0" w:before="0" w:line="240" w:lineRule="auto"/>
              <w:jc w:val="center"/>
            </w:pPr>
            <w:r/>
            <w:r>
              <w:rPr>
                <w:rFonts w:ascii="Times New Roman" w:hAnsi="Times New Roman" w:eastAsia="Times New Roman"/>
                <w:b w:val="0"/>
                <w:i w:val="0"/>
                <w:color w:val="000000"/>
                <w:sz w:val="24"/>
              </w:rPr>
              <w:t>14 / 25</w:t>
            </w:r>
          </w:p>
        </w:tc>
        <w:tc>
          <w:tcPr>
            <w:tcW w:type="dxa" w:w="1757"/>
            <w:vAlign w:val="center"/>
          </w:tcPr>
          <w:p>
            <w:pPr>
              <w:keepNext/>
              <w:spacing w:after="0" w:before="0" w:line="240" w:lineRule="auto"/>
              <w:jc w:val="center"/>
            </w:pPr>
            <w:r/>
            <w:r>
              <w:rPr>
                <w:rFonts w:ascii="Times New Roman" w:hAnsi="Times New Roman" w:eastAsia="Times New Roman"/>
                <w:b w:val="0"/>
                <w:i w:val="0"/>
                <w:color w:val="000000"/>
                <w:sz w:val="24"/>
              </w:rPr>
              <w:t>56</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70.00 ± 0.00</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44.00 ± 3.60</w:t>
            </w:r>
          </w:p>
        </w:tc>
        <w:tc>
          <w:tcPr>
            <w:tcW w:type="dxa" w:w="907"/>
            <w:vAlign w:val="center"/>
          </w:tcPr>
          <w:p>
            <w:pPr>
              <w:keepNext/>
              <w:spacing w:after="0" w:before="0" w:line="240" w:lineRule="auto"/>
              <w:jc w:val="center"/>
            </w:pPr>
            <w:r/>
            <w:r>
              <w:rPr>
                <w:rFonts w:ascii="Times New Roman" w:hAnsi="Times New Roman" w:eastAsia="Times New Roman"/>
                <w:b w:val="0"/>
                <w:i w:val="0"/>
                <w:color w:val="000000"/>
                <w:sz w:val="24"/>
              </w:rPr>
              <w:t>638.4</w:t>
            </w:r>
          </w:p>
        </w:tc>
      </w:tr>
      <w:tr>
        <w:tc>
          <w:tcPr>
            <w:tcW w:type="dxa" w:w="1417"/>
            <w:vAlign w:val="center"/>
          </w:tcPr>
          <w:p>
            <w:pPr>
              <w:keepNext/>
              <w:spacing w:after="0" w:before="0" w:line="240" w:lineRule="auto"/>
              <w:jc w:val="left"/>
            </w:pPr>
            <w:r/>
            <w:r>
              <w:rPr>
                <w:rFonts w:ascii="Times New Roman" w:hAnsi="Times New Roman" w:eastAsia="Times New Roman"/>
                <w:b w:val="0"/>
                <w:i w:val="0"/>
                <w:color w:val="000000"/>
                <w:sz w:val="24"/>
              </w:rPr>
              <w:t>C1-5</w:t>
            </w:r>
          </w:p>
        </w:tc>
        <w:tc>
          <w:tcPr>
            <w:tcW w:type="dxa" w:w="1474"/>
            <w:vAlign w:val="center"/>
          </w:tcPr>
          <w:p>
            <w:pPr>
              <w:keepNext/>
              <w:spacing w:after="0" w:before="0" w:line="240" w:lineRule="auto"/>
              <w:jc w:val="center"/>
            </w:pPr>
            <w:r/>
            <w:r>
              <w:rPr>
                <w:rFonts w:ascii="Times New Roman" w:hAnsi="Times New Roman" w:eastAsia="Times New Roman"/>
                <w:b w:val="0"/>
                <w:i w:val="0"/>
                <w:color w:val="000000"/>
                <w:sz w:val="24"/>
              </w:rPr>
              <w:t>15 / 25</w:t>
            </w:r>
          </w:p>
        </w:tc>
        <w:tc>
          <w:tcPr>
            <w:tcW w:type="dxa" w:w="1757"/>
            <w:vAlign w:val="center"/>
          </w:tcPr>
          <w:p>
            <w:pPr>
              <w:keepNext/>
              <w:spacing w:after="0" w:before="0" w:line="240" w:lineRule="auto"/>
              <w:jc w:val="center"/>
            </w:pPr>
            <w:r/>
            <w:r>
              <w:rPr>
                <w:rFonts w:ascii="Times New Roman" w:hAnsi="Times New Roman" w:eastAsia="Times New Roman"/>
                <w:b w:val="0"/>
                <w:i w:val="0"/>
                <w:color w:val="000000"/>
                <w:sz w:val="24"/>
              </w:rPr>
              <w:t>60</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63.66 ± 1.52</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51.66 ± 2.88</w:t>
            </w:r>
          </w:p>
        </w:tc>
        <w:tc>
          <w:tcPr>
            <w:tcW w:type="dxa" w:w="907"/>
            <w:vAlign w:val="center"/>
          </w:tcPr>
          <w:p>
            <w:pPr>
              <w:keepNext/>
              <w:spacing w:after="0" w:before="0" w:line="240" w:lineRule="auto"/>
              <w:jc w:val="center"/>
            </w:pPr>
            <w:r/>
            <w:r>
              <w:rPr>
                <w:rFonts w:ascii="Times New Roman" w:hAnsi="Times New Roman" w:eastAsia="Times New Roman"/>
                <w:b w:val="0"/>
                <w:i w:val="0"/>
                <w:color w:val="000000"/>
                <w:sz w:val="24"/>
              </w:rPr>
              <w:t>691.9</w:t>
            </w:r>
          </w:p>
        </w:tc>
      </w:tr>
      <w:tr>
        <w:tc>
          <w:tcPr>
            <w:tcW w:type="dxa" w:w="1417"/>
            <w:vAlign w:val="center"/>
          </w:tcPr>
          <w:p>
            <w:pPr>
              <w:keepNext/>
              <w:spacing w:after="0" w:before="0" w:line="240" w:lineRule="auto"/>
              <w:jc w:val="left"/>
            </w:pPr>
            <w:r/>
            <w:r>
              <w:rPr>
                <w:rFonts w:ascii="Times New Roman" w:hAnsi="Times New Roman" w:eastAsia="Times New Roman"/>
                <w:b w:val="0"/>
                <w:i w:val="0"/>
                <w:color w:val="000000"/>
                <w:sz w:val="24"/>
              </w:rPr>
              <w:t>C2-3</w:t>
            </w:r>
          </w:p>
        </w:tc>
        <w:tc>
          <w:tcPr>
            <w:tcW w:type="dxa" w:w="1474"/>
            <w:vAlign w:val="center"/>
          </w:tcPr>
          <w:p>
            <w:pPr>
              <w:keepNext/>
              <w:spacing w:after="0" w:before="0" w:line="240" w:lineRule="auto"/>
              <w:jc w:val="center"/>
            </w:pPr>
            <w:r/>
            <w:r>
              <w:rPr>
                <w:rFonts w:ascii="Times New Roman" w:hAnsi="Times New Roman" w:eastAsia="Times New Roman"/>
                <w:b w:val="0"/>
                <w:i w:val="0"/>
                <w:color w:val="000000"/>
                <w:sz w:val="24"/>
              </w:rPr>
              <w:t>17 / 25</w:t>
            </w:r>
          </w:p>
        </w:tc>
        <w:tc>
          <w:tcPr>
            <w:tcW w:type="dxa" w:w="1757"/>
            <w:vAlign w:val="center"/>
          </w:tcPr>
          <w:p>
            <w:pPr>
              <w:keepNext/>
              <w:spacing w:after="0" w:before="0" w:line="240" w:lineRule="auto"/>
              <w:jc w:val="center"/>
            </w:pPr>
            <w:r/>
            <w:r>
              <w:rPr>
                <w:rFonts w:ascii="Times New Roman" w:hAnsi="Times New Roman" w:eastAsia="Times New Roman"/>
                <w:b w:val="0"/>
                <w:i w:val="0"/>
                <w:color w:val="000000"/>
                <w:sz w:val="24"/>
              </w:rPr>
              <w:t>68</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41.66 ± 2.08</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33.33 ± 3.21</w:t>
            </w:r>
          </w:p>
        </w:tc>
        <w:tc>
          <w:tcPr>
            <w:tcW w:type="dxa" w:w="907"/>
            <w:vAlign w:val="center"/>
          </w:tcPr>
          <w:p>
            <w:pPr>
              <w:keepNext/>
              <w:spacing w:after="0" w:before="0" w:line="240" w:lineRule="auto"/>
              <w:jc w:val="center"/>
            </w:pPr>
            <w:r/>
            <w:r>
              <w:rPr>
                <w:rFonts w:ascii="Times New Roman" w:hAnsi="Times New Roman" w:eastAsia="Times New Roman"/>
                <w:b w:val="0"/>
                <w:i w:val="0"/>
                <w:color w:val="000000"/>
                <w:sz w:val="24"/>
              </w:rPr>
              <w:t>509.9</w:t>
            </w:r>
          </w:p>
        </w:tc>
      </w:tr>
      <w:tr>
        <w:tc>
          <w:tcPr>
            <w:tcW w:type="dxa" w:w="1417"/>
            <w:vAlign w:val="center"/>
          </w:tcPr>
          <w:p>
            <w:pPr>
              <w:keepNext/>
              <w:spacing w:after="0" w:before="0" w:line="240" w:lineRule="auto"/>
              <w:jc w:val="left"/>
            </w:pPr>
            <w:r/>
            <w:r>
              <w:rPr>
                <w:rFonts w:ascii="Times New Roman" w:hAnsi="Times New Roman" w:eastAsia="Times New Roman"/>
                <w:b w:val="0"/>
                <w:i w:val="0"/>
                <w:color w:val="000000"/>
                <w:sz w:val="24"/>
              </w:rPr>
              <w:t>C2-5</w:t>
            </w:r>
          </w:p>
        </w:tc>
        <w:tc>
          <w:tcPr>
            <w:tcW w:type="dxa" w:w="1474"/>
            <w:vAlign w:val="center"/>
          </w:tcPr>
          <w:p>
            <w:pPr>
              <w:keepNext/>
              <w:spacing w:after="0" w:before="0" w:line="240" w:lineRule="auto"/>
              <w:jc w:val="center"/>
            </w:pPr>
            <w:r/>
            <w:r>
              <w:rPr>
                <w:rFonts w:ascii="Times New Roman" w:hAnsi="Times New Roman" w:eastAsia="Times New Roman"/>
                <w:b w:val="0"/>
                <w:i w:val="0"/>
                <w:color w:val="000000"/>
                <w:sz w:val="24"/>
              </w:rPr>
              <w:t>21 / 25</w:t>
            </w:r>
          </w:p>
        </w:tc>
        <w:tc>
          <w:tcPr>
            <w:tcW w:type="dxa" w:w="1757"/>
            <w:vAlign w:val="center"/>
          </w:tcPr>
          <w:p>
            <w:pPr>
              <w:keepNext/>
              <w:spacing w:after="0" w:before="0" w:line="240" w:lineRule="auto"/>
              <w:jc w:val="center"/>
            </w:pPr>
            <w:r/>
            <w:r>
              <w:rPr>
                <w:rFonts w:ascii="Times New Roman" w:hAnsi="Times New Roman" w:eastAsia="Times New Roman"/>
                <w:b w:val="0"/>
                <w:i w:val="0"/>
                <w:color w:val="000000"/>
                <w:sz w:val="24"/>
              </w:rPr>
              <w:t>84</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83.66 ± 2.30</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61.00 ± 1.73</w:t>
            </w:r>
          </w:p>
        </w:tc>
        <w:tc>
          <w:tcPr>
            <w:tcW w:type="dxa" w:w="907"/>
            <w:vAlign w:val="center"/>
          </w:tcPr>
          <w:p>
            <w:pPr>
              <w:keepNext/>
              <w:spacing w:after="0" w:before="0" w:line="240" w:lineRule="auto"/>
              <w:jc w:val="center"/>
            </w:pPr>
            <w:r/>
            <w:r>
              <w:rPr>
                <w:rFonts w:ascii="Times New Roman" w:hAnsi="Times New Roman" w:eastAsia="Times New Roman"/>
                <w:b w:val="0"/>
                <w:i w:val="0"/>
                <w:color w:val="000000"/>
                <w:sz w:val="24"/>
              </w:rPr>
              <w:t>1215.1</w:t>
            </w:r>
          </w:p>
        </w:tc>
      </w:tr>
      <w:tr>
        <w:tc>
          <w:tcPr>
            <w:tcW w:type="dxa" w:w="1417"/>
            <w:vAlign w:val="center"/>
          </w:tcPr>
          <w:p>
            <w:pPr>
              <w:spacing w:after="0" w:before="0" w:line="240" w:lineRule="auto"/>
              <w:jc w:val="left"/>
            </w:pPr>
            <w:r/>
            <w:r>
              <w:rPr>
                <w:rFonts w:ascii="Times New Roman" w:hAnsi="Times New Roman" w:eastAsia="Times New Roman"/>
                <w:b w:val="0"/>
                <w:i w:val="0"/>
                <w:color w:val="000000"/>
                <w:sz w:val="24"/>
              </w:rPr>
              <w:t>C4-5</w:t>
            </w:r>
          </w:p>
        </w:tc>
        <w:tc>
          <w:tcPr>
            <w:tcW w:type="dxa" w:w="1474"/>
            <w:vAlign w:val="center"/>
          </w:tcPr>
          <w:p>
            <w:pPr>
              <w:spacing w:after="0" w:before="0" w:line="240" w:lineRule="auto"/>
              <w:jc w:val="center"/>
            </w:pPr>
            <w:r/>
            <w:r>
              <w:rPr>
                <w:rFonts w:ascii="Times New Roman" w:hAnsi="Times New Roman" w:eastAsia="Times New Roman"/>
                <w:b w:val="0"/>
                <w:i w:val="0"/>
                <w:color w:val="000000"/>
                <w:sz w:val="24"/>
              </w:rPr>
              <w:t>20 / 25</w:t>
            </w:r>
          </w:p>
        </w:tc>
        <w:tc>
          <w:tcPr>
            <w:tcW w:type="dxa" w:w="1757"/>
            <w:vAlign w:val="center"/>
          </w:tcPr>
          <w:p>
            <w:pPr>
              <w:spacing w:after="0" w:before="0" w:line="240" w:lineRule="auto"/>
              <w:jc w:val="center"/>
            </w:pPr>
            <w:r/>
            <w:r>
              <w:rPr>
                <w:rFonts w:ascii="Times New Roman" w:hAnsi="Times New Roman" w:eastAsia="Times New Roman"/>
                <w:b w:val="0"/>
                <w:i w:val="0"/>
                <w:color w:val="000000"/>
                <w:sz w:val="24"/>
              </w:rPr>
              <w:t>80</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90.66 ± 0.57</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68.33 ± 2.08</w:t>
            </w:r>
          </w:p>
        </w:tc>
        <w:tc>
          <w:tcPr>
            <w:tcW w:type="dxa" w:w="907"/>
            <w:vAlign w:val="center"/>
          </w:tcPr>
          <w:p>
            <w:pPr>
              <w:spacing w:after="0" w:before="0" w:line="240" w:lineRule="auto"/>
              <w:jc w:val="center"/>
            </w:pPr>
            <w:r/>
            <w:r>
              <w:rPr>
                <w:rFonts w:ascii="Times New Roman" w:hAnsi="Times New Roman" w:eastAsia="Times New Roman"/>
                <w:b w:val="0"/>
                <w:i w:val="0"/>
                <w:color w:val="000000"/>
                <w:sz w:val="24"/>
              </w:rPr>
              <w:t>1271.9</w:t>
            </w:r>
          </w:p>
        </w:tc>
      </w:tr>
    </w:tbl>
    <w:p>
      <w:pPr>
        <w:spacing w:before="80" w:after="200" w:line="240" w:lineRule="auto"/>
        <w:jc w:val="both"/>
      </w:pPr>
      <w:r>
        <w:rPr>
          <w:rFonts w:ascii="Times New Roman" w:hAnsi="Times New Roman" w:eastAsia="Times New Roman"/>
          <w:b w:val="0"/>
          <w:i w:val="0"/>
          <w:color w:val="000000"/>
          <w:sz w:val="24"/>
        </w:rPr>
        <w:t>Root and shoot lengths are means ± SD. SVI = germination (%) × (root + shoot length, cm), recalculated from the recorded values (Abdul-Baki &amp; Anderson, 1973). Germination did not differ among treatments within either batch (isolates: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9.40, df = 6,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0.152; consortia: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7.02, df = 5,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0.219).</w:t>
      </w:r>
    </w:p>
    <w:p>
      <w:pPr>
        <w:keepNext/>
        <w:spacing w:before="160" w:after="120" w:line="360" w:lineRule="auto"/>
        <w:jc w:val="left"/>
      </w:pPr>
      <w:r>
        <w:rPr>
          <w:rFonts w:ascii="Times New Roman" w:hAnsi="Times New Roman" w:eastAsia="Times New Roman"/>
          <w:b/>
          <w:i w:val="0"/>
          <w:color w:val="000000"/>
          <w:sz w:val="24"/>
        </w:rPr>
        <w:t>3.2 Germination and seedling growth in the polyhouse</w:t>
      </w:r>
    </w:p>
    <w:p>
      <w:pPr>
        <w:spacing w:before="0" w:after="120" w:line="360" w:lineRule="auto"/>
        <w:ind w:firstLine="567"/>
        <w:jc w:val="both"/>
      </w:pPr>
      <w:r>
        <w:rPr>
          <w:rFonts w:ascii="Times New Roman" w:hAnsi="Times New Roman" w:eastAsia="Times New Roman"/>
          <w:b w:val="0"/>
          <w:i w:val="0"/>
          <w:color w:val="000000"/>
          <w:sz w:val="24"/>
        </w:rPr>
        <w:t>Germination declined with increasing NaCl in every treatment (Fig. 2). In uninoculated plants it fell from 83.3% at 0 mM to 60.0% at 150 mM, and the salinity effect was highly significant in both experiments (isolates LR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34.84, df = 3,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0.001; consortia LR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23.15, df = 3,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0.001). At 150 mM, IS-06 and IS-05 (70.0%) and C4-5 (76.7%) remained above the control, whereas IS-02 (56.7%), IS-03 (53.3%) and C2-3 (50.0%) fell below it. These differences lay within overlapping 95% confidence intervals, and neither the inoculant effect (isolates LR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11.61, df = 6,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0.071; consortia LR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10.40, df = 5,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0.065) nor the inoculant × NaCl interaction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0.999 and 0.835) was significant. The near-parallel dose–response lines in Fig. 2 thus indicate that salt reduced germination to a similar extent irrespective of inoculation.</w:t>
      </w:r>
    </w:p>
    <w:p>
      <w:pPr>
        <w:keepNext/>
        <w:jc w:val="center"/>
      </w:pPr>
      <w:r>
        <w:drawing>
          <wp:inline xmlns:a="http://schemas.openxmlformats.org/drawingml/2006/main" xmlns:pic="http://schemas.openxmlformats.org/drawingml/2006/picture">
            <wp:extent cx="5724000" cy="3292705"/>
            <wp:docPr id="2" name="Picture 2"/>
            <wp:cNvGraphicFramePr>
              <a:graphicFrameLocks noChangeAspect="1"/>
            </wp:cNvGraphicFramePr>
            <a:graphic>
              <a:graphicData uri="http://schemas.openxmlformats.org/drawingml/2006/picture">
                <pic:pic>
                  <pic:nvPicPr>
                    <pic:cNvPr id="0" name="Fig2_germination.png"/>
                    <pic:cNvPicPr/>
                  </pic:nvPicPr>
                  <pic:blipFill>
                    <a:blip r:embed="rId11"/>
                    <a:stretch>
                      <a:fillRect/>
                    </a:stretch>
                  </pic:blipFill>
                  <pic:spPr>
                    <a:xfrm>
                      <a:off x="0" y="0"/>
                      <a:ext cx="5724000" cy="3292705"/>
                    </a:xfrm>
                    <a:prstGeom prst="rect"/>
                  </pic:spPr>
                </pic:pic>
              </a:graphicData>
            </a:graphic>
          </wp:inline>
        </w:drawing>
      </w:r>
    </w:p>
    <w:p>
      <w:pPr>
        <w:spacing w:before="80" w:after="240" w:line="240" w:lineRule="auto"/>
        <w:jc w:val="both"/>
      </w:pPr>
      <w:r>
        <w:rPr>
          <w:rFonts w:ascii="Times New Roman" w:hAnsi="Times New Roman" w:eastAsia="Times New Roman"/>
          <w:b/>
          <w:i w:val="0"/>
          <w:color w:val="000000"/>
          <w:sz w:val="24"/>
        </w:rPr>
        <w:t>Fig. 2.</w:t>
      </w:r>
      <w:r>
        <w:rPr>
          <w:rFonts w:ascii="Times New Roman" w:hAnsi="Times New Roman" w:eastAsia="Times New Roman"/>
          <w:b w:val="0"/>
          <w:i w:val="0"/>
          <w:color w:val="000000"/>
          <w:sz w:val="24"/>
        </w:rPr>
        <w:t xml:space="preserve"> Germination of rice cv. IR-64 across 0–150 mM NaCl in the polyhouse after bacterization with (a) single isolates and (b) dual-strain consortia. Points are percentages of 30 sown seeds with Wilson 95% confidence intervals; points are offset horizontally for clarity. Binomial GLM likelihood-ratio tests are given in each panel.</w:t>
      </w:r>
    </w:p>
    <w:p>
      <w:pPr>
        <w:spacing w:before="0" w:after="120" w:line="360" w:lineRule="auto"/>
        <w:ind w:firstLine="567"/>
        <w:jc w:val="both"/>
      </w:pPr>
      <w:r>
        <w:rPr>
          <w:rFonts w:ascii="Times New Roman" w:hAnsi="Times New Roman" w:eastAsia="Times New Roman"/>
          <w:b w:val="0"/>
          <w:i w:val="0"/>
          <w:color w:val="000000"/>
          <w:sz w:val="24"/>
        </w:rPr>
        <w:t>Seedling growth responded far more strongly. Uninoculated root and shoot length fell by 52.1% and 39.2% at 150 mM, and SVI by 57.7% (Table 2). In the isolate experiment, inoculant, salinity and their interaction all affected root length (interaction F</w:t>
      </w:r>
      <w:r>
        <w:rPr>
          <w:rFonts w:ascii="Times New Roman" w:hAnsi="Times New Roman" w:eastAsia="Times New Roman"/>
          <w:b w:val="0"/>
          <w:i w:val="0"/>
          <w:color w:val="000000"/>
          <w:sz w:val="24"/>
          <w:vertAlign w:val="subscript"/>
        </w:rPr>
        <w:t>18,56</w:t>
      </w:r>
      <w:r>
        <w:rPr>
          <w:rFonts w:ascii="Times New Roman" w:hAnsi="Times New Roman" w:eastAsia="Times New Roman"/>
          <w:b w:val="0"/>
          <w:i w:val="0"/>
          <w:color w:val="000000"/>
          <w:sz w:val="24"/>
        </w:rPr>
        <w:t xml:space="preserve"> = 706.4,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0.001; HSD 0.21 cm) and shoot length (F</w:t>
      </w:r>
      <w:r>
        <w:rPr>
          <w:rFonts w:ascii="Times New Roman" w:hAnsi="Times New Roman" w:eastAsia="Times New Roman"/>
          <w:b w:val="0"/>
          <w:i w:val="0"/>
          <w:color w:val="000000"/>
          <w:sz w:val="24"/>
          <w:vertAlign w:val="subscript"/>
        </w:rPr>
        <w:t>18,56</w:t>
      </w:r>
      <w:r>
        <w:rPr>
          <w:rFonts w:ascii="Times New Roman" w:hAnsi="Times New Roman" w:eastAsia="Times New Roman"/>
          <w:b w:val="0"/>
          <w:i w:val="0"/>
          <w:color w:val="000000"/>
          <w:sz w:val="24"/>
        </w:rPr>
        <w:t xml:space="preserve"> = 414.6,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0.001; Table 3). At 150 mM, IS-06 roots (5.02 ± 0.02 cm) and shoots (28.19 ± 0.26 cm) were 144% and 102% longer than the control. IS-05 matched IS-06 for root length, although its 100 mM root value (1.08 ± 0.08 cm) is an apparent outlier. Consortium effects on root length were also significant (F</w:t>
      </w:r>
      <w:r>
        <w:rPr>
          <w:rFonts w:ascii="Times New Roman" w:hAnsi="Times New Roman" w:eastAsia="Times New Roman"/>
          <w:b w:val="0"/>
          <w:i w:val="0"/>
          <w:color w:val="000000"/>
          <w:sz w:val="24"/>
          <w:vertAlign w:val="subscript"/>
        </w:rPr>
        <w:t>15,48</w:t>
      </w:r>
      <w:r>
        <w:rPr>
          <w:rFonts w:ascii="Times New Roman" w:hAnsi="Times New Roman" w:eastAsia="Times New Roman"/>
          <w:b w:val="0"/>
          <w:i w:val="0"/>
          <w:color w:val="000000"/>
          <w:sz w:val="24"/>
        </w:rPr>
        <w:t xml:space="preserve"> = 52.2,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0.001), led by C4-5. Consortium shoot length carried replicate SDs of 8–13 cm in several salt treatments and showed no significant effect (all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0.39). Under salt, C4-5 kept SVI at 2235–2841, 135% above the control at 150 mM and close to IS-06 (142%; Table 2).</w:t>
      </w:r>
    </w:p>
    <w:p>
      <w:pPr>
        <w:sectPr>
          <w:footerReference w:type="default" r:id="rId9"/>
          <w:pgSz w:w="11906" w:h="16838"/>
          <w:pgMar w:top="1440" w:right="1440" w:bottom="1440" w:left="1440" w:header="720" w:footer="720" w:gutter="0"/>
          <w:cols w:space="720"/>
          <w:docGrid w:linePitch="360"/>
          <w:lnNumType w:countBy="1" w:restart="continuous" w:distance="283"/>
        </w:sectPr>
      </w:pPr>
    </w:p>
    <w:p>
      <w:pPr>
        <w:keepNext/>
        <w:spacing w:before="0" w:after="80" w:line="240" w:lineRule="auto"/>
        <w:jc w:val="both"/>
      </w:pPr>
      <w:r>
        <w:rPr>
          <w:rFonts w:ascii="Times New Roman" w:hAnsi="Times New Roman" w:eastAsia="Times New Roman"/>
          <w:b/>
          <w:i w:val="0"/>
          <w:color w:val="000000"/>
          <w:sz w:val="24"/>
        </w:rPr>
        <w:t>Table 2.</w:t>
      </w:r>
      <w:r>
        <w:rPr>
          <w:rFonts w:ascii="Times New Roman" w:hAnsi="Times New Roman" w:eastAsia="Times New Roman"/>
          <w:b w:val="0"/>
          <w:i w:val="0"/>
          <w:color w:val="000000"/>
          <w:sz w:val="24"/>
        </w:rPr>
        <w:t xml:space="preserve"> Germination (%) and seedling vigour index (SVI) of rice cv. IR-64 bacterized with endophytic isolates or consortia and grown under graded NaCl in the polyhouse (30 seeds per treatment).</w:t>
      </w:r>
    </w:p>
    <w:tbl>
      <w:tblPr>
        <w:tblW w:type="auto" w:w="0"/>
        <w:jc w:val="center"/>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Layout w:type="fixed"/>
        <w:tblW w:w="13494" w:type="dxa"/>
      </w:tblPr>
      <w:tblGrid>
        <w:gridCol w:w="2835"/>
        <w:gridCol w:w="1332"/>
        <w:gridCol w:w="1332"/>
        <w:gridCol w:w="1332"/>
        <w:gridCol w:w="1332"/>
        <w:gridCol w:w="1332"/>
        <w:gridCol w:w="1332"/>
        <w:gridCol w:w="1332"/>
        <w:gridCol w:w="1332"/>
      </w:tblGrid>
      <w:tr>
        <w:tc>
          <w:tcPr>
            <w:tcW w:type="dxa" w:w="2835"/>
            <w:vMerge w:val="restart"/>
            <w:vAlign w:val="center"/>
            <w:tcBorders>
              <w:bottom w:val="single" w:sz="6" w:color="000000"/>
            </w:tcBorders>
          </w:tcPr>
          <w:p>
            <w:pPr>
              <w:spacing w:after="0" w:before="0" w:line="240" w:lineRule="auto"/>
              <w:jc w:val="left"/>
            </w:pPr>
            <w:r/>
            <w:r>
              <w:rPr>
                <w:rFonts w:ascii="Times New Roman" w:hAnsi="Times New Roman" w:eastAsia="Times New Roman"/>
                <w:b/>
                <w:i w:val="0"/>
                <w:color w:val="000000"/>
                <w:sz w:val="24"/>
              </w:rPr>
              <w:t>Treatment</w:t>
            </w:r>
          </w:p>
        </w:tc>
        <w:tc>
          <w:tcPr>
            <w:tcW w:type="dxa" w:w="1332"/>
            <w:gridSpan w:val="4"/>
            <w:vAlign w:val="center"/>
          </w:tcPr>
          <w:p>
            <w:pPr>
              <w:spacing w:after="0" w:before="0" w:line="240" w:lineRule="auto"/>
              <w:jc w:val="center"/>
            </w:pPr>
            <w:r/>
            <w:r>
              <w:rPr>
                <w:rFonts w:ascii="Times New Roman" w:hAnsi="Times New Roman" w:eastAsia="Times New Roman"/>
                <w:b/>
                <w:i w:val="0"/>
                <w:color w:val="000000"/>
                <w:sz w:val="24"/>
              </w:rPr>
              <w:t>Germination (%)</w:t>
            </w:r>
          </w:p>
        </w:tc>
        <w:tc>
          <w:tcPr>
            <w:tcW w:type="dxa" w:w="1332"/>
            <w:gridSpan w:val="4"/>
            <w:vAlign w:val="center"/>
          </w:tcPr>
          <w:p>
            <w:pPr>
              <w:spacing w:after="0" w:before="0" w:line="240" w:lineRule="auto"/>
              <w:jc w:val="center"/>
            </w:pPr>
            <w:r/>
            <w:r>
              <w:rPr>
                <w:rFonts w:ascii="Times New Roman" w:hAnsi="Times New Roman" w:eastAsia="Times New Roman"/>
                <w:b/>
                <w:i w:val="0"/>
                <w:color w:val="000000"/>
                <w:sz w:val="24"/>
              </w:rPr>
              <w:t>Seedling vigour index</w:t>
            </w:r>
          </w:p>
        </w:tc>
      </w:tr>
      <w:tr>
        <w:tc>
          <w:tcPr>
            <w:tcW w:type="dxa" w:w="1551"/>
            <w:vMerge/>
          </w:tcPr>
          <w:p/>
        </w:tc>
        <w:tc>
          <w:tcPr>
            <w:tcW w:type="dxa" w:w="1332"/>
            <w:vAlign w:val="center"/>
            <w:tcBorders>
              <w:bottom w:val="single" w:sz="6" w:color="000000"/>
            </w:tcBorders>
          </w:tcPr>
          <w:p>
            <w:pPr>
              <w:spacing w:after="0" w:before="0" w:line="240" w:lineRule="auto"/>
              <w:jc w:val="center"/>
            </w:pPr>
            <w:r/>
            <w:r>
              <w:rPr>
                <w:rFonts w:ascii="Times New Roman" w:hAnsi="Times New Roman" w:eastAsia="Times New Roman"/>
                <w:b/>
                <w:i w:val="0"/>
                <w:color w:val="000000"/>
                <w:sz w:val="24"/>
              </w:rPr>
              <w:t>0 mM</w:t>
            </w:r>
          </w:p>
        </w:tc>
        <w:tc>
          <w:tcPr>
            <w:tcW w:type="dxa" w:w="1332"/>
            <w:vAlign w:val="center"/>
            <w:tcBorders>
              <w:bottom w:val="single" w:sz="6" w:color="000000"/>
            </w:tcBorders>
          </w:tcPr>
          <w:p>
            <w:pPr>
              <w:spacing w:after="0" w:before="0" w:line="240" w:lineRule="auto"/>
              <w:jc w:val="center"/>
            </w:pPr>
            <w:r/>
            <w:r>
              <w:rPr>
                <w:rFonts w:ascii="Times New Roman" w:hAnsi="Times New Roman" w:eastAsia="Times New Roman"/>
                <w:b/>
                <w:i w:val="0"/>
                <w:color w:val="000000"/>
                <w:sz w:val="24"/>
              </w:rPr>
              <w:t>50 mM</w:t>
            </w:r>
          </w:p>
        </w:tc>
        <w:tc>
          <w:tcPr>
            <w:tcW w:type="dxa" w:w="1332"/>
            <w:vAlign w:val="center"/>
            <w:tcBorders>
              <w:bottom w:val="single" w:sz="6" w:color="000000"/>
            </w:tcBorders>
          </w:tcPr>
          <w:p>
            <w:pPr>
              <w:spacing w:after="0" w:before="0" w:line="240" w:lineRule="auto"/>
              <w:jc w:val="center"/>
            </w:pPr>
            <w:r/>
            <w:r>
              <w:rPr>
                <w:rFonts w:ascii="Times New Roman" w:hAnsi="Times New Roman" w:eastAsia="Times New Roman"/>
                <w:b/>
                <w:i w:val="0"/>
                <w:color w:val="000000"/>
                <w:sz w:val="24"/>
              </w:rPr>
              <w:t>100 mM</w:t>
            </w:r>
          </w:p>
        </w:tc>
        <w:tc>
          <w:tcPr>
            <w:tcW w:type="dxa" w:w="1332"/>
            <w:vAlign w:val="center"/>
            <w:tcBorders>
              <w:bottom w:val="single" w:sz="6" w:color="000000"/>
            </w:tcBorders>
          </w:tcPr>
          <w:p>
            <w:pPr>
              <w:spacing w:after="0" w:before="0" w:line="240" w:lineRule="auto"/>
              <w:jc w:val="center"/>
            </w:pPr>
            <w:r/>
            <w:r>
              <w:rPr>
                <w:rFonts w:ascii="Times New Roman" w:hAnsi="Times New Roman" w:eastAsia="Times New Roman"/>
                <w:b/>
                <w:i w:val="0"/>
                <w:color w:val="000000"/>
                <w:sz w:val="24"/>
              </w:rPr>
              <w:t>150 mM</w:t>
            </w:r>
          </w:p>
        </w:tc>
        <w:tc>
          <w:tcPr>
            <w:tcW w:type="dxa" w:w="1332"/>
            <w:vAlign w:val="center"/>
            <w:tcBorders>
              <w:bottom w:val="single" w:sz="6" w:color="000000"/>
            </w:tcBorders>
          </w:tcPr>
          <w:p>
            <w:pPr>
              <w:spacing w:after="0" w:before="0" w:line="240" w:lineRule="auto"/>
              <w:jc w:val="center"/>
            </w:pPr>
            <w:r/>
            <w:r>
              <w:rPr>
                <w:rFonts w:ascii="Times New Roman" w:hAnsi="Times New Roman" w:eastAsia="Times New Roman"/>
                <w:b/>
                <w:i w:val="0"/>
                <w:color w:val="000000"/>
                <w:sz w:val="24"/>
              </w:rPr>
              <w:t>0 mM</w:t>
            </w:r>
          </w:p>
        </w:tc>
        <w:tc>
          <w:tcPr>
            <w:tcW w:type="dxa" w:w="1332"/>
            <w:vAlign w:val="center"/>
            <w:tcBorders>
              <w:bottom w:val="single" w:sz="6" w:color="000000"/>
            </w:tcBorders>
          </w:tcPr>
          <w:p>
            <w:pPr>
              <w:spacing w:after="0" w:before="0" w:line="240" w:lineRule="auto"/>
              <w:jc w:val="center"/>
            </w:pPr>
            <w:r/>
            <w:r>
              <w:rPr>
                <w:rFonts w:ascii="Times New Roman" w:hAnsi="Times New Roman" w:eastAsia="Times New Roman"/>
                <w:b/>
                <w:i w:val="0"/>
                <w:color w:val="000000"/>
                <w:sz w:val="24"/>
              </w:rPr>
              <w:t>50 mM</w:t>
            </w:r>
          </w:p>
        </w:tc>
        <w:tc>
          <w:tcPr>
            <w:tcW w:type="dxa" w:w="1332"/>
            <w:vAlign w:val="center"/>
            <w:tcBorders>
              <w:bottom w:val="single" w:sz="6" w:color="000000"/>
            </w:tcBorders>
          </w:tcPr>
          <w:p>
            <w:pPr>
              <w:spacing w:after="0" w:before="0" w:line="240" w:lineRule="auto"/>
              <w:jc w:val="center"/>
            </w:pPr>
            <w:r/>
            <w:r>
              <w:rPr>
                <w:rFonts w:ascii="Times New Roman" w:hAnsi="Times New Roman" w:eastAsia="Times New Roman"/>
                <w:b/>
                <w:i w:val="0"/>
                <w:color w:val="000000"/>
                <w:sz w:val="24"/>
              </w:rPr>
              <w:t>100 mM</w:t>
            </w:r>
          </w:p>
        </w:tc>
        <w:tc>
          <w:tcPr>
            <w:tcW w:type="dxa" w:w="1332"/>
            <w:vAlign w:val="center"/>
            <w:tcBorders>
              <w:bottom w:val="single" w:sz="6" w:color="000000"/>
            </w:tcBorders>
          </w:tcPr>
          <w:p>
            <w:pPr>
              <w:spacing w:after="0" w:before="0" w:line="240" w:lineRule="auto"/>
              <w:jc w:val="center"/>
            </w:pPr>
            <w:r/>
            <w:r>
              <w:rPr>
                <w:rFonts w:ascii="Times New Roman" w:hAnsi="Times New Roman" w:eastAsia="Times New Roman"/>
                <w:b/>
                <w:i w:val="0"/>
                <w:color w:val="000000"/>
                <w:sz w:val="24"/>
              </w:rPr>
              <w:t>150 mM</w:t>
            </w:r>
          </w:p>
        </w:tc>
      </w:tr>
      <w:tr>
        <w:tc>
          <w:tcPr>
            <w:tcW w:type="dxa" w:w="2835"/>
            <w:vAlign w:val="center"/>
          </w:tcPr>
          <w:p>
            <w:pPr>
              <w:spacing w:after="0" w:before="0" w:line="240" w:lineRule="auto"/>
              <w:jc w:val="left"/>
            </w:pPr>
            <w:r/>
            <w:r>
              <w:rPr>
                <w:rFonts w:ascii="Times New Roman" w:hAnsi="Times New Roman" w:eastAsia="Times New Roman"/>
                <w:b w:val="0"/>
                <w:i w:val="0"/>
                <w:color w:val="000000"/>
                <w:sz w:val="24"/>
              </w:rPr>
              <w:t>Uninoculated control</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83.3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80.0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66.7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60.0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2272</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2008</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1507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961</w:t>
            </w:r>
          </w:p>
        </w:tc>
      </w:tr>
      <w:tr>
        <w:tc>
          <w:tcPr>
            <w:tcW w:type="dxa" w:w="1332"/>
            <w:gridSpan w:val="9"/>
            <w:vAlign w:val="center"/>
          </w:tcPr>
          <w:p>
            <w:pPr>
              <w:spacing w:after="0" w:before="0" w:line="240" w:lineRule="auto"/>
              <w:jc w:val="left"/>
            </w:pPr>
            <w:r/>
            <w:r>
              <w:rPr>
                <w:rFonts w:ascii="Times New Roman" w:hAnsi="Times New Roman" w:eastAsia="Times New Roman"/>
                <w:b w:val="0"/>
                <w:i/>
                <w:color w:val="000000"/>
                <w:sz w:val="24"/>
              </w:rPr>
              <w:t>Single isolates</w:t>
            </w:r>
          </w:p>
        </w:tc>
      </w:tr>
      <w:tr>
        <w:tc>
          <w:tcPr>
            <w:tcW w:type="dxa" w:w="2835"/>
            <w:vAlign w:val="center"/>
          </w:tcPr>
          <w:p>
            <w:pPr>
              <w:spacing w:after="0" w:before="0" w:line="240" w:lineRule="auto"/>
              <w:jc w:val="left"/>
            </w:pPr>
            <w:r/>
            <w:r>
              <w:rPr>
                <w:rFonts w:ascii="Times New Roman" w:hAnsi="Times New Roman" w:eastAsia="Times New Roman"/>
                <w:b w:val="0"/>
                <w:i w:val="0"/>
                <w:color w:val="000000"/>
                <w:sz w:val="24"/>
              </w:rPr>
              <w:t>IS-01</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86.7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66.7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2724</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2233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1436</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1405</w:t>
            </w:r>
          </w:p>
        </w:tc>
      </w:tr>
      <w:tr>
        <w:tc>
          <w:tcPr>
            <w:tcW w:type="dxa" w:w="2835"/>
            <w:vAlign w:val="center"/>
          </w:tcPr>
          <w:p>
            <w:pPr>
              <w:spacing w:after="0" w:before="0" w:line="240" w:lineRule="auto"/>
              <w:jc w:val="left"/>
            </w:pPr>
            <w:r/>
            <w:r>
              <w:rPr>
                <w:rFonts w:ascii="Times New Roman" w:hAnsi="Times New Roman" w:eastAsia="Times New Roman"/>
                <w:b w:val="0"/>
                <w:i w:val="0"/>
                <w:color w:val="000000"/>
                <w:sz w:val="24"/>
              </w:rPr>
              <w:t>IS-02</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80.0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63.3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56.7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2023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2201</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1273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1080</w:t>
            </w:r>
          </w:p>
        </w:tc>
      </w:tr>
      <w:tr>
        <w:tc>
          <w:tcPr>
            <w:tcW w:type="dxa" w:w="2835"/>
            <w:vAlign w:val="center"/>
          </w:tcPr>
          <w:p>
            <w:pPr>
              <w:spacing w:after="0" w:before="0" w:line="240" w:lineRule="auto"/>
              <w:jc w:val="left"/>
            </w:pPr>
            <w:r/>
            <w:r>
              <w:rPr>
                <w:rFonts w:ascii="Times New Roman" w:hAnsi="Times New Roman" w:eastAsia="Times New Roman"/>
                <w:b w:val="0"/>
                <w:i w:val="0"/>
                <w:color w:val="000000"/>
                <w:sz w:val="24"/>
              </w:rPr>
              <w:t>IS-03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80.0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73.3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66.7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53.3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1959</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1963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1765</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1412</w:t>
            </w:r>
          </w:p>
        </w:tc>
      </w:tr>
      <w:tr>
        <w:tc>
          <w:tcPr>
            <w:tcW w:type="dxa" w:w="2835"/>
            <w:vAlign w:val="center"/>
          </w:tcPr>
          <w:p>
            <w:pPr>
              <w:spacing w:after="0" w:before="0" w:line="240" w:lineRule="auto"/>
              <w:jc w:val="left"/>
            </w:pPr>
            <w:r/>
            <w:r>
              <w:rPr>
                <w:rFonts w:ascii="Times New Roman" w:hAnsi="Times New Roman" w:eastAsia="Times New Roman"/>
                <w:b w:val="0"/>
                <w:i w:val="0"/>
                <w:color w:val="000000"/>
                <w:sz w:val="24"/>
              </w:rPr>
              <w:t>IS-04</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90.0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86.7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73.3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63.3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2543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2442</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1713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1766</w:t>
            </w:r>
          </w:p>
        </w:tc>
      </w:tr>
      <w:tr>
        <w:tc>
          <w:tcPr>
            <w:tcW w:type="dxa" w:w="2835"/>
            <w:vAlign w:val="center"/>
          </w:tcPr>
          <w:p>
            <w:pPr>
              <w:spacing w:after="0" w:before="0" w:line="240" w:lineRule="auto"/>
              <w:jc w:val="left"/>
            </w:pPr>
            <w:r/>
            <w:r>
              <w:rPr>
                <w:rFonts w:ascii="Times New Roman" w:hAnsi="Times New Roman" w:eastAsia="Times New Roman"/>
                <w:b w:val="0"/>
                <w:i w:val="0"/>
                <w:color w:val="000000"/>
                <w:sz w:val="24"/>
              </w:rPr>
              <w:t>IS-05</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86.7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83.3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66.7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2895</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2682</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1541</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2010</w:t>
            </w:r>
          </w:p>
        </w:tc>
      </w:tr>
      <w:tr>
        <w:tc>
          <w:tcPr>
            <w:tcW w:type="dxa" w:w="2835"/>
            <w:vAlign w:val="center"/>
          </w:tcPr>
          <w:p>
            <w:pPr>
              <w:spacing w:after="0" w:before="0" w:line="240" w:lineRule="auto"/>
              <w:jc w:val="left"/>
            </w:pPr>
            <w:r/>
            <w:r>
              <w:rPr>
                <w:rFonts w:ascii="Times New Roman" w:hAnsi="Times New Roman" w:eastAsia="Times New Roman"/>
                <w:b w:val="0"/>
                <w:i w:val="0"/>
                <w:color w:val="000000"/>
                <w:sz w:val="24"/>
              </w:rPr>
              <w:t>IS-06</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93.3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90.0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2941</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2751</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2111</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2325</w:t>
            </w:r>
          </w:p>
        </w:tc>
      </w:tr>
      <w:tr>
        <w:tc>
          <w:tcPr>
            <w:tcW w:type="dxa" w:w="1332"/>
            <w:gridSpan w:val="9"/>
            <w:vAlign w:val="center"/>
          </w:tcPr>
          <w:p>
            <w:pPr>
              <w:spacing w:after="0" w:before="0" w:line="240" w:lineRule="auto"/>
              <w:jc w:val="left"/>
            </w:pPr>
            <w:r/>
            <w:r>
              <w:rPr>
                <w:rFonts w:ascii="Times New Roman" w:hAnsi="Times New Roman" w:eastAsia="Times New Roman"/>
                <w:b w:val="0"/>
                <w:i/>
                <w:color w:val="000000"/>
                <w:sz w:val="24"/>
              </w:rPr>
              <w:t>Dual-strain consortia</w:t>
            </w:r>
          </w:p>
        </w:tc>
      </w:tr>
      <w:tr>
        <w:tc>
          <w:tcPr>
            <w:tcW w:type="dxa" w:w="2835"/>
            <w:vAlign w:val="center"/>
          </w:tcPr>
          <w:p>
            <w:pPr>
              <w:spacing w:after="0" w:before="0" w:line="240" w:lineRule="auto"/>
              <w:jc w:val="left"/>
            </w:pPr>
            <w:r/>
            <w:r>
              <w:rPr>
                <w:rFonts w:ascii="Times New Roman" w:hAnsi="Times New Roman" w:eastAsia="Times New Roman"/>
                <w:b w:val="0"/>
                <w:i w:val="0"/>
                <w:color w:val="000000"/>
                <w:sz w:val="24"/>
              </w:rPr>
              <w:t>C1-3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66.7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73.3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66.7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1409</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1871</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1626</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1555</w:t>
            </w:r>
          </w:p>
        </w:tc>
      </w:tr>
      <w:tr>
        <w:tc>
          <w:tcPr>
            <w:tcW w:type="dxa" w:w="2835"/>
            <w:vAlign w:val="center"/>
          </w:tcPr>
          <w:p>
            <w:pPr>
              <w:spacing w:after="0" w:before="0" w:line="240" w:lineRule="auto"/>
              <w:jc w:val="left"/>
            </w:pPr>
            <w:r/>
            <w:r>
              <w:rPr>
                <w:rFonts w:ascii="Times New Roman" w:hAnsi="Times New Roman" w:eastAsia="Times New Roman"/>
                <w:b w:val="0"/>
                <w:i w:val="0"/>
                <w:color w:val="000000"/>
                <w:sz w:val="24"/>
              </w:rPr>
              <w:t>C1-5</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86.7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80.0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66.7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56.7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1629</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2114</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1671</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1424</w:t>
            </w:r>
          </w:p>
        </w:tc>
      </w:tr>
      <w:tr>
        <w:tc>
          <w:tcPr>
            <w:tcW w:type="dxa" w:w="2835"/>
            <w:vAlign w:val="center"/>
          </w:tcPr>
          <w:p>
            <w:pPr>
              <w:spacing w:after="0" w:before="0" w:line="240" w:lineRule="auto"/>
              <w:jc w:val="left"/>
            </w:pPr>
            <w:r/>
            <w:r>
              <w:rPr>
                <w:rFonts w:ascii="Times New Roman" w:hAnsi="Times New Roman" w:eastAsia="Times New Roman"/>
                <w:b w:val="0"/>
                <w:i w:val="0"/>
                <w:color w:val="000000"/>
                <w:sz w:val="24"/>
              </w:rPr>
              <w:t>C2-3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83.3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86.7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50.0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1402</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2169</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1459</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986</w:t>
            </w:r>
          </w:p>
        </w:tc>
      </w:tr>
      <w:tr>
        <w:tc>
          <w:tcPr>
            <w:tcW w:type="dxa" w:w="2835"/>
            <w:vAlign w:val="center"/>
          </w:tcPr>
          <w:p>
            <w:pPr>
              <w:spacing w:after="0" w:before="0" w:line="240" w:lineRule="auto"/>
              <w:jc w:val="left"/>
            </w:pPr>
            <w:r/>
            <w:r>
              <w:rPr>
                <w:rFonts w:ascii="Times New Roman" w:hAnsi="Times New Roman" w:eastAsia="Times New Roman"/>
                <w:b w:val="0"/>
                <w:i w:val="0"/>
                <w:color w:val="000000"/>
                <w:sz w:val="24"/>
              </w:rPr>
              <w:t>C2-5</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83.3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73.3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1444</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1925</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1958</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1753</w:t>
            </w:r>
          </w:p>
        </w:tc>
      </w:tr>
      <w:tr>
        <w:tc>
          <w:tcPr>
            <w:tcW w:type="dxa" w:w="2835"/>
            <w:vAlign w:val="center"/>
          </w:tcPr>
          <w:p>
            <w:pPr>
              <w:spacing w:after="0" w:before="0" w:line="240" w:lineRule="auto"/>
              <w:jc w:val="left"/>
            </w:pPr>
            <w:r/>
            <w:r>
              <w:rPr>
                <w:rFonts w:ascii="Times New Roman" w:hAnsi="Times New Roman" w:eastAsia="Times New Roman"/>
                <w:b w:val="0"/>
                <w:i w:val="0"/>
                <w:color w:val="000000"/>
                <w:sz w:val="24"/>
              </w:rPr>
              <w:t>C4-5</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90.0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93.3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80.0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1947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2841</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2235</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2246</w:t>
            </w:r>
          </w:p>
        </w:tc>
      </w:tr>
    </w:tbl>
    <w:p>
      <w:pPr>
        <w:spacing w:before="80" w:after="120" w:line="240" w:lineRule="auto"/>
        <w:jc w:val="both"/>
      </w:pPr>
      <w:r>
        <w:rPr>
          <w:rFonts w:ascii="Times New Roman" w:hAnsi="Times New Roman" w:eastAsia="Times New Roman"/>
          <w:b w:val="0"/>
          <w:i w:val="0"/>
          <w:color w:val="000000"/>
          <w:sz w:val="24"/>
        </w:rPr>
        <w:t>Germination = germinated seeds / 30 × 100. SVI = germination (%) × (root + shoot length, cm), recalculated from the recorded root and shoot lengths. Binomial GLM likelihood-ratio tests, isolate experiment: NaCl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34.84 (df 3,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0.001), inoculant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11.61 (df 6,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0.071), interaction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5.14 (df 18,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0.999); consortium experiment: NaCl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23.15 (df 3,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0.001), inoculant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10.40 (df 5,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0.065), interaction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9.75 (df 15,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0.835). The uninoculated control was shared by both experiments.</w:t>
      </w:r>
    </w:p>
    <w:p>
      <w:pPr>
        <w:sectPr>
          <w:pgSz w:w="16838" w:h="11906" w:orient="landscape"/>
          <w:pgMar w:top="1440" w:right="1440" w:bottom="1440" w:left="1440" w:header="720" w:footer="720" w:gutter="0"/>
          <w:cols w:space="720"/>
          <w:docGrid w:linePitch="360"/>
          <w:lnNumType w:countBy="1" w:restart="continuous" w:distance="283"/>
          <w:lnNumType w:countBy="1" w:restart="continuous" w:distance="283"/>
        </w:sectPr>
      </w:pPr>
    </w:p>
    <w:p>
      <w:pPr>
        <w:keepNext/>
        <w:spacing w:before="160" w:after="120" w:line="360" w:lineRule="auto"/>
        <w:jc w:val="left"/>
      </w:pPr>
      <w:r>
        <w:rPr>
          <w:rFonts w:ascii="Times New Roman" w:hAnsi="Times New Roman" w:eastAsia="Times New Roman"/>
          <w:b/>
          <w:i w:val="0"/>
          <w:color w:val="000000"/>
          <w:sz w:val="24"/>
        </w:rPr>
        <w:t>3.3 Photosynthetic pigments and phenolics</w:t>
      </w:r>
    </w:p>
    <w:p>
      <w:pPr>
        <w:spacing w:before="0" w:after="120" w:line="360" w:lineRule="auto"/>
        <w:ind w:firstLine="567"/>
        <w:jc w:val="both"/>
      </w:pPr>
      <w:r>
        <w:rPr>
          <w:rFonts w:ascii="Times New Roman" w:hAnsi="Times New Roman" w:eastAsia="Times New Roman"/>
          <w:b w:val="0"/>
          <w:i w:val="0"/>
          <w:color w:val="000000"/>
          <w:sz w:val="24"/>
        </w:rPr>
        <w:t xml:space="preserve">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was the trait hit hardest: in uninoculated plants it fell by 68.8% at 50 mM and 82.8% at 150 mM (Fig. 3a). Inoculation held it up at every salt level (isolate interaction F</w:t>
      </w:r>
      <w:r>
        <w:rPr>
          <w:rFonts w:ascii="Times New Roman" w:hAnsi="Times New Roman" w:eastAsia="Times New Roman"/>
          <w:b w:val="0"/>
          <w:i w:val="0"/>
          <w:color w:val="000000"/>
          <w:sz w:val="24"/>
          <w:vertAlign w:val="subscript"/>
        </w:rPr>
        <w:t>18,56</w:t>
      </w:r>
      <w:r>
        <w:rPr>
          <w:rFonts w:ascii="Times New Roman" w:hAnsi="Times New Roman" w:eastAsia="Times New Roman"/>
          <w:b w:val="0"/>
          <w:i w:val="0"/>
          <w:color w:val="000000"/>
          <w:sz w:val="24"/>
        </w:rPr>
        <w:t xml:space="preserve"> = 792.0,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0.001). IS-06 was the most effective isolate, 188–240% above the matched control across 50–150 mM, with IS-05, IS-04 and IS-01 roughly doubling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at 150 mM. C4-5 (IMM 184%) and C2-5 (129%) protected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whereas C1-3, C1-5 and C2-3 fell below the control at every salt level (Fig. 4). Carotenoids followed the same pattern; at 150 mM, IS-06 nearly doubled them and C4-5 raised them by 167%. Chlorophyll </w:t>
      </w:r>
      <w:r>
        <w:rPr>
          <w:rFonts w:ascii="Times New Roman" w:hAnsi="Times New Roman" w:eastAsia="Times New Roman"/>
          <w:b w:val="0"/>
          <w:i/>
          <w:color w:val="000000"/>
          <w:sz w:val="24"/>
        </w:rPr>
        <w:t>b</w:t>
      </w:r>
      <w:r>
        <w:rPr>
          <w:rFonts w:ascii="Times New Roman" w:hAnsi="Times New Roman" w:eastAsia="Times New Roman"/>
          <w:b w:val="0"/>
          <w:i w:val="0"/>
          <w:color w:val="000000"/>
          <w:sz w:val="24"/>
        </w:rPr>
        <w:t xml:space="preserve"> of inoculated consortium treatments (0.01–3.99 mg 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was an order of magnitude below the isolate batch even at 0 mM, which points to a batch difference in extraction or reading; it is therefore compared only within batches.</w:t>
      </w:r>
    </w:p>
    <w:p>
      <w:pPr>
        <w:spacing w:before="0" w:after="120" w:line="360" w:lineRule="auto"/>
        <w:ind w:firstLine="567"/>
        <w:jc w:val="both"/>
      </w:pPr>
      <w:r>
        <w:rPr>
          <w:rFonts w:ascii="Times New Roman" w:hAnsi="Times New Roman" w:eastAsia="Times New Roman"/>
          <w:b w:val="0"/>
          <w:i w:val="0"/>
          <w:color w:val="000000"/>
          <w:sz w:val="24"/>
        </w:rPr>
        <w:t>Salinity cut phenolics of uninoculated leaves by 70.1% at 150 mM. In the consortium experiment (interaction F</w:t>
      </w:r>
      <w:r>
        <w:rPr>
          <w:rFonts w:ascii="Times New Roman" w:hAnsi="Times New Roman" w:eastAsia="Times New Roman"/>
          <w:b w:val="0"/>
          <w:i w:val="0"/>
          <w:color w:val="000000"/>
          <w:sz w:val="24"/>
          <w:vertAlign w:val="subscript"/>
        </w:rPr>
        <w:t>15,48</w:t>
      </w:r>
      <w:r>
        <w:rPr>
          <w:rFonts w:ascii="Times New Roman" w:hAnsi="Times New Roman" w:eastAsia="Times New Roman"/>
          <w:b w:val="0"/>
          <w:i w:val="0"/>
          <w:color w:val="000000"/>
          <w:sz w:val="24"/>
        </w:rPr>
        <w:t xml:space="preserve"> = 430.1,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0.001), C4-5 gave the highest values at every salt level, 153–184% above the matched control, while C1-3 matched the control at 150 mM. Among the isolates, for which only part of the phenolic data were available, IS-06 kept 3.4 times the control level at 150 mM, whereas IS-01 dropped to 2.80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the lowest value recorded.</w:t>
      </w:r>
    </w:p>
    <w:p>
      <w:pPr>
        <w:keepNext/>
        <w:spacing w:before="160" w:after="120" w:line="360" w:lineRule="auto"/>
        <w:jc w:val="left"/>
      </w:pPr>
      <w:r>
        <w:rPr>
          <w:rFonts w:ascii="Times New Roman" w:hAnsi="Times New Roman" w:eastAsia="Times New Roman"/>
          <w:b/>
          <w:i w:val="0"/>
          <w:color w:val="000000"/>
          <w:sz w:val="24"/>
        </w:rPr>
        <w:t>3.4 Soluble protein, soluble sugars and DPPH activity</w:t>
      </w:r>
    </w:p>
    <w:p>
      <w:pPr>
        <w:spacing w:before="0" w:after="120" w:line="360" w:lineRule="auto"/>
        <w:ind w:firstLine="567"/>
        <w:jc w:val="both"/>
      </w:pPr>
      <w:r>
        <w:rPr>
          <w:rFonts w:ascii="Times New Roman" w:hAnsi="Times New Roman" w:eastAsia="Times New Roman"/>
          <w:b w:val="0"/>
          <w:i w:val="0"/>
          <w:color w:val="000000"/>
          <w:sz w:val="24"/>
        </w:rPr>
        <w:t>Soluble protein fell from 215.15 to 85.39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as salt rose (Fig. 3b), and every inoculant slowed the decline. The isolate ranking was the same at every salinity level (IS-06 &gt; IS-05 &gt; IS-04 &gt; IS-03 &gt; IS-02 &gt; IS-01), but the consortia did better: C4-5 held 181.51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at 150 mM (IMM 113%), the highest of any stressed treatment, and retained 80.8% of its unstressed protein, against 75.4% for C2-5, 69.6% for IS-06 and 39.7% for the control. Soluble sugars fell further (SIR 67.5%), and here the isolates were stronger (Fig. 3c): IS-06 retained 89.2% of its unstressed sugar (IMM 169% at 150 mM), while C4-5 led the consortia (IMM 120%). Protein and sugar moved together across treatments (r = 0.89).</w:t>
      </w:r>
    </w:p>
    <w:p>
      <w:pPr>
        <w:spacing w:before="0" w:after="120" w:line="360" w:lineRule="auto"/>
        <w:ind w:firstLine="567"/>
        <w:jc w:val="both"/>
      </w:pPr>
      <w:r>
        <w:rPr>
          <w:rFonts w:ascii="Times New Roman" w:hAnsi="Times New Roman" w:eastAsia="Times New Roman"/>
          <w:b w:val="0"/>
          <w:i w:val="0"/>
          <w:color w:val="000000"/>
          <w:sz w:val="24"/>
        </w:rPr>
        <w:t>DPPH scavenging was less consistent. Uninoculated activity was not monotonic with salt (90%, 65%, 82% and 70% across 0–150 mM), and the unstressed control differed between batches (90% vs. 70.6%). Under salt, IS-06 (88%) and C4-5 (84.6%) gave the highest activity at 150 mM (isolate interaction F</w:t>
      </w:r>
      <w:r>
        <w:rPr>
          <w:rFonts w:ascii="Times New Roman" w:hAnsi="Times New Roman" w:eastAsia="Times New Roman"/>
          <w:b w:val="0"/>
          <w:i w:val="0"/>
          <w:color w:val="000000"/>
          <w:sz w:val="24"/>
          <w:vertAlign w:val="subscript"/>
        </w:rPr>
        <w:t>18,56</w:t>
      </w:r>
      <w:r>
        <w:rPr>
          <w:rFonts w:ascii="Times New Roman" w:hAnsi="Times New Roman" w:eastAsia="Times New Roman"/>
          <w:b w:val="0"/>
          <w:i w:val="0"/>
          <w:color w:val="000000"/>
          <w:sz w:val="24"/>
        </w:rPr>
        <w:t xml:space="preserve"> = 76.7,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0.001). DPPH was unrelated to protein and sugars (|r| ≤ 0.04).</w:t>
      </w:r>
    </w:p>
    <w:p>
      <w:pPr>
        <w:keepNext/>
        <w:jc w:val="center"/>
      </w:pPr>
      <w:r>
        <w:drawing>
          <wp:inline xmlns:a="http://schemas.openxmlformats.org/drawingml/2006/main" xmlns:pic="http://schemas.openxmlformats.org/drawingml/2006/picture">
            <wp:extent cx="5724000" cy="5139370"/>
            <wp:docPr id="3" name="Picture 3"/>
            <wp:cNvGraphicFramePr>
              <a:graphicFrameLocks noChangeAspect="1"/>
            </wp:cNvGraphicFramePr>
            <a:graphic>
              <a:graphicData uri="http://schemas.openxmlformats.org/drawingml/2006/picture">
                <pic:pic>
                  <pic:nvPicPr>
                    <pic:cNvPr id="0" name="Fig3_doseresponse.png"/>
                    <pic:cNvPicPr/>
                  </pic:nvPicPr>
                  <pic:blipFill>
                    <a:blip r:embed="rId12"/>
                    <a:stretch>
                      <a:fillRect/>
                    </a:stretch>
                  </pic:blipFill>
                  <pic:spPr>
                    <a:xfrm>
                      <a:off x="0" y="0"/>
                      <a:ext cx="5724000" cy="5139370"/>
                    </a:xfrm>
                    <a:prstGeom prst="rect"/>
                  </pic:spPr>
                </pic:pic>
              </a:graphicData>
            </a:graphic>
          </wp:inline>
        </w:drawing>
      </w:r>
    </w:p>
    <w:p>
      <w:pPr>
        <w:spacing w:before="80" w:after="240" w:line="240" w:lineRule="auto"/>
        <w:jc w:val="both"/>
      </w:pPr>
      <w:r>
        <w:rPr>
          <w:rFonts w:ascii="Times New Roman" w:hAnsi="Times New Roman" w:eastAsia="Times New Roman"/>
          <w:b/>
          <w:i w:val="0"/>
          <w:color w:val="000000"/>
          <w:sz w:val="24"/>
        </w:rPr>
        <w:t>Fig. 3.</w:t>
      </w:r>
      <w:r>
        <w:rPr>
          <w:rFonts w:ascii="Times New Roman" w:hAnsi="Times New Roman" w:eastAsia="Times New Roman"/>
          <w:b w:val="0"/>
          <w:i w:val="0"/>
          <w:color w:val="000000"/>
          <w:sz w:val="24"/>
        </w:rPr>
        <w:t xml:space="preserve"> Dose–response of (a)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(b) soluble protein, (c) soluble sugars and (d) root length to NaCl in uninoculated rice and in plants inoculated with the two best single isolates (IS-06, IS-05; solid lines) and the two best consortia (C4-5, C2-5; dashed lines). Error bars are SD (n = 3); replicate SDs were not recorded for consortium sugars. The low IS-05 root value at 100 mM is shown as recorded.</w:t>
      </w:r>
    </w:p>
    <w:p>
      <w:pPr>
        <w:keepNext/>
        <w:spacing w:before="160" w:after="120" w:line="360" w:lineRule="auto"/>
        <w:jc w:val="left"/>
      </w:pPr>
      <w:r>
        <w:rPr>
          <w:rFonts w:ascii="Times New Roman" w:hAnsi="Times New Roman" w:eastAsia="Times New Roman"/>
          <w:b/>
          <w:i w:val="0"/>
          <w:color w:val="000000"/>
          <w:sz w:val="24"/>
        </w:rPr>
        <w:t>3.5 Mitigation profile, composite ranking and multivariate structure</w:t>
      </w:r>
    </w:p>
    <w:p>
      <w:pPr>
        <w:spacing w:before="0" w:after="120" w:line="360" w:lineRule="auto"/>
        <w:ind w:firstLine="567"/>
        <w:jc w:val="both"/>
      </w:pPr>
      <w:r>
        <w:rPr>
          <w:rFonts w:ascii="Times New Roman" w:hAnsi="Times New Roman" w:eastAsia="Times New Roman"/>
          <w:b w:val="0"/>
          <w:i w:val="0"/>
          <w:color w:val="000000"/>
          <w:sz w:val="24"/>
        </w:rPr>
        <w:t xml:space="preserve">Across the mitigation heat map (Fig. 4), protein and sugars were raised by every inoculant at every salinity level, pigment protection split the consortia into protective (C4-5, C2-5) and harmful (C1-3, C1-5, C2-3) pairs, and benefits grew with stress (IS-06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IMM 188% at 50 mM to 240% at 150 mM). The CMI ranked IS-06 (0.647) and C4-5 (0.617) first at 150 mM, followed by IS-05 (0.534) and C2-5 (0.482); the control was last (0.139). Averaged across salinity levels, C2-3 (0.427) and C1-3 (0.384) fell below the control (0.439). The two leaders recovered the unstressed profile in different ways (Fig. 5): IS-06 on root and shoot length,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sugars and DPPH, and C4-5 on germination, carotenoids and protein.</w:t>
      </w:r>
    </w:p>
    <w:p>
      <w:pPr>
        <w:keepNext/>
        <w:jc w:val="center"/>
      </w:pPr>
      <w:r>
        <w:drawing>
          <wp:inline xmlns:a="http://schemas.openxmlformats.org/drawingml/2006/main" xmlns:pic="http://schemas.openxmlformats.org/drawingml/2006/picture">
            <wp:extent cx="5724000" cy="3652927"/>
            <wp:docPr id="4" name="Picture 4"/>
            <wp:cNvGraphicFramePr>
              <a:graphicFrameLocks noChangeAspect="1"/>
            </wp:cNvGraphicFramePr>
            <a:graphic>
              <a:graphicData uri="http://schemas.openxmlformats.org/drawingml/2006/picture">
                <pic:pic>
                  <pic:nvPicPr>
                    <pic:cNvPr id="0" name="Fig4_heatmap.png"/>
                    <pic:cNvPicPr/>
                  </pic:nvPicPr>
                  <pic:blipFill>
                    <a:blip r:embed="rId13"/>
                    <a:stretch>
                      <a:fillRect/>
                    </a:stretch>
                  </pic:blipFill>
                  <pic:spPr>
                    <a:xfrm>
                      <a:off x="0" y="0"/>
                      <a:ext cx="5724000" cy="3652927"/>
                    </a:xfrm>
                    <a:prstGeom prst="rect"/>
                  </pic:spPr>
                </pic:pic>
              </a:graphicData>
            </a:graphic>
          </wp:inline>
        </w:drawing>
      </w:r>
    </w:p>
    <w:p>
      <w:pPr>
        <w:spacing w:before="80" w:after="240" w:line="240" w:lineRule="auto"/>
        <w:jc w:val="both"/>
      </w:pPr>
      <w:r>
        <w:rPr>
          <w:rFonts w:ascii="Times New Roman" w:hAnsi="Times New Roman" w:eastAsia="Times New Roman"/>
          <w:b/>
          <w:i w:val="0"/>
          <w:color w:val="000000"/>
          <w:sz w:val="24"/>
        </w:rPr>
        <w:t>Fig. 4.</w:t>
      </w:r>
      <w:r>
        <w:rPr>
          <w:rFonts w:ascii="Times New Roman" w:hAnsi="Times New Roman" w:eastAsia="Times New Roman"/>
          <w:b w:val="0"/>
          <w:i w:val="0"/>
          <w:color w:val="000000"/>
          <w:sz w:val="24"/>
        </w:rPr>
        <w:t xml:space="preserve"> Heat map of inoculation-mediated mitigation (IMM, %), i.e. the change in each trait relative to the uninoculated control at the same NaCl level, for six single isolates (upper block) and five consortia (lower block) at 50, 100 and 150 mM NaCl. Blue cells denote improvement and red cells impairment; the colour scale is truncated at −100% and +300%, and cell labels give exact values. Germ., germination; Car., carotenoids.</w:t>
      </w:r>
    </w:p>
    <w:p>
      <w:pPr>
        <w:keepNext/>
        <w:jc w:val="center"/>
      </w:pPr>
      <w:r>
        <w:drawing>
          <wp:inline xmlns:a="http://schemas.openxmlformats.org/drawingml/2006/main" xmlns:pic="http://schemas.openxmlformats.org/drawingml/2006/picture">
            <wp:extent cx="4680000" cy="4696860"/>
            <wp:docPr id="5" name="Picture 5"/>
            <wp:cNvGraphicFramePr>
              <a:graphicFrameLocks noChangeAspect="1"/>
            </wp:cNvGraphicFramePr>
            <a:graphic>
              <a:graphicData uri="http://schemas.openxmlformats.org/drawingml/2006/picture">
                <pic:pic>
                  <pic:nvPicPr>
                    <pic:cNvPr id="0" name="Fig5_radar.png"/>
                    <pic:cNvPicPr/>
                  </pic:nvPicPr>
                  <pic:blipFill>
                    <a:blip r:embed="rId14"/>
                    <a:stretch>
                      <a:fillRect/>
                    </a:stretch>
                  </pic:blipFill>
                  <pic:spPr>
                    <a:xfrm>
                      <a:off x="0" y="0"/>
                      <a:ext cx="4680000" cy="4696860"/>
                    </a:xfrm>
                    <a:prstGeom prst="rect"/>
                  </pic:spPr>
                </pic:pic>
              </a:graphicData>
            </a:graphic>
          </wp:inline>
        </w:drawing>
      </w:r>
    </w:p>
    <w:p>
      <w:pPr>
        <w:spacing w:before="80" w:after="240" w:line="240" w:lineRule="auto"/>
        <w:jc w:val="both"/>
      </w:pPr>
      <w:r>
        <w:rPr>
          <w:rFonts w:ascii="Times New Roman" w:hAnsi="Times New Roman" w:eastAsia="Times New Roman"/>
          <w:b/>
          <w:i w:val="0"/>
          <w:color w:val="000000"/>
          <w:sz w:val="24"/>
        </w:rPr>
        <w:t>Fig. 5.</w:t>
      </w:r>
      <w:r>
        <w:rPr>
          <w:rFonts w:ascii="Times New Roman" w:hAnsi="Times New Roman" w:eastAsia="Times New Roman"/>
          <w:b w:val="0"/>
          <w:i w:val="0"/>
          <w:color w:val="000000"/>
          <w:sz w:val="24"/>
        </w:rPr>
        <w:t xml:space="preserve"> Radar chart of nine traits rescaled to 0–1 across all 48 treatment combinations, comparing unstressed and 150 mM NaCl uninoculated plants with plants inoculated with IS-06 and C4-5 under 150 mM NaCl. A larger polygon indicates a trait profile closer to the best observed values.</w:t>
      </w:r>
    </w:p>
    <w:p>
      <w:pPr>
        <w:spacing w:before="0" w:after="120" w:line="360" w:lineRule="auto"/>
        <w:ind w:firstLine="567"/>
        <w:jc w:val="both"/>
      </w:pPr>
      <w:r>
        <w:rPr>
          <w:rFonts w:ascii="Times New Roman" w:hAnsi="Times New Roman" w:eastAsia="Times New Roman"/>
          <w:b w:val="0"/>
          <w:i w:val="0"/>
          <w:color w:val="000000"/>
          <w:sz w:val="24"/>
        </w:rPr>
        <w:t xml:space="preserve">The first two principal components explained 71.3% of the variance (Fig. 6). PC1 (51.7%) loaded positively on every trait, most strongly SVI (0.91),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(0.84) and germination (0.82), and represents general seedling health. PC2 (19.6%) separated protein and sugars from DPPH and root and shoot length. Uninoculated plants moved steadily to negative PC1 with salt, whereas IS-06 stayed on the positive side at every salinity level, and IS-06 at 150 mM scored higher than the control at 50 mM.</w:t>
      </w:r>
    </w:p>
    <w:p>
      <w:pPr>
        <w:keepNext/>
        <w:jc w:val="center"/>
      </w:pPr>
      <w:r>
        <w:drawing>
          <wp:inline xmlns:a="http://schemas.openxmlformats.org/drawingml/2006/main" xmlns:pic="http://schemas.openxmlformats.org/drawingml/2006/picture">
            <wp:extent cx="5724000" cy="4713973"/>
            <wp:docPr id="6" name="Picture 6"/>
            <wp:cNvGraphicFramePr>
              <a:graphicFrameLocks noChangeAspect="1"/>
            </wp:cNvGraphicFramePr>
            <a:graphic>
              <a:graphicData uri="http://schemas.openxmlformats.org/drawingml/2006/picture">
                <pic:pic>
                  <pic:nvPicPr>
                    <pic:cNvPr id="0" name="Fig6_pca.png"/>
                    <pic:cNvPicPr/>
                  </pic:nvPicPr>
                  <pic:blipFill>
                    <a:blip r:embed="rId15"/>
                    <a:stretch>
                      <a:fillRect/>
                    </a:stretch>
                  </pic:blipFill>
                  <pic:spPr>
                    <a:xfrm>
                      <a:off x="0" y="0"/>
                      <a:ext cx="5724000" cy="4713973"/>
                    </a:xfrm>
                    <a:prstGeom prst="rect"/>
                  </pic:spPr>
                </pic:pic>
              </a:graphicData>
            </a:graphic>
          </wp:inline>
        </w:drawing>
      </w:r>
    </w:p>
    <w:p>
      <w:pPr>
        <w:spacing w:before="80" w:after="240" w:line="240" w:lineRule="auto"/>
        <w:jc w:val="both"/>
      </w:pPr>
      <w:r>
        <w:rPr>
          <w:rFonts w:ascii="Times New Roman" w:hAnsi="Times New Roman" w:eastAsia="Times New Roman"/>
          <w:b/>
          <w:i w:val="0"/>
          <w:color w:val="000000"/>
          <w:sz w:val="24"/>
        </w:rPr>
        <w:t>Fig. 6.</w:t>
      </w:r>
      <w:r>
        <w:rPr>
          <w:rFonts w:ascii="Times New Roman" w:hAnsi="Times New Roman" w:eastAsia="Times New Roman"/>
          <w:b w:val="0"/>
          <w:i w:val="0"/>
          <w:color w:val="000000"/>
          <w:sz w:val="24"/>
        </w:rPr>
        <w:t xml:space="preserve"> Principal component analysis biplot of nine standardized traits across 48 treatment combinations. Symbol shape and colour indicate inoculation type and symbol size indicates NaCl level; selected treatments are labelled as inoculant–NaCl (mM). Arrows show trait loadings (scaled ×3.2). PC1 represents general seedling growth and metabolite status; PC2 separates protein and sugar content from root and shoot length and DPPH activity.</w:t>
      </w:r>
    </w:p>
    <w:p>
      <w:pPr>
        <w:sectPr>
          <w:pgSz w:w="11906" w:h="16838"/>
          <w:pgMar w:top="1440" w:right="1440" w:bottom="1440" w:left="1440" w:header="720" w:footer="720" w:gutter="0"/>
          <w:cols w:space="720"/>
          <w:docGrid w:linePitch="360"/>
          <w:lnNumType w:countBy="1" w:restart="continuous" w:distance="283"/>
          <w:lnNumType w:countBy="1" w:restart="continuous" w:distance="283"/>
          <w:lnNumType w:countBy="1" w:restart="continuous" w:distance="283"/>
        </w:sectPr>
      </w:pPr>
    </w:p>
    <w:p>
      <w:pPr>
        <w:keepNext/>
        <w:spacing w:before="0" w:after="80" w:line="240" w:lineRule="auto"/>
        <w:jc w:val="both"/>
      </w:pPr>
      <w:r>
        <w:rPr>
          <w:rFonts w:ascii="Times New Roman" w:hAnsi="Times New Roman" w:eastAsia="Times New Roman"/>
          <w:b/>
          <w:i w:val="0"/>
          <w:color w:val="000000"/>
          <w:sz w:val="24"/>
        </w:rPr>
        <w:t>Table 3.</w:t>
      </w:r>
      <w:r>
        <w:rPr>
          <w:rFonts w:ascii="Times New Roman" w:hAnsi="Times New Roman" w:eastAsia="Times New Roman"/>
          <w:b w:val="0"/>
          <w:i w:val="0"/>
          <w:color w:val="000000"/>
          <w:sz w:val="24"/>
        </w:rPr>
        <w:t xml:space="preserve"> Two-way ANOVA (inoculant × NaCl) for seedling growth and leaf biochemical traits of rice cv. IR-64, computed from replicate means and standard deviations (n = 3).</w:t>
      </w:r>
    </w:p>
    <w:tbl>
      <w:tblPr>
        <w:tblW w:type="auto" w:w="0"/>
        <w:jc w:val="center"/>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Layout w:type="fixed"/>
        <w:tblW w:w="13948" w:type="dxa"/>
      </w:tblPr>
      <w:tblGrid>
        <w:gridCol w:w="4195"/>
        <w:gridCol w:w="1927"/>
        <w:gridCol w:w="1927"/>
        <w:gridCol w:w="2268"/>
        <w:gridCol w:w="1984"/>
        <w:gridCol w:w="1644"/>
      </w:tblGrid>
      <w:tr>
        <w:tc>
          <w:tcPr>
            <w:tcW w:type="dxa" w:w="4195"/>
            <w:vAlign w:val="center"/>
            <w:tcBorders>
              <w:bottom w:val="single" w:sz="6" w:color="000000"/>
            </w:tcBorders>
          </w:tcPr>
          <w:p>
            <w:pPr>
              <w:spacing w:after="0" w:before="0" w:line="240" w:lineRule="auto"/>
              <w:jc w:val="left"/>
            </w:pPr>
            <w:r/>
            <w:r>
              <w:rPr>
                <w:rFonts w:ascii="Times New Roman" w:hAnsi="Times New Roman" w:eastAsia="Times New Roman"/>
                <w:b/>
                <w:i w:val="0"/>
                <w:color w:val="000000"/>
                <w:sz w:val="24"/>
              </w:rPr>
              <w:t>Trait</w:t>
            </w:r>
          </w:p>
        </w:tc>
        <w:tc>
          <w:tcPr>
            <w:tcW w:type="dxa" w:w="1928"/>
            <w:vAlign w:val="center"/>
            <w:tcBorders>
              <w:bottom w:val="single" w:sz="6" w:color="000000"/>
            </w:tcBorders>
          </w:tcPr>
          <w:p>
            <w:pPr>
              <w:spacing w:after="0" w:before="0" w:line="240" w:lineRule="auto"/>
              <w:jc w:val="center"/>
            </w:pPr>
            <w:r/>
            <w:r>
              <w:rPr>
                <w:rFonts w:ascii="Times New Roman" w:hAnsi="Times New Roman" w:eastAsia="Times New Roman"/>
                <w:b/>
                <w:i w:val="0"/>
                <w:color w:val="000000"/>
                <w:sz w:val="24"/>
              </w:rPr>
              <w:t>Inoculant F</w:t>
            </w:r>
          </w:p>
        </w:tc>
        <w:tc>
          <w:tcPr>
            <w:tcW w:type="dxa" w:w="1928"/>
            <w:vAlign w:val="center"/>
            <w:tcBorders>
              <w:bottom w:val="single" w:sz="6" w:color="000000"/>
            </w:tcBorders>
          </w:tcPr>
          <w:p>
            <w:pPr>
              <w:spacing w:after="0" w:before="0" w:line="240" w:lineRule="auto"/>
              <w:jc w:val="center"/>
            </w:pPr>
            <w:r/>
            <w:r>
              <w:rPr>
                <w:rFonts w:ascii="Times New Roman" w:hAnsi="Times New Roman" w:eastAsia="Times New Roman"/>
                <w:b/>
                <w:i w:val="0"/>
                <w:color w:val="000000"/>
                <w:sz w:val="24"/>
              </w:rPr>
              <w:t>NaCl F</w:t>
            </w:r>
          </w:p>
        </w:tc>
        <w:tc>
          <w:tcPr>
            <w:tcW w:type="dxa" w:w="2268"/>
            <w:vAlign w:val="center"/>
            <w:tcBorders>
              <w:bottom w:val="single" w:sz="6" w:color="000000"/>
            </w:tcBorders>
          </w:tcPr>
          <w:p>
            <w:pPr>
              <w:spacing w:after="0" w:before="0" w:line="240" w:lineRule="auto"/>
              <w:jc w:val="center"/>
            </w:pPr>
            <w:r/>
            <w:r>
              <w:rPr>
                <w:rFonts w:ascii="Times New Roman" w:hAnsi="Times New Roman" w:eastAsia="Times New Roman"/>
                <w:b/>
                <w:i w:val="0"/>
                <w:color w:val="000000"/>
                <w:sz w:val="24"/>
              </w:rPr>
              <w:t>Inoculant × NaCl F</w:t>
            </w:r>
          </w:p>
        </w:tc>
        <w:tc>
          <w:tcPr>
            <w:tcW w:type="dxa" w:w="1984"/>
            <w:vAlign w:val="center"/>
            <w:tcBorders>
              <w:bottom w:val="single" w:sz="6" w:color="000000"/>
            </w:tcBorders>
          </w:tcPr>
          <w:p>
            <w:pPr>
              <w:spacing w:after="0" w:before="0" w:line="240" w:lineRule="auto"/>
              <w:jc w:val="center"/>
            </w:pPr>
            <w:r/>
            <w:r>
              <w:rPr>
                <w:rFonts w:ascii="Times New Roman" w:hAnsi="Times New Roman" w:eastAsia="Times New Roman"/>
                <w:b/>
                <w:i w:val="0"/>
                <w:color w:val="000000"/>
                <w:sz w:val="24"/>
              </w:rPr>
              <w:t>η</w:t>
            </w:r>
            <w:r>
              <w:rPr>
                <w:rFonts w:ascii="Times New Roman" w:hAnsi="Times New Roman" w:eastAsia="Times New Roman"/>
                <w:b/>
                <w:i w:val="0"/>
                <w:color w:val="000000"/>
                <w:sz w:val="24"/>
                <w:vertAlign w:val="subscript"/>
              </w:rPr>
              <w:t>p</w:t>
            </w:r>
            <w:r>
              <w:rPr>
                <w:rFonts w:ascii="Times New Roman" w:hAnsi="Times New Roman" w:eastAsia="Times New Roman"/>
                <w:b/>
                <w:i w:val="0"/>
                <w:color w:val="000000"/>
                <w:sz w:val="24"/>
                <w:vertAlign w:val="superscript"/>
              </w:rPr>
              <w:t>2</w:t>
            </w:r>
            <w:r>
              <w:rPr>
                <w:rFonts w:ascii="Times New Roman" w:hAnsi="Times New Roman" w:eastAsia="Times New Roman"/>
                <w:b/>
                <w:i w:val="0"/>
                <w:color w:val="000000"/>
                <w:sz w:val="24"/>
              </w:rPr>
              <w:t xml:space="preserve"> (interaction)</w:t>
            </w:r>
          </w:p>
        </w:tc>
        <w:tc>
          <w:tcPr>
            <w:tcW w:type="dxa" w:w="1644"/>
            <w:vAlign w:val="center"/>
            <w:tcBorders>
              <w:bottom w:val="single" w:sz="6" w:color="000000"/>
            </w:tcBorders>
          </w:tcPr>
          <w:p>
            <w:pPr>
              <w:spacing w:after="0" w:before="0" w:line="240" w:lineRule="auto"/>
              <w:jc w:val="center"/>
            </w:pPr>
            <w:r/>
            <w:r>
              <w:rPr>
                <w:rFonts w:ascii="Times New Roman" w:hAnsi="Times New Roman" w:eastAsia="Times New Roman"/>
                <w:b/>
                <w:i w:val="0"/>
                <w:color w:val="000000"/>
                <w:sz w:val="24"/>
              </w:rPr>
              <w:t>Tukey HSD</w:t>
            </w:r>
            <w:r>
              <w:rPr>
                <w:rFonts w:ascii="Times New Roman" w:hAnsi="Times New Roman" w:eastAsia="Times New Roman"/>
                <w:b/>
                <w:i w:val="0"/>
                <w:color w:val="000000"/>
                <w:sz w:val="24"/>
                <w:vertAlign w:val="subscript"/>
              </w:rPr>
              <w:t>0.05</w:t>
            </w:r>
          </w:p>
        </w:tc>
      </w:tr>
      <w:tr>
        <w:tc>
          <w:tcPr>
            <w:tcW w:type="dxa" w:w="1644"/>
            <w:gridSpan w:val="6"/>
            <w:vAlign w:val="center"/>
          </w:tcPr>
          <w:p>
            <w:pPr>
              <w:spacing w:after="0" w:before="0" w:line="240" w:lineRule="auto"/>
              <w:jc w:val="left"/>
            </w:pPr>
            <w:r/>
            <w:r>
              <w:rPr>
                <w:rFonts w:ascii="Times New Roman" w:hAnsi="Times New Roman" w:eastAsia="Times New Roman"/>
                <w:b w:val="0"/>
                <w:i/>
                <w:color w:val="000000"/>
                <w:sz w:val="24"/>
              </w:rPr>
              <w:t>Single-isolate experiment (7 inoculation levels × 4 NaCl levels)</w:t>
            </w:r>
          </w:p>
        </w:tc>
      </w:tr>
      <w:tr>
        <w:tc>
          <w:tcPr>
            <w:tcW w:type="dxa" w:w="4195"/>
            <w:vAlign w:val="center"/>
          </w:tcPr>
          <w:p>
            <w:pPr>
              <w:spacing w:after="0" w:before="0" w:line="240" w:lineRule="auto"/>
              <w:jc w:val="left"/>
            </w:pPr>
            <w:r/>
            <w:r>
              <w:rPr>
                <w:rFonts w:ascii="Times New Roman" w:hAnsi="Times New Roman" w:eastAsia="Times New Roman"/>
                <w:b w:val="0"/>
                <w:i w:val="0"/>
                <w:color w:val="000000"/>
                <w:sz w:val="24"/>
              </w:rPr>
              <w:t>Root length (cm)</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1156.4∗∗∗</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3650.8∗∗∗</w:t>
            </w:r>
          </w:p>
        </w:tc>
        <w:tc>
          <w:tcPr>
            <w:tcW w:type="dxa" w:w="2268"/>
            <w:vAlign w:val="center"/>
          </w:tcPr>
          <w:p>
            <w:pPr>
              <w:spacing w:after="0" w:before="0" w:line="240" w:lineRule="auto"/>
              <w:jc w:val="center"/>
            </w:pPr>
            <w:r/>
            <w:r>
              <w:rPr>
                <w:rFonts w:ascii="Times New Roman" w:hAnsi="Times New Roman" w:eastAsia="Times New Roman"/>
                <w:b w:val="0"/>
                <w:i w:val="0"/>
                <w:color w:val="000000"/>
                <w:sz w:val="24"/>
              </w:rPr>
              <w:t>706.4∗∗∗</w:t>
            </w:r>
          </w:p>
        </w:tc>
        <w:tc>
          <w:tcPr>
            <w:tcW w:type="dxa" w:w="1984"/>
            <w:vAlign w:val="center"/>
          </w:tcPr>
          <w:p>
            <w:pPr>
              <w:spacing w:after="0" w:before="0" w:line="240" w:lineRule="auto"/>
              <w:jc w:val="center"/>
            </w:pPr>
            <w:r/>
            <w:r>
              <w:rPr>
                <w:rFonts w:ascii="Times New Roman" w:hAnsi="Times New Roman" w:eastAsia="Times New Roman"/>
                <w:b w:val="0"/>
                <w:i w:val="0"/>
                <w:color w:val="000000"/>
                <w:sz w:val="24"/>
              </w:rPr>
              <w:t>0.996</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0.21</w:t>
            </w:r>
          </w:p>
        </w:tc>
      </w:tr>
      <w:tr>
        <w:tc>
          <w:tcPr>
            <w:tcW w:type="dxa" w:w="4195"/>
            <w:vAlign w:val="center"/>
          </w:tcPr>
          <w:p>
            <w:pPr>
              <w:spacing w:after="0" w:before="0" w:line="240" w:lineRule="auto"/>
              <w:jc w:val="left"/>
            </w:pPr>
            <w:r/>
            <w:r>
              <w:rPr>
                <w:rFonts w:ascii="Times New Roman" w:hAnsi="Times New Roman" w:eastAsia="Times New Roman"/>
                <w:b w:val="0"/>
                <w:i w:val="0"/>
                <w:color w:val="000000"/>
                <w:sz w:val="24"/>
              </w:rPr>
              <w:t>Shoot length (cm)</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1414.8∗∗∗</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1884.3∗∗∗</w:t>
            </w:r>
          </w:p>
        </w:tc>
        <w:tc>
          <w:tcPr>
            <w:tcW w:type="dxa" w:w="2268"/>
            <w:vAlign w:val="center"/>
          </w:tcPr>
          <w:p>
            <w:pPr>
              <w:spacing w:after="0" w:before="0" w:line="240" w:lineRule="auto"/>
              <w:jc w:val="center"/>
            </w:pPr>
            <w:r/>
            <w:r>
              <w:rPr>
                <w:rFonts w:ascii="Times New Roman" w:hAnsi="Times New Roman" w:eastAsia="Times New Roman"/>
                <w:b w:val="0"/>
                <w:i w:val="0"/>
                <w:color w:val="000000"/>
                <w:sz w:val="24"/>
              </w:rPr>
              <w:t>414.6∗∗∗</w:t>
            </w:r>
          </w:p>
        </w:tc>
        <w:tc>
          <w:tcPr>
            <w:tcW w:type="dxa" w:w="1984"/>
            <w:vAlign w:val="center"/>
          </w:tcPr>
          <w:p>
            <w:pPr>
              <w:spacing w:after="0" w:before="0" w:line="240" w:lineRule="auto"/>
              <w:jc w:val="center"/>
            </w:pPr>
            <w:r/>
            <w:r>
              <w:rPr>
                <w:rFonts w:ascii="Times New Roman" w:hAnsi="Times New Roman" w:eastAsia="Times New Roman"/>
                <w:b w:val="0"/>
                <w:i w:val="0"/>
                <w:color w:val="000000"/>
                <w:sz w:val="24"/>
              </w:rPr>
              <w:t>0.993</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0.68</w:t>
            </w:r>
          </w:p>
        </w:tc>
      </w:tr>
      <w:tr>
        <w:tc>
          <w:tcPr>
            <w:tcW w:type="dxa" w:w="4195"/>
            <w:vAlign w:val="center"/>
          </w:tcPr>
          <w:p>
            <w:pPr>
              <w:spacing w:after="0" w:before="0" w:line="240" w:lineRule="auto"/>
              <w:jc w:val="left"/>
            </w:pPr>
            <w:r/>
            <w:r>
              <w:rPr>
                <w:rFonts w:ascii="Times New Roman" w:hAnsi="Times New Roman" w:eastAsia="Times New Roman"/>
                <w:b w:val="0"/>
                <w:i w:val="0"/>
                <w:color w:val="000000"/>
                <w:sz w:val="24"/>
              </w:rPr>
              <w:t xml:space="preserve">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(mg 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4768.0∗∗∗</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5411.7∗∗∗</w:t>
            </w:r>
          </w:p>
        </w:tc>
        <w:tc>
          <w:tcPr>
            <w:tcW w:type="dxa" w:w="2268"/>
            <w:vAlign w:val="center"/>
          </w:tcPr>
          <w:p>
            <w:pPr>
              <w:spacing w:after="0" w:before="0" w:line="240" w:lineRule="auto"/>
              <w:jc w:val="center"/>
            </w:pPr>
            <w:r/>
            <w:r>
              <w:rPr>
                <w:rFonts w:ascii="Times New Roman" w:hAnsi="Times New Roman" w:eastAsia="Times New Roman"/>
                <w:b w:val="0"/>
                <w:i w:val="0"/>
                <w:color w:val="000000"/>
                <w:sz w:val="24"/>
              </w:rPr>
              <w:t>792.0∗∗∗</w:t>
            </w:r>
          </w:p>
        </w:tc>
        <w:tc>
          <w:tcPr>
            <w:tcW w:type="dxa" w:w="1984"/>
            <w:vAlign w:val="center"/>
          </w:tcPr>
          <w:p>
            <w:pPr>
              <w:spacing w:after="0" w:before="0" w:line="240" w:lineRule="auto"/>
              <w:jc w:val="center"/>
            </w:pPr>
            <w:r/>
            <w:r>
              <w:rPr>
                <w:rFonts w:ascii="Times New Roman" w:hAnsi="Times New Roman" w:eastAsia="Times New Roman"/>
                <w:b w:val="0"/>
                <w:i w:val="0"/>
                <w:color w:val="000000"/>
                <w:sz w:val="24"/>
              </w:rPr>
              <w:t>0.996</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0.81</w:t>
            </w:r>
          </w:p>
        </w:tc>
      </w:tr>
      <w:tr>
        <w:tc>
          <w:tcPr>
            <w:tcW w:type="dxa" w:w="4195"/>
            <w:vAlign w:val="center"/>
          </w:tcPr>
          <w:p>
            <w:pPr>
              <w:spacing w:after="0" w:before="0" w:line="240" w:lineRule="auto"/>
              <w:jc w:val="left"/>
            </w:pPr>
            <w:r/>
            <w:r>
              <w:rPr>
                <w:rFonts w:ascii="Times New Roman" w:hAnsi="Times New Roman" w:eastAsia="Times New Roman"/>
                <w:b w:val="0"/>
                <w:i w:val="0"/>
                <w:color w:val="000000"/>
                <w:sz w:val="24"/>
              </w:rPr>
              <w:t xml:space="preserve">Chlorophyll </w:t>
            </w:r>
            <w:r>
              <w:rPr>
                <w:rFonts w:ascii="Times New Roman" w:hAnsi="Times New Roman" w:eastAsia="Times New Roman"/>
                <w:b w:val="0"/>
                <w:i/>
                <w:color w:val="000000"/>
                <w:sz w:val="24"/>
              </w:rPr>
              <w:t>b</w:t>
            </w:r>
            <w:r>
              <w:rPr>
                <w:rFonts w:ascii="Times New Roman" w:hAnsi="Times New Roman" w:eastAsia="Times New Roman"/>
                <w:b w:val="0"/>
                <w:i w:val="0"/>
                <w:color w:val="000000"/>
                <w:sz w:val="24"/>
              </w:rPr>
              <w:t xml:space="preserve"> (mg 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4324.4∗∗∗</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5914.4∗∗∗</w:t>
            </w:r>
          </w:p>
        </w:tc>
        <w:tc>
          <w:tcPr>
            <w:tcW w:type="dxa" w:w="2268"/>
            <w:vAlign w:val="center"/>
          </w:tcPr>
          <w:p>
            <w:pPr>
              <w:spacing w:after="0" w:before="0" w:line="240" w:lineRule="auto"/>
              <w:jc w:val="center"/>
            </w:pPr>
            <w:r/>
            <w:r>
              <w:rPr>
                <w:rFonts w:ascii="Times New Roman" w:hAnsi="Times New Roman" w:eastAsia="Times New Roman"/>
                <w:b w:val="0"/>
                <w:i w:val="0"/>
                <w:color w:val="000000"/>
                <w:sz w:val="24"/>
              </w:rPr>
              <w:t>1196.0∗∗∗</w:t>
            </w:r>
          </w:p>
        </w:tc>
        <w:tc>
          <w:tcPr>
            <w:tcW w:type="dxa" w:w="1984"/>
            <w:vAlign w:val="center"/>
          </w:tcPr>
          <w:p>
            <w:pPr>
              <w:spacing w:after="0" w:before="0" w:line="240" w:lineRule="auto"/>
              <w:jc w:val="center"/>
            </w:pPr>
            <w:r/>
            <w:r>
              <w:rPr>
                <w:rFonts w:ascii="Times New Roman" w:hAnsi="Times New Roman" w:eastAsia="Times New Roman"/>
                <w:b w:val="0"/>
                <w:i w:val="0"/>
                <w:color w:val="000000"/>
                <w:sz w:val="24"/>
              </w:rPr>
              <w:t>0.997</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0.82</w:t>
            </w:r>
          </w:p>
        </w:tc>
      </w:tr>
      <w:tr>
        <w:tc>
          <w:tcPr>
            <w:tcW w:type="dxa" w:w="4195"/>
            <w:vAlign w:val="center"/>
          </w:tcPr>
          <w:p>
            <w:pPr>
              <w:spacing w:after="0" w:before="0" w:line="240" w:lineRule="auto"/>
              <w:jc w:val="left"/>
            </w:pPr>
            <w:r/>
            <w:r>
              <w:rPr>
                <w:rFonts w:ascii="Times New Roman" w:hAnsi="Times New Roman" w:eastAsia="Times New Roman"/>
                <w:b w:val="0"/>
                <w:i w:val="0"/>
                <w:color w:val="000000"/>
                <w:sz w:val="24"/>
              </w:rPr>
              <w:t>Soluble protein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1.36 × 10</w:t>
            </w:r>
            <w:r>
              <w:rPr>
                <w:rFonts w:ascii="Times New Roman" w:hAnsi="Times New Roman" w:eastAsia="Times New Roman"/>
                <w:b w:val="0"/>
                <w:i w:val="0"/>
                <w:color w:val="000000"/>
                <w:sz w:val="24"/>
                <w:vertAlign w:val="superscript"/>
              </w:rPr>
              <w:t>5</w:t>
            </w:r>
            <w:r>
              <w:rPr>
                <w:rFonts w:ascii="Times New Roman" w:hAnsi="Times New Roman" w:eastAsia="Times New Roman"/>
                <w:b w:val="0"/>
                <w:i w:val="0"/>
                <w:color w:val="000000"/>
                <w:sz w:val="24"/>
              </w:rPr>
              <w:t>∗∗∗</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7.25 × 10</w:t>
            </w:r>
            <w:r>
              <w:rPr>
                <w:rFonts w:ascii="Times New Roman" w:hAnsi="Times New Roman" w:eastAsia="Times New Roman"/>
                <w:b w:val="0"/>
                <w:i w:val="0"/>
                <w:color w:val="000000"/>
                <w:sz w:val="24"/>
                <w:vertAlign w:val="superscript"/>
              </w:rPr>
              <w:t>5</w:t>
            </w:r>
            <w:r>
              <w:rPr>
                <w:rFonts w:ascii="Times New Roman" w:hAnsi="Times New Roman" w:eastAsia="Times New Roman"/>
                <w:b w:val="0"/>
                <w:i w:val="0"/>
                <w:color w:val="000000"/>
                <w:sz w:val="24"/>
              </w:rPr>
              <w:t>∗∗∗</w:t>
            </w:r>
          </w:p>
        </w:tc>
        <w:tc>
          <w:tcPr>
            <w:tcW w:type="dxa" w:w="2268"/>
            <w:vAlign w:val="center"/>
          </w:tcPr>
          <w:p>
            <w:pPr>
              <w:spacing w:after="0" w:before="0" w:line="240" w:lineRule="auto"/>
              <w:jc w:val="center"/>
            </w:pPr>
            <w:r/>
            <w:r>
              <w:rPr>
                <w:rFonts w:ascii="Times New Roman" w:hAnsi="Times New Roman" w:eastAsia="Times New Roman"/>
                <w:b w:val="0"/>
                <w:i w:val="0"/>
                <w:color w:val="000000"/>
                <w:sz w:val="24"/>
              </w:rPr>
              <w:t>2.75 × 10</w:t>
            </w:r>
            <w:r>
              <w:rPr>
                <w:rFonts w:ascii="Times New Roman" w:hAnsi="Times New Roman" w:eastAsia="Times New Roman"/>
                <w:b w:val="0"/>
                <w:i w:val="0"/>
                <w:color w:val="000000"/>
                <w:sz w:val="24"/>
                <w:vertAlign w:val="superscript"/>
              </w:rPr>
              <w:t>4</w:t>
            </w:r>
            <w:r>
              <w:rPr>
                <w:rFonts w:ascii="Times New Roman" w:hAnsi="Times New Roman" w:eastAsia="Times New Roman"/>
                <w:b w:val="0"/>
                <w:i w:val="0"/>
                <w:color w:val="000000"/>
                <w:sz w:val="24"/>
              </w:rPr>
              <w:t>∗∗∗</w:t>
            </w:r>
          </w:p>
        </w:tc>
        <w:tc>
          <w:tcPr>
            <w:tcW w:type="dxa" w:w="1984"/>
            <w:vAlign w:val="center"/>
          </w:tcPr>
          <w:p>
            <w:pPr>
              <w:spacing w:after="0" w:before="0" w:line="240" w:lineRule="auto"/>
              <w:jc w:val="center"/>
            </w:pPr>
            <w:r/>
            <w:r>
              <w:rPr>
                <w:rFonts w:ascii="Times New Roman" w:hAnsi="Times New Roman" w:eastAsia="Times New Roman"/>
                <w:b w:val="0"/>
                <w:i w:val="0"/>
                <w:color w:val="000000"/>
                <w:sz w:val="24"/>
              </w:rPr>
              <w:t>1.000</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0.48</w:t>
            </w:r>
          </w:p>
        </w:tc>
      </w:tr>
      <w:tr>
        <w:tc>
          <w:tcPr>
            <w:tcW w:type="dxa" w:w="4195"/>
            <w:vAlign w:val="center"/>
          </w:tcPr>
          <w:p>
            <w:pPr>
              <w:spacing w:after="0" w:before="0" w:line="240" w:lineRule="auto"/>
              <w:jc w:val="left"/>
            </w:pPr>
            <w:r/>
            <w:r>
              <w:rPr>
                <w:rFonts w:ascii="Times New Roman" w:hAnsi="Times New Roman" w:eastAsia="Times New Roman"/>
                <w:b w:val="0"/>
                <w:i w:val="0"/>
                <w:color w:val="000000"/>
                <w:sz w:val="24"/>
              </w:rPr>
              <w:t>Soluble sugars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5.61 × 10</w:t>
            </w:r>
            <w:r>
              <w:rPr>
                <w:rFonts w:ascii="Times New Roman" w:hAnsi="Times New Roman" w:eastAsia="Times New Roman"/>
                <w:b w:val="0"/>
                <w:i w:val="0"/>
                <w:color w:val="000000"/>
                <w:sz w:val="24"/>
                <w:vertAlign w:val="superscript"/>
              </w:rPr>
              <w:t>4</w:t>
            </w:r>
            <w:r>
              <w:rPr>
                <w:rFonts w:ascii="Times New Roman" w:hAnsi="Times New Roman" w:eastAsia="Times New Roman"/>
                <w:b w:val="0"/>
                <w:i w:val="0"/>
                <w:color w:val="000000"/>
                <w:sz w:val="24"/>
              </w:rPr>
              <w:t>∗∗∗</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8.28 × 10</w:t>
            </w:r>
            <w:r>
              <w:rPr>
                <w:rFonts w:ascii="Times New Roman" w:hAnsi="Times New Roman" w:eastAsia="Times New Roman"/>
                <w:b w:val="0"/>
                <w:i w:val="0"/>
                <w:color w:val="000000"/>
                <w:sz w:val="24"/>
                <w:vertAlign w:val="superscript"/>
              </w:rPr>
              <w:t>4</w:t>
            </w:r>
            <w:r>
              <w:rPr>
                <w:rFonts w:ascii="Times New Roman" w:hAnsi="Times New Roman" w:eastAsia="Times New Roman"/>
                <w:b w:val="0"/>
                <w:i w:val="0"/>
                <w:color w:val="000000"/>
                <w:sz w:val="24"/>
              </w:rPr>
              <w:t>∗∗∗</w:t>
            </w:r>
          </w:p>
        </w:tc>
        <w:tc>
          <w:tcPr>
            <w:tcW w:type="dxa" w:w="2268"/>
            <w:vAlign w:val="center"/>
          </w:tcPr>
          <w:p>
            <w:pPr>
              <w:spacing w:after="0" w:before="0" w:line="240" w:lineRule="auto"/>
              <w:jc w:val="center"/>
            </w:pPr>
            <w:r/>
            <w:r>
              <w:rPr>
                <w:rFonts w:ascii="Times New Roman" w:hAnsi="Times New Roman" w:eastAsia="Times New Roman"/>
                <w:b w:val="0"/>
                <w:i w:val="0"/>
                <w:color w:val="000000"/>
                <w:sz w:val="24"/>
              </w:rPr>
              <w:t>9767.6∗∗∗</w:t>
            </w:r>
          </w:p>
        </w:tc>
        <w:tc>
          <w:tcPr>
            <w:tcW w:type="dxa" w:w="1984"/>
            <w:vAlign w:val="center"/>
          </w:tcPr>
          <w:p>
            <w:pPr>
              <w:spacing w:after="0" w:before="0" w:line="240" w:lineRule="auto"/>
              <w:jc w:val="center"/>
            </w:pPr>
            <w:r/>
            <w:r>
              <w:rPr>
                <w:rFonts w:ascii="Times New Roman" w:hAnsi="Times New Roman" w:eastAsia="Times New Roman"/>
                <w:b w:val="0"/>
                <w:i w:val="0"/>
                <w:color w:val="000000"/>
                <w:sz w:val="24"/>
              </w:rPr>
              <w:t>1.000</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0.48</w:t>
            </w:r>
          </w:p>
        </w:tc>
      </w:tr>
      <w:tr>
        <w:tc>
          <w:tcPr>
            <w:tcW w:type="dxa" w:w="4195"/>
            <w:vAlign w:val="center"/>
          </w:tcPr>
          <w:p>
            <w:pPr>
              <w:spacing w:after="0" w:before="0" w:line="240" w:lineRule="auto"/>
              <w:jc w:val="left"/>
            </w:pPr>
            <w:r/>
            <w:r>
              <w:rPr>
                <w:rFonts w:ascii="Times New Roman" w:hAnsi="Times New Roman" w:eastAsia="Times New Roman"/>
                <w:b w:val="0"/>
                <w:i w:val="0"/>
                <w:color w:val="000000"/>
                <w:sz w:val="24"/>
              </w:rPr>
              <w:t>DPPH scavenging (%)</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512.5∗∗∗</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47.5∗∗∗</w:t>
            </w:r>
          </w:p>
        </w:tc>
        <w:tc>
          <w:tcPr>
            <w:tcW w:type="dxa" w:w="2268"/>
            <w:vAlign w:val="center"/>
          </w:tcPr>
          <w:p>
            <w:pPr>
              <w:spacing w:after="0" w:before="0" w:line="240" w:lineRule="auto"/>
              <w:jc w:val="center"/>
            </w:pPr>
            <w:r/>
            <w:r>
              <w:rPr>
                <w:rFonts w:ascii="Times New Roman" w:hAnsi="Times New Roman" w:eastAsia="Times New Roman"/>
                <w:b w:val="0"/>
                <w:i w:val="0"/>
                <w:color w:val="000000"/>
                <w:sz w:val="24"/>
              </w:rPr>
              <w:t>76.7∗∗∗</w:t>
            </w:r>
          </w:p>
        </w:tc>
        <w:tc>
          <w:tcPr>
            <w:tcW w:type="dxa" w:w="1984"/>
            <w:vAlign w:val="center"/>
          </w:tcPr>
          <w:p>
            <w:pPr>
              <w:spacing w:after="0" w:before="0" w:line="240" w:lineRule="auto"/>
              <w:jc w:val="center"/>
            </w:pPr>
            <w:r/>
            <w:r>
              <w:rPr>
                <w:rFonts w:ascii="Times New Roman" w:hAnsi="Times New Roman" w:eastAsia="Times New Roman"/>
                <w:b w:val="0"/>
                <w:i w:val="0"/>
                <w:color w:val="000000"/>
                <w:sz w:val="24"/>
              </w:rPr>
              <w:t>0.961</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3.19</w:t>
            </w:r>
          </w:p>
        </w:tc>
      </w:tr>
      <w:tr>
        <w:tc>
          <w:tcPr>
            <w:tcW w:type="dxa" w:w="1644"/>
            <w:gridSpan w:val="6"/>
            <w:vAlign w:val="center"/>
          </w:tcPr>
          <w:p>
            <w:pPr>
              <w:spacing w:after="0" w:before="0" w:line="240" w:lineRule="auto"/>
              <w:jc w:val="left"/>
            </w:pPr>
            <w:r/>
            <w:r>
              <w:rPr>
                <w:rFonts w:ascii="Times New Roman" w:hAnsi="Times New Roman" w:eastAsia="Times New Roman"/>
                <w:b w:val="0"/>
                <w:i/>
                <w:color w:val="000000"/>
                <w:sz w:val="24"/>
              </w:rPr>
              <w:t>Consortium experiment (6 inoculation levels × 4 NaCl levels)</w:t>
            </w:r>
          </w:p>
        </w:tc>
      </w:tr>
      <w:tr>
        <w:tc>
          <w:tcPr>
            <w:tcW w:type="dxa" w:w="4195"/>
            <w:vAlign w:val="center"/>
          </w:tcPr>
          <w:p>
            <w:pPr>
              <w:spacing w:after="0" w:before="0" w:line="240" w:lineRule="auto"/>
              <w:jc w:val="left"/>
            </w:pPr>
            <w:r/>
            <w:r>
              <w:rPr>
                <w:rFonts w:ascii="Times New Roman" w:hAnsi="Times New Roman" w:eastAsia="Times New Roman"/>
                <w:b w:val="0"/>
                <w:i w:val="0"/>
                <w:color w:val="000000"/>
                <w:sz w:val="24"/>
              </w:rPr>
              <w:t>Root length (cm)</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123.0∗∗∗</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86.1∗∗∗</w:t>
            </w:r>
          </w:p>
        </w:tc>
        <w:tc>
          <w:tcPr>
            <w:tcW w:type="dxa" w:w="2268"/>
            <w:vAlign w:val="center"/>
          </w:tcPr>
          <w:p>
            <w:pPr>
              <w:spacing w:after="0" w:before="0" w:line="240" w:lineRule="auto"/>
              <w:jc w:val="center"/>
            </w:pPr>
            <w:r/>
            <w:r>
              <w:rPr>
                <w:rFonts w:ascii="Times New Roman" w:hAnsi="Times New Roman" w:eastAsia="Times New Roman"/>
                <w:b w:val="0"/>
                <w:i w:val="0"/>
                <w:color w:val="000000"/>
                <w:sz w:val="24"/>
              </w:rPr>
              <w:t>52.2∗∗∗</w:t>
            </w:r>
          </w:p>
        </w:tc>
        <w:tc>
          <w:tcPr>
            <w:tcW w:type="dxa" w:w="1984"/>
            <w:vAlign w:val="center"/>
          </w:tcPr>
          <w:p>
            <w:pPr>
              <w:spacing w:after="0" w:before="0" w:line="240" w:lineRule="auto"/>
              <w:jc w:val="center"/>
            </w:pPr>
            <w:r/>
            <w:r>
              <w:rPr>
                <w:rFonts w:ascii="Times New Roman" w:hAnsi="Times New Roman" w:eastAsia="Times New Roman"/>
                <w:b w:val="0"/>
                <w:i w:val="0"/>
                <w:color w:val="000000"/>
                <w:sz w:val="24"/>
              </w:rPr>
              <w:t>0.942</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0.59</w:t>
            </w:r>
          </w:p>
        </w:tc>
      </w:tr>
      <w:tr>
        <w:tc>
          <w:tcPr>
            <w:tcW w:type="dxa" w:w="4195"/>
            <w:vAlign w:val="center"/>
          </w:tcPr>
          <w:p>
            <w:pPr>
              <w:spacing w:after="0" w:before="0" w:line="240" w:lineRule="auto"/>
              <w:jc w:val="left"/>
            </w:pPr>
            <w:r/>
            <w:r>
              <w:rPr>
                <w:rFonts w:ascii="Times New Roman" w:hAnsi="Times New Roman" w:eastAsia="Times New Roman"/>
                <w:b w:val="0"/>
                <w:i w:val="0"/>
                <w:color w:val="000000"/>
                <w:sz w:val="24"/>
              </w:rPr>
              <w:t>Shoot length (cm)</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0.9 ns</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1.0 ns</w:t>
            </w:r>
          </w:p>
        </w:tc>
        <w:tc>
          <w:tcPr>
            <w:tcW w:type="dxa" w:w="2268"/>
            <w:vAlign w:val="center"/>
          </w:tcPr>
          <w:p>
            <w:pPr>
              <w:spacing w:after="0" w:before="0" w:line="240" w:lineRule="auto"/>
              <w:jc w:val="center"/>
            </w:pPr>
            <w:r/>
            <w:r>
              <w:rPr>
                <w:rFonts w:ascii="Times New Roman" w:hAnsi="Times New Roman" w:eastAsia="Times New Roman"/>
                <w:b w:val="0"/>
                <w:i w:val="0"/>
                <w:color w:val="000000"/>
                <w:sz w:val="24"/>
              </w:rPr>
              <w:t>0.4 ns</w:t>
            </w:r>
          </w:p>
        </w:tc>
        <w:tc>
          <w:tcPr>
            <w:tcW w:type="dxa" w:w="1984"/>
            <w:vAlign w:val="center"/>
          </w:tcPr>
          <w:p>
            <w:pPr>
              <w:spacing w:after="0" w:before="0" w:line="240" w:lineRule="auto"/>
              <w:jc w:val="center"/>
            </w:pPr>
            <w:r/>
            <w:r>
              <w:rPr>
                <w:rFonts w:ascii="Times New Roman" w:hAnsi="Times New Roman" w:eastAsia="Times New Roman"/>
                <w:b w:val="0"/>
                <w:i w:val="0"/>
                <w:color w:val="000000"/>
                <w:sz w:val="24"/>
              </w:rPr>
              <w:t>0.106</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23.21</w:t>
            </w:r>
          </w:p>
        </w:tc>
      </w:tr>
      <w:tr>
        <w:tc>
          <w:tcPr>
            <w:tcW w:type="dxa" w:w="4195"/>
            <w:vAlign w:val="center"/>
          </w:tcPr>
          <w:p>
            <w:pPr>
              <w:spacing w:after="0" w:before="0" w:line="240" w:lineRule="auto"/>
              <w:jc w:val="left"/>
            </w:pPr>
            <w:r/>
            <w:r>
              <w:rPr>
                <w:rFonts w:ascii="Times New Roman" w:hAnsi="Times New Roman" w:eastAsia="Times New Roman"/>
                <w:b w:val="0"/>
                <w:i w:val="0"/>
                <w:color w:val="000000"/>
                <w:sz w:val="24"/>
              </w:rPr>
              <w:t xml:space="preserve">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(mg 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5916.3∗∗∗</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4217.1∗∗∗</w:t>
            </w:r>
          </w:p>
        </w:tc>
        <w:tc>
          <w:tcPr>
            <w:tcW w:type="dxa" w:w="2268"/>
            <w:vAlign w:val="center"/>
          </w:tcPr>
          <w:p>
            <w:pPr>
              <w:spacing w:after="0" w:before="0" w:line="240" w:lineRule="auto"/>
              <w:jc w:val="center"/>
            </w:pPr>
            <w:r/>
            <w:r>
              <w:rPr>
                <w:rFonts w:ascii="Times New Roman" w:hAnsi="Times New Roman" w:eastAsia="Times New Roman"/>
                <w:b w:val="0"/>
                <w:i w:val="0"/>
                <w:color w:val="000000"/>
                <w:sz w:val="24"/>
              </w:rPr>
              <w:t>855.6∗∗∗</w:t>
            </w:r>
          </w:p>
        </w:tc>
        <w:tc>
          <w:tcPr>
            <w:tcW w:type="dxa" w:w="1984"/>
            <w:vAlign w:val="center"/>
          </w:tcPr>
          <w:p>
            <w:pPr>
              <w:spacing w:after="0" w:before="0" w:line="240" w:lineRule="auto"/>
              <w:jc w:val="center"/>
            </w:pPr>
            <w:r/>
            <w:r>
              <w:rPr>
                <w:rFonts w:ascii="Times New Roman" w:hAnsi="Times New Roman" w:eastAsia="Times New Roman"/>
                <w:b w:val="0"/>
                <w:i w:val="0"/>
                <w:color w:val="000000"/>
                <w:sz w:val="24"/>
              </w:rPr>
              <w:t>0.996</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0.80</w:t>
            </w:r>
          </w:p>
        </w:tc>
      </w:tr>
      <w:tr>
        <w:tc>
          <w:tcPr>
            <w:tcW w:type="dxa" w:w="4195"/>
            <w:vAlign w:val="center"/>
          </w:tcPr>
          <w:p>
            <w:pPr>
              <w:spacing w:after="0" w:before="0" w:line="240" w:lineRule="auto"/>
              <w:jc w:val="left"/>
            </w:pPr>
            <w:r/>
            <w:r>
              <w:rPr>
                <w:rFonts w:ascii="Times New Roman" w:hAnsi="Times New Roman" w:eastAsia="Times New Roman"/>
                <w:b w:val="0"/>
                <w:i w:val="0"/>
                <w:color w:val="000000"/>
                <w:sz w:val="24"/>
              </w:rPr>
              <w:t xml:space="preserve">Chlorophyll </w:t>
            </w:r>
            <w:r>
              <w:rPr>
                <w:rFonts w:ascii="Times New Roman" w:hAnsi="Times New Roman" w:eastAsia="Times New Roman"/>
                <w:b w:val="0"/>
                <w:i/>
                <w:color w:val="000000"/>
                <w:sz w:val="24"/>
              </w:rPr>
              <w:t>b</w:t>
            </w:r>
            <w:r>
              <w:rPr>
                <w:rFonts w:ascii="Times New Roman" w:hAnsi="Times New Roman" w:eastAsia="Times New Roman"/>
                <w:b w:val="0"/>
                <w:i w:val="0"/>
                <w:color w:val="000000"/>
                <w:sz w:val="24"/>
              </w:rPr>
              <w:t xml:space="preserve"> (mg 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3815.2∗∗∗</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1753.8∗∗∗</w:t>
            </w:r>
          </w:p>
        </w:tc>
        <w:tc>
          <w:tcPr>
            <w:tcW w:type="dxa" w:w="2268"/>
            <w:vAlign w:val="center"/>
          </w:tcPr>
          <w:p>
            <w:pPr>
              <w:spacing w:after="0" w:before="0" w:line="240" w:lineRule="auto"/>
              <w:jc w:val="center"/>
            </w:pPr>
            <w:r/>
            <w:r>
              <w:rPr>
                <w:rFonts w:ascii="Times New Roman" w:hAnsi="Times New Roman" w:eastAsia="Times New Roman"/>
                <w:b w:val="0"/>
                <w:i w:val="0"/>
                <w:color w:val="000000"/>
                <w:sz w:val="24"/>
              </w:rPr>
              <w:t>1294.0∗∗∗</w:t>
            </w:r>
          </w:p>
        </w:tc>
        <w:tc>
          <w:tcPr>
            <w:tcW w:type="dxa" w:w="1984"/>
            <w:vAlign w:val="center"/>
          </w:tcPr>
          <w:p>
            <w:pPr>
              <w:spacing w:after="0" w:before="0" w:line="240" w:lineRule="auto"/>
              <w:jc w:val="center"/>
            </w:pPr>
            <w:r/>
            <w:r>
              <w:rPr>
                <w:rFonts w:ascii="Times New Roman" w:hAnsi="Times New Roman" w:eastAsia="Times New Roman"/>
                <w:b w:val="0"/>
                <w:i w:val="0"/>
                <w:color w:val="000000"/>
                <w:sz w:val="24"/>
              </w:rPr>
              <w:t>0.998</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0.90</w:t>
            </w:r>
          </w:p>
        </w:tc>
      </w:tr>
      <w:tr>
        <w:tc>
          <w:tcPr>
            <w:tcW w:type="dxa" w:w="4195"/>
            <w:vAlign w:val="center"/>
          </w:tcPr>
          <w:p>
            <w:pPr>
              <w:spacing w:after="0" w:before="0" w:line="240" w:lineRule="auto"/>
              <w:jc w:val="left"/>
            </w:pPr>
            <w:r/>
            <w:r>
              <w:rPr>
                <w:rFonts w:ascii="Times New Roman" w:hAnsi="Times New Roman" w:eastAsia="Times New Roman"/>
                <w:b w:val="0"/>
                <w:i w:val="0"/>
                <w:color w:val="000000"/>
                <w:sz w:val="24"/>
              </w:rPr>
              <w:t>Soluble protein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3.21 × 10</w:t>
            </w:r>
            <w:r>
              <w:rPr>
                <w:rFonts w:ascii="Times New Roman" w:hAnsi="Times New Roman" w:eastAsia="Times New Roman"/>
                <w:b w:val="0"/>
                <w:i w:val="0"/>
                <w:color w:val="000000"/>
                <w:sz w:val="24"/>
                <w:vertAlign w:val="superscript"/>
              </w:rPr>
              <w:t>5</w:t>
            </w:r>
            <w:r>
              <w:rPr>
                <w:rFonts w:ascii="Times New Roman" w:hAnsi="Times New Roman" w:eastAsia="Times New Roman"/>
                <w:b w:val="0"/>
                <w:i w:val="0"/>
                <w:color w:val="000000"/>
                <w:sz w:val="24"/>
              </w:rPr>
              <w:t>∗∗∗</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7.72 × 10</w:t>
            </w:r>
            <w:r>
              <w:rPr>
                <w:rFonts w:ascii="Times New Roman" w:hAnsi="Times New Roman" w:eastAsia="Times New Roman"/>
                <w:b w:val="0"/>
                <w:i w:val="0"/>
                <w:color w:val="000000"/>
                <w:sz w:val="24"/>
                <w:vertAlign w:val="superscript"/>
              </w:rPr>
              <w:t>5</w:t>
            </w:r>
            <w:r>
              <w:rPr>
                <w:rFonts w:ascii="Times New Roman" w:hAnsi="Times New Roman" w:eastAsia="Times New Roman"/>
                <w:b w:val="0"/>
                <w:i w:val="0"/>
                <w:color w:val="000000"/>
                <w:sz w:val="24"/>
              </w:rPr>
              <w:t>∗∗∗</w:t>
            </w:r>
          </w:p>
        </w:tc>
        <w:tc>
          <w:tcPr>
            <w:tcW w:type="dxa" w:w="2268"/>
            <w:vAlign w:val="center"/>
          </w:tcPr>
          <w:p>
            <w:pPr>
              <w:spacing w:after="0" w:before="0" w:line="240" w:lineRule="auto"/>
              <w:jc w:val="center"/>
            </w:pPr>
            <w:r/>
            <w:r>
              <w:rPr>
                <w:rFonts w:ascii="Times New Roman" w:hAnsi="Times New Roman" w:eastAsia="Times New Roman"/>
                <w:b w:val="0"/>
                <w:i w:val="0"/>
                <w:color w:val="000000"/>
                <w:sz w:val="24"/>
              </w:rPr>
              <w:t>3.63 × 10</w:t>
            </w:r>
            <w:r>
              <w:rPr>
                <w:rFonts w:ascii="Times New Roman" w:hAnsi="Times New Roman" w:eastAsia="Times New Roman"/>
                <w:b w:val="0"/>
                <w:i w:val="0"/>
                <w:color w:val="000000"/>
                <w:sz w:val="24"/>
                <w:vertAlign w:val="superscript"/>
              </w:rPr>
              <w:t>4</w:t>
            </w:r>
            <w:r>
              <w:rPr>
                <w:rFonts w:ascii="Times New Roman" w:hAnsi="Times New Roman" w:eastAsia="Times New Roman"/>
                <w:b w:val="0"/>
                <w:i w:val="0"/>
                <w:color w:val="000000"/>
                <w:sz w:val="24"/>
              </w:rPr>
              <w:t>∗∗∗</w:t>
            </w:r>
          </w:p>
        </w:tc>
        <w:tc>
          <w:tcPr>
            <w:tcW w:type="dxa" w:w="1984"/>
            <w:vAlign w:val="center"/>
          </w:tcPr>
          <w:p>
            <w:pPr>
              <w:spacing w:after="0" w:before="0" w:line="240" w:lineRule="auto"/>
              <w:jc w:val="center"/>
            </w:pPr>
            <w:r/>
            <w:r>
              <w:rPr>
                <w:rFonts w:ascii="Times New Roman" w:hAnsi="Times New Roman" w:eastAsia="Times New Roman"/>
                <w:b w:val="0"/>
                <w:i w:val="0"/>
                <w:color w:val="000000"/>
                <w:sz w:val="24"/>
              </w:rPr>
              <w:t>1.000</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0.47</w:t>
            </w:r>
          </w:p>
        </w:tc>
      </w:tr>
      <w:tr>
        <w:tc>
          <w:tcPr>
            <w:tcW w:type="dxa" w:w="4195"/>
            <w:vAlign w:val="center"/>
          </w:tcPr>
          <w:p>
            <w:pPr>
              <w:spacing w:after="0" w:before="0" w:line="240" w:lineRule="auto"/>
              <w:jc w:val="left"/>
            </w:pPr>
            <w:r/>
            <w:r>
              <w:rPr>
                <w:rFonts w:ascii="Times New Roman" w:hAnsi="Times New Roman" w:eastAsia="Times New Roman"/>
                <w:b w:val="0"/>
                <w:i w:val="0"/>
                <w:color w:val="000000"/>
                <w:sz w:val="24"/>
              </w:rPr>
              <w:t>Total phenolics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1.07 × 10</w:t>
            </w:r>
            <w:r>
              <w:rPr>
                <w:rFonts w:ascii="Times New Roman" w:hAnsi="Times New Roman" w:eastAsia="Times New Roman"/>
                <w:b w:val="0"/>
                <w:i w:val="0"/>
                <w:color w:val="000000"/>
                <w:sz w:val="24"/>
                <w:vertAlign w:val="superscript"/>
              </w:rPr>
              <w:t>4</w:t>
            </w:r>
            <w:r>
              <w:rPr>
                <w:rFonts w:ascii="Times New Roman" w:hAnsi="Times New Roman" w:eastAsia="Times New Roman"/>
                <w:b w:val="0"/>
                <w:i w:val="0"/>
                <w:color w:val="000000"/>
                <w:sz w:val="24"/>
              </w:rPr>
              <w:t>∗∗∗</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1.10 × 10</w:t>
            </w:r>
            <w:r>
              <w:rPr>
                <w:rFonts w:ascii="Times New Roman" w:hAnsi="Times New Roman" w:eastAsia="Times New Roman"/>
                <w:b w:val="0"/>
                <w:i w:val="0"/>
                <w:color w:val="000000"/>
                <w:sz w:val="24"/>
                <w:vertAlign w:val="superscript"/>
              </w:rPr>
              <w:t>4</w:t>
            </w:r>
            <w:r>
              <w:rPr>
                <w:rFonts w:ascii="Times New Roman" w:hAnsi="Times New Roman" w:eastAsia="Times New Roman"/>
                <w:b w:val="0"/>
                <w:i w:val="0"/>
                <w:color w:val="000000"/>
                <w:sz w:val="24"/>
              </w:rPr>
              <w:t>∗∗∗</w:t>
            </w:r>
          </w:p>
        </w:tc>
        <w:tc>
          <w:tcPr>
            <w:tcW w:type="dxa" w:w="2268"/>
            <w:vAlign w:val="center"/>
          </w:tcPr>
          <w:p>
            <w:pPr>
              <w:spacing w:after="0" w:before="0" w:line="240" w:lineRule="auto"/>
              <w:jc w:val="center"/>
            </w:pPr>
            <w:r/>
            <w:r>
              <w:rPr>
                <w:rFonts w:ascii="Times New Roman" w:hAnsi="Times New Roman" w:eastAsia="Times New Roman"/>
                <w:b w:val="0"/>
                <w:i w:val="0"/>
                <w:color w:val="000000"/>
                <w:sz w:val="24"/>
              </w:rPr>
              <w:t>430.1∗∗∗</w:t>
            </w:r>
          </w:p>
        </w:tc>
        <w:tc>
          <w:tcPr>
            <w:tcW w:type="dxa" w:w="1984"/>
            <w:vAlign w:val="center"/>
          </w:tcPr>
          <w:p>
            <w:pPr>
              <w:spacing w:after="0" w:before="0" w:line="240" w:lineRule="auto"/>
              <w:jc w:val="center"/>
            </w:pPr>
            <w:r/>
            <w:r>
              <w:rPr>
                <w:rFonts w:ascii="Times New Roman" w:hAnsi="Times New Roman" w:eastAsia="Times New Roman"/>
                <w:b w:val="0"/>
                <w:i w:val="0"/>
                <w:color w:val="000000"/>
                <w:sz w:val="24"/>
              </w:rPr>
              <w:t>0.993</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0.47</w:t>
            </w:r>
          </w:p>
        </w:tc>
      </w:tr>
    </w:tbl>
    <w:p>
      <w:pPr>
        <w:spacing w:before="80" w:after="120" w:line="24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0.001; ns, not significant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0.05). η</w:t>
      </w:r>
      <w:r>
        <w:rPr>
          <w:rFonts w:ascii="Times New Roman" w:hAnsi="Times New Roman" w:eastAsia="Times New Roman"/>
          <w:b w:val="0"/>
          <w:i w:val="0"/>
          <w:color w:val="000000"/>
          <w:sz w:val="24"/>
          <w:vertAlign w:val="subscript"/>
        </w:rPr>
        <w:t>p</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partial eta-squared. HSD is the minimum significant difference between any two treatment means of the same experiment, in the units of the trait. Degrees of freedom: isolates F</w:t>
      </w:r>
      <w:r>
        <w:rPr>
          <w:rFonts w:ascii="Times New Roman" w:hAnsi="Times New Roman" w:eastAsia="Times New Roman"/>
          <w:b w:val="0"/>
          <w:i w:val="0"/>
          <w:color w:val="000000"/>
          <w:sz w:val="24"/>
          <w:vertAlign w:val="subscript"/>
        </w:rPr>
        <w:t>6,56</w:t>
      </w:r>
      <w:r>
        <w:rPr>
          <w:rFonts w:ascii="Times New Roman" w:hAnsi="Times New Roman" w:eastAsia="Times New Roman"/>
          <w:b w:val="0"/>
          <w:i w:val="0"/>
          <w:color w:val="000000"/>
          <w:sz w:val="24"/>
        </w:rPr>
        <w:t xml:space="preserve"> (inoculant), F</w:t>
      </w:r>
      <w:r>
        <w:rPr>
          <w:rFonts w:ascii="Times New Roman" w:hAnsi="Times New Roman" w:eastAsia="Times New Roman"/>
          <w:b w:val="0"/>
          <w:i w:val="0"/>
          <w:color w:val="000000"/>
          <w:sz w:val="24"/>
          <w:vertAlign w:val="subscript"/>
        </w:rPr>
        <w:t>3,56</w:t>
      </w:r>
      <w:r>
        <w:rPr>
          <w:rFonts w:ascii="Times New Roman" w:hAnsi="Times New Roman" w:eastAsia="Times New Roman"/>
          <w:b w:val="0"/>
          <w:i w:val="0"/>
          <w:color w:val="000000"/>
          <w:sz w:val="24"/>
        </w:rPr>
        <w:t xml:space="preserve"> (NaCl), F</w:t>
      </w:r>
      <w:r>
        <w:rPr>
          <w:rFonts w:ascii="Times New Roman" w:hAnsi="Times New Roman" w:eastAsia="Times New Roman"/>
          <w:b w:val="0"/>
          <w:i w:val="0"/>
          <w:color w:val="000000"/>
          <w:sz w:val="24"/>
          <w:vertAlign w:val="subscript"/>
        </w:rPr>
        <w:t>18,56</w:t>
      </w:r>
      <w:r>
        <w:rPr>
          <w:rFonts w:ascii="Times New Roman" w:hAnsi="Times New Roman" w:eastAsia="Times New Roman"/>
          <w:b w:val="0"/>
          <w:i w:val="0"/>
          <w:color w:val="000000"/>
          <w:sz w:val="24"/>
        </w:rPr>
        <w:t xml:space="preserve"> (interaction); consortia F</w:t>
      </w:r>
      <w:r>
        <w:rPr>
          <w:rFonts w:ascii="Times New Roman" w:hAnsi="Times New Roman" w:eastAsia="Times New Roman"/>
          <w:b w:val="0"/>
          <w:i w:val="0"/>
          <w:color w:val="000000"/>
          <w:sz w:val="24"/>
          <w:vertAlign w:val="subscript"/>
        </w:rPr>
        <w:t>5,48</w:t>
      </w:r>
      <w:r>
        <w:rPr>
          <w:rFonts w:ascii="Times New Roman" w:hAnsi="Times New Roman" w:eastAsia="Times New Roman"/>
          <w:b w:val="0"/>
          <w:i w:val="0"/>
          <w:color w:val="000000"/>
          <w:sz w:val="24"/>
        </w:rPr>
        <w:t>, F</w:t>
      </w:r>
      <w:r>
        <w:rPr>
          <w:rFonts w:ascii="Times New Roman" w:hAnsi="Times New Roman" w:eastAsia="Times New Roman"/>
          <w:b w:val="0"/>
          <w:i w:val="0"/>
          <w:color w:val="000000"/>
          <w:sz w:val="24"/>
          <w:vertAlign w:val="subscript"/>
        </w:rPr>
        <w:t>3,48</w:t>
      </w:r>
      <w:r>
        <w:rPr>
          <w:rFonts w:ascii="Times New Roman" w:hAnsi="Times New Roman" w:eastAsia="Times New Roman"/>
          <w:b w:val="0"/>
          <w:i w:val="0"/>
          <w:color w:val="000000"/>
          <w:sz w:val="24"/>
        </w:rPr>
        <w:t>, F</w:t>
      </w:r>
      <w:r>
        <w:rPr>
          <w:rFonts w:ascii="Times New Roman" w:hAnsi="Times New Roman" w:eastAsia="Times New Roman"/>
          <w:b w:val="0"/>
          <w:i w:val="0"/>
          <w:color w:val="000000"/>
          <w:sz w:val="24"/>
          <w:vertAlign w:val="subscript"/>
        </w:rPr>
        <w:t>15,48</w:t>
      </w:r>
      <w:r>
        <w:rPr>
          <w:rFonts w:ascii="Times New Roman" w:hAnsi="Times New Roman" w:eastAsia="Times New Roman"/>
          <w:b w:val="0"/>
          <w:i w:val="0"/>
          <w:color w:val="000000"/>
          <w:sz w:val="24"/>
        </w:rPr>
        <w:t>. Isolate phenolics, consortium sugars and consortium DPPH are omitted because replicate SDs were not recorded. Several traits carried identical replicate SDs (±0.15) across treatments, which inflates F; effect sizes and treatment rankings are the more reliable guide.</w:t>
      </w:r>
    </w:p>
    <w:p>
      <w:pPr>
        <w:sectPr>
          <w:pgSz w:w="16838" w:h="11906" w:orient="landscape"/>
          <w:pgMar w:top="1440" w:right="1440" w:bottom="1440" w:left="1440" w:header="720" w:footer="720" w:gutter="0"/>
          <w:cols w:space="720"/>
          <w:docGrid w:linePitch="360"/>
          <w:lnNumType w:countBy="1" w:restart="continuous" w:distance="283"/>
          <w:lnNumType w:countBy="1" w:restart="continuous" w:distance="283"/>
          <w:lnNumType w:countBy="1" w:restart="continuous" w:distance="283"/>
          <w:lnNumType w:countBy="1" w:restart="continuous" w:distance="283"/>
        </w:sectPr>
      </w:pPr>
    </w:p>
    <w:p>
      <w:pPr>
        <w:keepNext/>
        <w:spacing w:before="240" w:after="120" w:line="360" w:lineRule="auto"/>
        <w:jc w:val="left"/>
      </w:pPr>
      <w:r>
        <w:rPr>
          <w:rFonts w:ascii="Times New Roman" w:hAnsi="Times New Roman" w:eastAsia="Times New Roman"/>
          <w:b/>
          <w:i w:val="0"/>
          <w:color w:val="000000"/>
          <w:sz w:val="24"/>
        </w:rPr>
        <w:t>4. Discussion</w:t>
      </w:r>
    </w:p>
    <w:p>
      <w:pPr>
        <w:keepNext/>
        <w:spacing w:before="160" w:after="120" w:line="360" w:lineRule="auto"/>
        <w:jc w:val="left"/>
      </w:pPr>
      <w:r>
        <w:rPr>
          <w:rFonts w:ascii="Times New Roman" w:hAnsi="Times New Roman" w:eastAsia="Times New Roman"/>
          <w:b/>
          <w:i w:val="0"/>
          <w:color w:val="000000"/>
          <w:sz w:val="24"/>
        </w:rPr>
        <w:t>4.1 Salinity damage in IR-64 seedlings</w:t>
      </w:r>
    </w:p>
    <w:p>
      <w:pPr>
        <w:spacing w:before="0" w:after="120" w:line="360" w:lineRule="auto"/>
        <w:ind w:firstLine="567"/>
        <w:jc w:val="both"/>
      </w:pPr>
      <w:r>
        <w:rPr>
          <w:rFonts w:ascii="Times New Roman" w:hAnsi="Times New Roman" w:eastAsia="Times New Roman"/>
          <w:b w:val="0"/>
          <w:i w:val="0"/>
          <w:color w:val="000000"/>
          <w:sz w:val="24"/>
        </w:rPr>
        <w:t xml:space="preserve">The uninoculated plants behaved as expected for a salt-susceptible </w:t>
      </w:r>
      <w:r>
        <w:rPr>
          <w:rFonts w:ascii="Times New Roman" w:hAnsi="Times New Roman" w:eastAsia="Times New Roman"/>
          <w:b w:val="0"/>
          <w:i/>
          <w:color w:val="000000"/>
          <w:sz w:val="24"/>
        </w:rPr>
        <w:t>indica</w:t>
      </w:r>
      <w:r>
        <w:rPr>
          <w:rFonts w:ascii="Times New Roman" w:hAnsi="Times New Roman" w:eastAsia="Times New Roman"/>
          <w:b w:val="0"/>
          <w:i w:val="0"/>
          <w:color w:val="000000"/>
          <w:sz w:val="24"/>
        </w:rPr>
        <w:t xml:space="preserve"> cultivar. Roots slowed first: at 150 mM, root length fell by about half and SVI by 57.7%, which fits the osmotic phase in which water uptake and cell expansion are restricted before ions reach toxic levels (Munns &amp; Tester, 2008). The pigment data point beyond osmotic slowdown.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lost more than two-thirds of its value at only 50 mM, while germination barely changed, and pigment loss that steep and that early usually signals oxidative injury in the chloroplast (Gill &amp; Tuteja, 2010). The parallel fall in carotenoids, which quench excess excitation energy, would have left the chloroplast more exposed still.</w:t>
      </w:r>
    </w:p>
    <w:p>
      <w:pPr>
        <w:spacing w:before="0" w:after="120" w:line="360" w:lineRule="auto"/>
        <w:ind w:firstLine="567"/>
        <w:jc w:val="both"/>
      </w:pPr>
      <w:r>
        <w:rPr>
          <w:rFonts w:ascii="Times New Roman" w:hAnsi="Times New Roman" w:eastAsia="Times New Roman"/>
          <w:b w:val="0"/>
          <w:i w:val="0"/>
          <w:color w:val="000000"/>
          <w:sz w:val="24"/>
        </w:rPr>
        <w:t>Soluble sugars behaved less conventionally. Tolerant plants usually accumulate sugars as osmolytes (Parida &amp; Das, 2005; Mahajan &amp; Tuteja, 2005), yet in IR-64 sugars fell by 67.5%, together with protein and phenolics. This pattern is interpreted as a susceptible cultivar unable to keep carbon assimilation going well enough to fund an osmotic response, consistent with reviews that place photosynthetic capacity upstream of most salt-tolerance traits in rice (Sackey et al., 2025) and with the broader view of salt signalling as a reprogramming of metabolism (Zhu, 2016). The present data cannot establish the causal order, because gas exchange was not measured.</w:t>
      </w:r>
    </w:p>
    <w:p>
      <w:pPr>
        <w:keepNext/>
        <w:spacing w:before="160" w:after="120" w:line="360" w:lineRule="auto"/>
        <w:jc w:val="left"/>
      </w:pPr>
      <w:r>
        <w:rPr>
          <w:rFonts w:ascii="Times New Roman" w:hAnsi="Times New Roman" w:eastAsia="Times New Roman"/>
          <w:b/>
          <w:i w:val="0"/>
          <w:color w:val="000000"/>
          <w:sz w:val="24"/>
        </w:rPr>
        <w:t>4.2 Germination was not where inoculation made its difference</w:t>
      </w:r>
    </w:p>
    <w:p>
      <w:pPr>
        <w:spacing w:before="0" w:after="120" w:line="360" w:lineRule="auto"/>
        <w:ind w:firstLine="567"/>
        <w:jc w:val="both"/>
      </w:pPr>
      <w:r>
        <w:rPr>
          <w:rFonts w:ascii="Times New Roman" w:hAnsi="Times New Roman" w:eastAsia="Times New Roman"/>
          <w:b w:val="0"/>
          <w:i w:val="0"/>
          <w:color w:val="000000"/>
          <w:sz w:val="24"/>
        </w:rPr>
        <w:t xml:space="preserve">The clearest negative result is that no inoculant changed germination detectably. Many bacterization studies report higher germination (Sagar et al., 2020; Ali et al., 2022), and the direction of effect for the best inoculants agrees, with IS-06 and C4-5 10–17 percentage points above the control at 150 mM (Fig. 2), although IS-02, IS-03 and C2-3 fell below it. But with 30 seeds per treatment, Fisher's exact test needs a difference of about 27 points to reach significance, so the design could not confirm effects of this size. Germination was also one of the least salt-sensitive traits (SIR 28%, against 52% for root length and 83% for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Stand losses in saline paddies are therefore more likely to come from weak seedlings than from seeds that never sprout, which is where the inoculants worked and where rice is most vulnerable (Singh et al., 2021). Because salt was applied from 15 DAS, its effect on emergence suggests that saline irrigation reached the seed zone early or that the counts partly reflect seedling survival; future trials should record the two separately.</w:t>
      </w:r>
    </w:p>
    <w:p>
      <w:pPr>
        <w:keepNext/>
        <w:spacing w:before="160" w:after="120" w:line="360" w:lineRule="auto"/>
        <w:jc w:val="left"/>
      </w:pPr>
      <w:r>
        <w:rPr>
          <w:rFonts w:ascii="Times New Roman" w:hAnsi="Times New Roman" w:eastAsia="Times New Roman"/>
          <w:b/>
          <w:i w:val="0"/>
          <w:color w:val="000000"/>
          <w:sz w:val="24"/>
        </w:rPr>
        <w:t>4.3 IS-06: a strong single strain for pigment and osmolyte protection</w:t>
      </w:r>
    </w:p>
    <w:p>
      <w:pPr>
        <w:spacing w:before="0" w:after="120" w:line="360" w:lineRule="auto"/>
        <w:ind w:firstLine="567"/>
        <w:jc w:val="both"/>
      </w:pPr>
      <w:r>
        <w:rPr>
          <w:rFonts w:ascii="Times New Roman" w:hAnsi="Times New Roman" w:eastAsia="Times New Roman"/>
          <w:b w:val="0"/>
          <w:i w:val="0"/>
          <w:color w:val="000000"/>
          <w:sz w:val="24"/>
        </w:rPr>
        <w:t xml:space="preserve">IS-06 was the most consistent performer, ranking first among the isolates for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protein, sugars and DPPH under salt and first on the CMI at all four salinity levels. Its 240% gain in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at 150 mM is at the high end of reports for rice, where halotolerant </w:t>
      </w:r>
      <w:r>
        <w:rPr>
          <w:rFonts w:ascii="Times New Roman" w:hAnsi="Times New Roman" w:eastAsia="Times New Roman"/>
          <w:b w:val="0"/>
          <w:i/>
          <w:color w:val="000000"/>
          <w:sz w:val="24"/>
        </w:rPr>
        <w:t>Bacillus</w:t>
      </w:r>
      <w:r>
        <w:rPr>
          <w:rFonts w:ascii="Times New Roman" w:hAnsi="Times New Roman" w:eastAsia="Times New Roman"/>
          <w:b w:val="0"/>
          <w:i w:val="0"/>
          <w:color w:val="000000"/>
          <w:sz w:val="24"/>
        </w:rPr>
        <w:t xml:space="preserve"> strains restored photosynthetic parameters alongside ion homeostasis and antioxidant defence (Siddika et al., 2024) and halotolerant endophytes adjusted hormones and ion-transporter expression (Asif et al., 2023).</w:t>
      </w:r>
    </w:p>
    <w:p>
      <w:pPr>
        <w:spacing w:before="0" w:after="120" w:line="360" w:lineRule="auto"/>
        <w:ind w:firstLine="567"/>
        <w:jc w:val="both"/>
      </w:pPr>
      <w:r>
        <w:rPr>
          <w:rFonts w:ascii="Times New Roman" w:hAnsi="Times New Roman" w:eastAsia="Times New Roman"/>
          <w:b w:val="0"/>
          <w:i w:val="0"/>
          <w:color w:val="000000"/>
          <w:sz w:val="24"/>
        </w:rPr>
        <w:t xml:space="preserve">The mechanism behind IS-06 is still open, and two routes seem most likely. ACC deaminase would lower stress ethylene, protecting root elongation and delaying ethylene-driven chlorophyll breakdown (Glick, 2014); ACC deaminase-positive </w:t>
      </w:r>
      <w:r>
        <w:rPr>
          <w:rFonts w:ascii="Times New Roman" w:hAnsi="Times New Roman" w:eastAsia="Times New Roman"/>
          <w:b w:val="0"/>
          <w:i/>
          <w:color w:val="000000"/>
          <w:sz w:val="24"/>
        </w:rPr>
        <w:t>Enterobacter</w:t>
      </w:r>
      <w:r>
        <w:rPr>
          <w:rFonts w:ascii="Times New Roman" w:hAnsi="Times New Roman" w:eastAsia="Times New Roman"/>
          <w:b w:val="0"/>
          <w:i w:val="0"/>
          <w:color w:val="000000"/>
          <w:sz w:val="24"/>
        </w:rPr>
        <w:t xml:space="preserve"> strains protected salt-stressed rice seedlings in exactly this way (Sarkar et al., 2018; Sagar et al., 2020). Alternatively, IS-06 may limit sodium entry into the shoot, as reported for other rice endophytes (M. A. Khan et al., 2021), possibly helped by exopolysaccharides that bind Na</w:t>
      </w:r>
      <w:r>
        <w:rPr>
          <w:rFonts w:ascii="Times New Roman" w:hAnsi="Times New Roman" w:eastAsia="Times New Roman"/>
          <w:b w:val="0"/>
          <w:i w:val="0"/>
          <w:color w:val="000000"/>
          <w:sz w:val="24"/>
          <w:vertAlign w:val="superscript"/>
        </w:rPr>
        <w:t>+</w:t>
      </w:r>
      <w:r>
        <w:rPr>
          <w:rFonts w:ascii="Times New Roman" w:hAnsi="Times New Roman" w:eastAsia="Times New Roman"/>
          <w:b w:val="0"/>
          <w:i w:val="0"/>
          <w:color w:val="000000"/>
          <w:sz w:val="24"/>
        </w:rPr>
        <w:t xml:space="preserve"> around the roots (Sun et al., 2020). Most growth-promoting strains combine several such traits (Glick, 2012; Etesami &amp; Maheshwari, 2018), and direct assays for ACC deaminase, indole-3-acetic acid, exopolysaccharide and shoot Na</w:t>
      </w:r>
      <w:r>
        <w:rPr>
          <w:rFonts w:ascii="Times New Roman" w:hAnsi="Times New Roman" w:eastAsia="Times New Roman"/>
          <w:b w:val="0"/>
          <w:i w:val="0"/>
          <w:color w:val="000000"/>
          <w:sz w:val="24"/>
          <w:vertAlign w:val="superscript"/>
        </w:rPr>
        <w:t>+</w:t>
      </w:r>
      <w:r>
        <w:rPr>
          <w:rFonts w:ascii="Times New Roman" w:hAnsi="Times New Roman" w:eastAsia="Times New Roman"/>
          <w:b w:val="0"/>
          <w:i w:val="0"/>
          <w:color w:val="000000"/>
          <w:sz w:val="24"/>
        </w:rPr>
        <w:t>/K</w:t>
      </w:r>
      <w:r>
        <w:rPr>
          <w:rFonts w:ascii="Times New Roman" w:hAnsi="Times New Roman" w:eastAsia="Times New Roman"/>
          <w:b w:val="0"/>
          <w:i w:val="0"/>
          <w:color w:val="000000"/>
          <w:sz w:val="24"/>
          <w:vertAlign w:val="superscript"/>
        </w:rPr>
        <w:t>+</w:t>
      </w:r>
      <w:r>
        <w:rPr>
          <w:rFonts w:ascii="Times New Roman" w:hAnsi="Times New Roman" w:eastAsia="Times New Roman"/>
          <w:b w:val="0"/>
          <w:i w:val="0"/>
          <w:color w:val="000000"/>
          <w:sz w:val="24"/>
        </w:rPr>
        <w:t xml:space="preserve"> would separate them. The sugar data add one point: IS-06 kept 89% of its unstressed sugar against 33% in the control, which probably reflects preserved chlorophyll feeding a steady carbon supply. Inoculation-driven accumulation of compatible solutes is well documented (Arora et al., 2020; Ramasamy &amp; Mahawar, 2023), but the present data cannot show whether the extra sugar served osmotic adjustment or simply reflects higher assimilation.</w:t>
      </w:r>
    </w:p>
    <w:p>
      <w:pPr>
        <w:keepNext/>
        <w:spacing w:before="160" w:after="120" w:line="360" w:lineRule="auto"/>
        <w:jc w:val="left"/>
      </w:pPr>
      <w:r>
        <w:rPr>
          <w:rFonts w:ascii="Times New Roman" w:hAnsi="Times New Roman" w:eastAsia="Times New Roman"/>
          <w:b/>
          <w:i w:val="0"/>
          <w:color w:val="000000"/>
          <w:sz w:val="24"/>
        </w:rPr>
        <w:t>4.4 Consortia: complementarity is real but depends on the pair</w:t>
      </w:r>
    </w:p>
    <w:p>
      <w:pPr>
        <w:spacing w:before="0" w:after="120" w:line="360" w:lineRule="auto"/>
        <w:ind w:firstLine="567"/>
        <w:jc w:val="both"/>
      </w:pPr>
      <w:r>
        <w:rPr>
          <w:rFonts w:ascii="Times New Roman" w:hAnsi="Times New Roman" w:eastAsia="Times New Roman"/>
          <w:b w:val="0"/>
          <w:i w:val="0"/>
          <w:color w:val="000000"/>
          <w:sz w:val="24"/>
        </w:rPr>
        <w:t>Meta-analysis predicts that consortia outperform single strains (Liu et al., 2023); the present results support a more guarded version. On the average CMI, only C4-5 beat both of its parents, C2-5 sat between its parents, and C1-3, C1-5 and C2-3 ranked below both. C4-5 combined the second- and third-ranked isolates and, at 150 mM, exceeded both parents for protein (181.51 vs. 133.45 and 138.26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and SVI, though not for sugars. Improving some traits beyond either parent, but not all, is what complementarity looks like in practice, and consortia have likewise improved growth and yield of wheat under salinity (M. Y. Khan et al., 2022).</w:t>
      </w:r>
    </w:p>
    <w:p>
      <w:pPr>
        <w:spacing w:before="0" w:after="120" w:line="360" w:lineRule="auto"/>
        <w:ind w:firstLine="567"/>
        <w:jc w:val="both"/>
      </w:pPr>
      <w:r>
        <w:rPr>
          <w:rFonts w:ascii="Times New Roman" w:hAnsi="Times New Roman" w:eastAsia="Times New Roman"/>
          <w:b w:val="0"/>
          <w:i w:val="0"/>
          <w:color w:val="000000"/>
          <w:sz w:val="24"/>
        </w:rPr>
        <w:t>All five pairs passed the plate test, so the failures are not simple antagonism. Partners sharing a niche inside the root may compete for colonization sites (Compant et al., 2019; Kandasamy &amp; Kathirvel, 2023), or the same trait may be duplicated without adding function. Each weak consortium contains at least one of the three isolates that protected chlorophyll least (IS-01, IS-02, IS-03), although C2-5 shows the pattern is not absolute. Mixing therefore adds risk as well as potential, which is why reviews of halotolerant bacteria stress trait-based partner selection (Numan et al., 2018; Zamanzadeh-Nasrabadi et al., 2023). Because isolates and consortia were run as separate batches with a shared control, consortium–parent comparisons are indirect and should be confirmed in a single experiment.</w:t>
      </w:r>
    </w:p>
    <w:p>
      <w:pPr>
        <w:keepNext/>
        <w:spacing w:before="160" w:after="120" w:line="360" w:lineRule="auto"/>
        <w:jc w:val="left"/>
      </w:pPr>
      <w:r>
        <w:rPr>
          <w:rFonts w:ascii="Times New Roman" w:hAnsi="Times New Roman" w:eastAsia="Times New Roman"/>
          <w:b/>
          <w:i w:val="0"/>
          <w:color w:val="000000"/>
          <w:sz w:val="24"/>
        </w:rPr>
        <w:t>4.5 Protein, phenolics and antioxidant activity</w:t>
      </w:r>
    </w:p>
    <w:p>
      <w:pPr>
        <w:spacing w:before="0" w:after="120" w:line="360" w:lineRule="auto"/>
        <w:ind w:firstLine="567"/>
        <w:jc w:val="both"/>
      </w:pPr>
      <w:r>
        <w:rPr>
          <w:rFonts w:ascii="Times New Roman" w:hAnsi="Times New Roman" w:eastAsia="Times New Roman"/>
          <w:b w:val="0"/>
          <w:i w:val="0"/>
          <w:color w:val="000000"/>
          <w:sz w:val="24"/>
        </w:rPr>
        <w:t>Protein retention was the one trait where consortia clearly outperformed single strains (81% for C4-5 and 75% for C2-5, against 70% for IS-06 and 40% for the control). Salinity lowers soluble protein through poorer nitrogen assimilation and faster proteolysis (Parida &amp; Das, 2005), and two partners could plausibly ease both. Phenolics, which scavenge radicals and stabilize membranes, were largely maintained by C4-5 and IS-06, in line with inoculation-induced antioxidant capacity in salt-stressed plants (Neshat et al., 2022); the collapse under IS-01 at 150 mM suggests that some endophytes suppress phenolic accumulation and should not be carried forward. DPPH was the least informative trait: it differed between batches, was not monotonic with salt and measures an extract's combined radical-quenching capacity rather than any one enzyme (Gülçin, 2020). Phenolic and antioxidant profiles of rice also shift under other abiotic stresses (Bhadwal et al., 2024), so DPPH is supporting evidence here and not a primary endpoint.</w:t>
      </w:r>
    </w:p>
    <w:p>
      <w:pPr>
        <w:keepNext/>
        <w:spacing w:before="160" w:after="120" w:line="360" w:lineRule="auto"/>
        <w:jc w:val="left"/>
      </w:pPr>
      <w:r>
        <w:rPr>
          <w:rFonts w:ascii="Times New Roman" w:hAnsi="Times New Roman" w:eastAsia="Times New Roman"/>
          <w:b/>
          <w:i w:val="0"/>
          <w:color w:val="000000"/>
          <w:sz w:val="24"/>
        </w:rPr>
        <w:t>4.6 What the indices and PCA add</w:t>
      </w:r>
    </w:p>
    <w:p>
      <w:pPr>
        <w:spacing w:before="0" w:after="120" w:line="360" w:lineRule="auto"/>
        <w:ind w:firstLine="567"/>
        <w:jc w:val="both"/>
      </w:pPr>
      <w:r>
        <w:rPr>
          <w:rFonts w:ascii="Times New Roman" w:hAnsi="Times New Roman" w:eastAsia="Times New Roman"/>
          <w:b w:val="0"/>
          <w:i w:val="0"/>
          <w:color w:val="000000"/>
          <w:sz w:val="24"/>
        </w:rPr>
        <w:t>Ranking trait by trait gives different winners: IS-06 for sugars, C4-5 for protein, IS-05 for root length. The CMI and PCA, which weight traits differently, agreed on IS-06 and C4-5 at the top and on C2-3 and C1-3 at the bottom, supporting composite, relative measures for comparing salt responses (Negrão et al., 2017). PC1 showed that most of the difference between good and poor treatments lay on a single axis of seedling health, while PC2 separated the consortia's protein-retention route from IS-06's growth-and-pigment route.</w:t>
      </w:r>
    </w:p>
    <w:p>
      <w:pPr>
        <w:keepNext/>
        <w:spacing w:before="160" w:after="120" w:line="360" w:lineRule="auto"/>
        <w:jc w:val="left"/>
      </w:pPr>
      <w:r>
        <w:rPr>
          <w:rFonts w:ascii="Times New Roman" w:hAnsi="Times New Roman" w:eastAsia="Times New Roman"/>
          <w:b/>
          <w:i w:val="0"/>
          <w:color w:val="000000"/>
          <w:sz w:val="24"/>
        </w:rPr>
        <w:t>4.7 Limitations and next steps</w:t>
      </w:r>
    </w:p>
    <w:p>
      <w:pPr>
        <w:spacing w:before="0" w:after="120" w:line="360" w:lineRule="auto"/>
        <w:ind w:firstLine="567"/>
        <w:jc w:val="both"/>
      </w:pPr>
      <w:r>
        <w:rPr>
          <w:rFonts w:ascii="Times New Roman" w:hAnsi="Times New Roman" w:eastAsia="Times New Roman"/>
          <w:b w:val="0"/>
          <w:i w:val="0"/>
          <w:color w:val="000000"/>
          <w:sz w:val="24"/>
        </w:rPr>
        <w:t>The isolates still need confirmed taxonomic identity and quantified growth-promoting traits before these isolates can be compared with published inoculants or registered (Afzal et al., 2019; Ganie et al., 2021). Biochemical values are expressed per volume of extract; the fixed tissue-to-solvent ratio makes treatments comparable, but not directly with per-gram data from other studies. Several assays recorded identical replicate SDs (±0.15), probably analytical rather than biological replication, which inflates F; effect sizes and rankings are the more reliable guide. Colonization was not verified by re-isolation or marker tracking (Walitang et al., 2017; Gupta et al., 2023), and ion contents, oxidative-damage markers and antioxidant enzymes were outside the scope of this trial. Finally, the trial ended at 45 DAS in pots, and seedling-stage tolerance in rice correlates only weakly with tolerance at flowering (Singh et al., 2021). Salt-tolerant rhizobacteria have improved rice yield in saline soil (Shultana et al., 2020), so yield-stage field testing of IS-06 and C4-5, ideally with a tolerant cultivar since host genotype shapes the endophytic community (Walitang et al., 2018; Wang et al., 2025), is the logical next step.</w:t>
      </w:r>
    </w:p>
    <w:p>
      <w:pPr>
        <w:keepNext/>
        <w:spacing w:before="240" w:after="120" w:line="360" w:lineRule="auto"/>
        <w:jc w:val="left"/>
      </w:pPr>
      <w:r>
        <w:rPr>
          <w:rFonts w:ascii="Times New Roman" w:hAnsi="Times New Roman" w:eastAsia="Times New Roman"/>
          <w:b/>
          <w:i w:val="0"/>
          <w:color w:val="000000"/>
          <w:sz w:val="24"/>
        </w:rPr>
        <w:t>5. Conclusions</w:t>
      </w:r>
    </w:p>
    <w:p>
      <w:pPr>
        <w:spacing w:before="0" w:after="120" w:line="360" w:lineRule="auto"/>
        <w:ind w:firstLine="567"/>
        <w:jc w:val="both"/>
      </w:pPr>
      <w:r>
        <w:rPr>
          <w:rFonts w:ascii="Times New Roman" w:hAnsi="Times New Roman" w:eastAsia="Times New Roman"/>
          <w:b w:val="0"/>
          <w:i w:val="0"/>
          <w:color w:val="000000"/>
          <w:sz w:val="24"/>
        </w:rPr>
        <w:t xml:space="preserve">Salinity at 150 mM NaCl reduced seedling vigour of IR-64 rice by 58%,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by 83% and soluble sugars by 68%. Bacterization with rice endophytes did not change germination significantly, but it strongly protected seedling growth, photosynthetic pigments, soluble protein, sugars and phenolics under salt. IS-06 was the most consistent single strain, raising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by 240%, sugars by 169% and SVI by 142% at 150 mM. C4-5 retained 81% of its unstressed protein and exceeded both parent strains for protein,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and vigour, whereas three of the five consortia ranked below both parents. A composite index and PCA agreed on IS-06 and C4-5 as the leading candidates for strain identification, colonization tests and yield-stage evaluation in saline fields.</w:t>
      </w:r>
    </w:p>
    <w:p>
      <w:r>
        <w:br w:type="page"/>
      </w:r>
    </w:p>
    <w:p>
      <w:pPr>
        <w:keepNext/>
        <w:spacing w:before="240" w:after="120" w:line="360" w:lineRule="auto"/>
        <w:jc w:val="left"/>
      </w:pPr>
      <w:r>
        <w:rPr>
          <w:rFonts w:ascii="Times New Roman" w:hAnsi="Times New Roman" w:eastAsia="Times New Roman"/>
          <w:b/>
          <w:i w:val="0"/>
          <w:color w:val="000000"/>
          <w:sz w:val="24"/>
        </w:rPr>
        <w:t>Declarations</w:t>
      </w:r>
    </w:p>
    <w:p>
      <w:pPr>
        <w:spacing w:before="0" w:after="120" w:line="360" w:lineRule="auto"/>
        <w:ind w:firstLine="0"/>
        <w:jc w:val="both"/>
      </w:pPr>
      <w:r>
        <w:rPr>
          <w:rFonts w:ascii="Times New Roman" w:hAnsi="Times New Roman" w:eastAsia="Times New Roman"/>
          <w:b/>
          <w:i w:val="0"/>
          <w:color w:val="000000"/>
          <w:sz w:val="24"/>
        </w:rPr>
        <w:t>Author contributions (CRediT).</w:t>
      </w:r>
      <w:r>
        <w:rPr>
          <w:rFonts w:ascii="Times New Roman" w:hAnsi="Times New Roman" w:eastAsia="Times New Roman"/>
          <w:b w:val="0"/>
          <w:i w:val="0"/>
          <w:color w:val="000000"/>
          <w:sz w:val="24"/>
        </w:rPr>
        <w:t xml:space="preserve"> [Author Name]: Conceptualization, Investigation, Formal analysis, Data curation, Writing – original draft. [Co-author / Research Guide Name]: Supervision, Methodology, Resources, Writing – review and editing.</w:t>
      </w:r>
    </w:p>
    <w:p>
      <w:pPr>
        <w:spacing w:before="0" w:after="120" w:line="360" w:lineRule="auto"/>
        <w:ind w:firstLine="0"/>
        <w:jc w:val="both"/>
      </w:pPr>
      <w:r>
        <w:rPr>
          <w:rFonts w:ascii="Times New Roman" w:hAnsi="Times New Roman" w:eastAsia="Times New Roman"/>
          <w:b/>
          <w:i w:val="0"/>
          <w:color w:val="000000"/>
          <w:sz w:val="24"/>
        </w:rPr>
        <w:t>Funding.</w:t>
      </w:r>
      <w:r>
        <w:rPr>
          <w:rFonts w:ascii="Times New Roman" w:hAnsi="Times New Roman" w:eastAsia="Times New Roman"/>
          <w:b w:val="0"/>
          <w:i w:val="0"/>
          <w:color w:val="000000"/>
          <w:sz w:val="24"/>
        </w:rPr>
        <w:t xml:space="preserve"> [Funding agency and grant number, or "This research received no specific grant."]</w:t>
      </w:r>
    </w:p>
    <w:p>
      <w:pPr>
        <w:spacing w:before="0" w:after="120" w:line="360" w:lineRule="auto"/>
        <w:ind w:firstLine="0"/>
        <w:jc w:val="both"/>
      </w:pPr>
      <w:r>
        <w:rPr>
          <w:rFonts w:ascii="Times New Roman" w:hAnsi="Times New Roman" w:eastAsia="Times New Roman"/>
          <w:b/>
          <w:i w:val="0"/>
          <w:color w:val="000000"/>
          <w:sz w:val="24"/>
        </w:rPr>
        <w:t>Declaration of competing interest.</w:t>
      </w:r>
      <w:r>
        <w:rPr>
          <w:rFonts w:ascii="Times New Roman" w:hAnsi="Times New Roman" w:eastAsia="Times New Roman"/>
          <w:b w:val="0"/>
          <w:i w:val="0"/>
          <w:color w:val="000000"/>
          <w:sz w:val="24"/>
        </w:rPr>
        <w:t xml:space="preserve"> The authors declare no competing interests.</w:t>
      </w:r>
    </w:p>
    <w:p>
      <w:pPr>
        <w:spacing w:before="0" w:after="120" w:line="360" w:lineRule="auto"/>
        <w:ind w:firstLine="0"/>
        <w:jc w:val="both"/>
      </w:pPr>
      <w:r>
        <w:rPr>
          <w:rFonts w:ascii="Times New Roman" w:hAnsi="Times New Roman" w:eastAsia="Times New Roman"/>
          <w:b/>
          <w:i w:val="0"/>
          <w:color w:val="000000"/>
          <w:sz w:val="24"/>
        </w:rPr>
        <w:t>Data availability.</w:t>
      </w:r>
      <w:r>
        <w:rPr>
          <w:rFonts w:ascii="Times New Roman" w:hAnsi="Times New Roman" w:eastAsia="Times New Roman"/>
          <w:b w:val="0"/>
          <w:i w:val="0"/>
          <w:color w:val="000000"/>
          <w:sz w:val="24"/>
        </w:rPr>
        <w:t xml:space="preserve"> Treatment-level data and analysis scripts are available from the corresponding author on reasonable request.</w:t>
      </w:r>
    </w:p>
    <w:p>
      <w:pPr>
        <w:spacing w:before="0" w:after="120" w:line="360" w:lineRule="auto"/>
        <w:ind w:firstLine="0"/>
        <w:jc w:val="both"/>
      </w:pPr>
      <w:r>
        <w:rPr>
          <w:rFonts w:ascii="Times New Roman" w:hAnsi="Times New Roman" w:eastAsia="Times New Roman"/>
          <w:b/>
          <w:i w:val="0"/>
          <w:color w:val="000000"/>
          <w:sz w:val="24"/>
        </w:rPr>
        <w:t>Declaration of generative AI use.</w:t>
      </w:r>
      <w:r>
        <w:rPr>
          <w:rFonts w:ascii="Times New Roman" w:hAnsi="Times New Roman" w:eastAsia="Times New Roman"/>
          <w:b w:val="0"/>
          <w:i w:val="0"/>
          <w:color w:val="000000"/>
          <w:sz w:val="24"/>
        </w:rPr>
        <w:t xml:space="preserve"> An AI writing assistant was used to help structure the text, run statistical calculations from the recorded data and draw figures. The authors generated all data, reviewed all content and take full responsibility for the article.</w:t>
      </w:r>
    </w:p>
    <w:p>
      <w:r>
        <w:br w:type="page"/>
      </w:r>
    </w:p>
    <w:p>
      <w:pPr>
        <w:keepNext/>
        <w:spacing w:before="240" w:after="120" w:line="360" w:lineRule="auto"/>
        <w:jc w:val="left"/>
      </w:pPr>
      <w:r>
        <w:rPr>
          <w:rFonts w:ascii="Times New Roman" w:hAnsi="Times New Roman" w:eastAsia="Times New Roman"/>
          <w:b/>
          <w:i w:val="0"/>
          <w:color w:val="000000"/>
          <w:sz w:val="24"/>
        </w:rPr>
        <w:t>References</w:t>
      </w:r>
    </w:p>
    <w:p>
      <w:pPr>
        <w:spacing w:before="0" w:after="120" w:line="360" w:lineRule="auto"/>
        <w:ind w:left="720" w:hanging="720"/>
        <w:jc w:val="both"/>
      </w:pPr>
      <w:r>
        <w:rPr>
          <w:rFonts w:ascii="Times New Roman" w:hAnsi="Times New Roman" w:eastAsia="Times New Roman"/>
          <w:b w:val="0"/>
          <w:i w:val="0"/>
          <w:color w:val="000000"/>
          <w:sz w:val="24"/>
        </w:rPr>
        <w:t xml:space="preserve">Abdul-Baki, A. A., &amp; Anderson, J. D. (1973). Vigor determination in soybean seed by multiple criteria. </w:t>
      </w:r>
      <w:r>
        <w:rPr>
          <w:rFonts w:ascii="Times New Roman" w:hAnsi="Times New Roman" w:eastAsia="Times New Roman"/>
          <w:b w:val="0"/>
          <w:i/>
          <w:color w:val="000000"/>
          <w:sz w:val="24"/>
        </w:rPr>
        <w:t>Crop Science</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13</w:t>
      </w:r>
      <w:r>
        <w:rPr>
          <w:rFonts w:ascii="Times New Roman" w:hAnsi="Times New Roman" w:eastAsia="Times New Roman"/>
          <w:b w:val="0"/>
          <w:i w:val="0"/>
          <w:color w:val="000000"/>
          <w:sz w:val="24"/>
        </w:rPr>
        <w:t xml:space="preserve">(6), 630–633. </w:t>
      </w:r>
      <w:hyperlink r:id="rId16">
        <w:r>
          <w:rPr>
            <w:rFonts w:ascii="Times New Roman" w:hAnsi="Times New Roman"/>
            <w:color w:val="000000"/>
            <w:sz w:val="24"/>
          </w:rPr>
          <w:t xml:space="preserve">https:/​/​doi.​org/​10.​2135/​cropsci1973.​0011183X001300060013x</w:t>
        </w:r>
      </w:hyperlink>
    </w:p>
    <w:p>
      <w:pPr>
        <w:spacing w:before="0" w:after="120" w:line="360" w:lineRule="auto"/>
        <w:ind w:left="720" w:hanging="720"/>
        <w:jc w:val="both"/>
      </w:pPr>
      <w:r>
        <w:rPr>
          <w:rFonts w:ascii="Times New Roman" w:hAnsi="Times New Roman" w:eastAsia="Times New Roman"/>
          <w:b w:val="0"/>
          <w:i w:val="0"/>
          <w:color w:val="000000"/>
          <w:sz w:val="24"/>
        </w:rPr>
        <w:t xml:space="preserve">Afzal, I., Shinwari, Z. K., Sikandar, S., &amp; Shahzad, S. (2019). Plant beneficial endophytic bacteria: Mechanisms, diversity, host range and genetic determinants. </w:t>
      </w:r>
      <w:r>
        <w:rPr>
          <w:rFonts w:ascii="Times New Roman" w:hAnsi="Times New Roman" w:eastAsia="Times New Roman"/>
          <w:b w:val="0"/>
          <w:i/>
          <w:color w:val="000000"/>
          <w:sz w:val="24"/>
        </w:rPr>
        <w:t>Microbiological Research</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221</w:t>
      </w:r>
      <w:r>
        <w:rPr>
          <w:rFonts w:ascii="Times New Roman" w:hAnsi="Times New Roman" w:eastAsia="Times New Roman"/>
          <w:b w:val="0"/>
          <w:i w:val="0"/>
          <w:color w:val="000000"/>
          <w:sz w:val="24"/>
        </w:rPr>
        <w:t xml:space="preserve">, 36–49. </w:t>
      </w:r>
      <w:hyperlink r:id="rId17">
        <w:r>
          <w:rPr>
            <w:rFonts w:ascii="Times New Roman" w:hAnsi="Times New Roman"/>
            <w:color w:val="000000"/>
            <w:sz w:val="24"/>
          </w:rPr>
          <w:t xml:space="preserve">https:/​/​doi.​org/​10.​1016/​j.​micres.​2019.​02.​001</w:t>
        </w:r>
      </w:hyperlink>
    </w:p>
    <w:p>
      <w:pPr>
        <w:spacing w:before="0" w:after="120" w:line="360" w:lineRule="auto"/>
        <w:ind w:left="720" w:hanging="720"/>
        <w:jc w:val="both"/>
      </w:pPr>
      <w:r>
        <w:rPr>
          <w:rFonts w:ascii="Times New Roman" w:hAnsi="Times New Roman" w:eastAsia="Times New Roman"/>
          <w:b w:val="0"/>
          <w:i w:val="0"/>
          <w:color w:val="000000"/>
          <w:sz w:val="24"/>
        </w:rPr>
        <w:t xml:space="preserve">Ali, Q., Ayaz, M., Mu, G., Hussain, A., Yuanyuan, Q., Yu, C., Xu, Y., Manghwar, H., Gu, Q., Wu, H., &amp; Gao, X. (2022). Revealing plant growth-promoting mechanisms of </w:t>
      </w:r>
      <w:r>
        <w:rPr>
          <w:rFonts w:ascii="Times New Roman" w:hAnsi="Times New Roman" w:eastAsia="Times New Roman"/>
          <w:b w:val="0"/>
          <w:i/>
          <w:color w:val="000000"/>
          <w:sz w:val="24"/>
        </w:rPr>
        <w:t>Bacillus</w:t>
      </w:r>
      <w:r>
        <w:rPr>
          <w:rFonts w:ascii="Times New Roman" w:hAnsi="Times New Roman" w:eastAsia="Times New Roman"/>
          <w:b w:val="0"/>
          <w:i w:val="0"/>
          <w:color w:val="000000"/>
          <w:sz w:val="24"/>
        </w:rPr>
        <w:t xml:space="preserve"> strains in elevating rice growth and its interaction with salt stress. </w:t>
      </w:r>
      <w:r>
        <w:rPr>
          <w:rFonts w:ascii="Times New Roman" w:hAnsi="Times New Roman" w:eastAsia="Times New Roman"/>
          <w:b w:val="0"/>
          <w:i/>
          <w:color w:val="000000"/>
          <w:sz w:val="24"/>
        </w:rPr>
        <w:t>Frontiers in Plant Science</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13</w:t>
      </w:r>
      <w:r>
        <w:rPr>
          <w:rFonts w:ascii="Times New Roman" w:hAnsi="Times New Roman" w:eastAsia="Times New Roman"/>
          <w:b w:val="0"/>
          <w:i w:val="0"/>
          <w:color w:val="000000"/>
          <w:sz w:val="24"/>
        </w:rPr>
        <w:t xml:space="preserve">, Article 994902. </w:t>
      </w:r>
      <w:hyperlink r:id="rId18">
        <w:r>
          <w:rPr>
            <w:rFonts w:ascii="Times New Roman" w:hAnsi="Times New Roman"/>
            <w:color w:val="000000"/>
            <w:sz w:val="24"/>
          </w:rPr>
          <w:t xml:space="preserve">https:/​/​doi.​org/​10.​3389/​fpls.​2022.​994902</w:t>
        </w:r>
      </w:hyperlink>
    </w:p>
    <w:p>
      <w:pPr>
        <w:spacing w:before="0" w:after="120" w:line="360" w:lineRule="auto"/>
        <w:ind w:left="720" w:hanging="720"/>
        <w:jc w:val="both"/>
      </w:pPr>
      <w:r>
        <w:rPr>
          <w:rFonts w:ascii="Times New Roman" w:hAnsi="Times New Roman" w:eastAsia="Times New Roman"/>
          <w:b w:val="0"/>
          <w:i w:val="0"/>
          <w:color w:val="000000"/>
          <w:sz w:val="24"/>
        </w:rPr>
        <w:t xml:space="preserve">Arnon, D. I. (1949). Copper enzymes in isolated chloroplasts. Polyphenoloxidase in </w:t>
      </w:r>
      <w:r>
        <w:rPr>
          <w:rFonts w:ascii="Times New Roman" w:hAnsi="Times New Roman" w:eastAsia="Times New Roman"/>
          <w:b w:val="0"/>
          <w:i/>
          <w:color w:val="000000"/>
          <w:sz w:val="24"/>
        </w:rPr>
        <w:t>Beta vulgaris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Plant Physiology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24</w:t>
      </w:r>
      <w:r>
        <w:rPr>
          <w:rFonts w:ascii="Times New Roman" w:hAnsi="Times New Roman" w:eastAsia="Times New Roman"/>
          <w:b w:val="0"/>
          <w:i w:val="0"/>
          <w:color w:val="000000"/>
          <w:sz w:val="24"/>
        </w:rPr>
        <w:t xml:space="preserve">(1), 1–15. </w:t>
      </w:r>
      <w:hyperlink r:id="rId19">
        <w:r>
          <w:rPr>
            <w:rFonts w:ascii="Times New Roman" w:hAnsi="Times New Roman"/>
            <w:color w:val="000000"/>
            <w:sz w:val="24"/>
          </w:rPr>
          <w:t xml:space="preserve">https:/​/​doi.​org/​10.​1104/​pp.​24.​1.​1</w:t>
        </w:r>
      </w:hyperlink>
    </w:p>
    <w:p>
      <w:pPr>
        <w:spacing w:before="0" w:after="120" w:line="360" w:lineRule="auto"/>
        <w:ind w:left="720" w:hanging="720"/>
        <w:jc w:val="both"/>
      </w:pPr>
      <w:r>
        <w:rPr>
          <w:rFonts w:ascii="Times New Roman" w:hAnsi="Times New Roman" w:eastAsia="Times New Roman"/>
          <w:b w:val="0"/>
          <w:i w:val="0"/>
          <w:color w:val="000000"/>
          <w:sz w:val="24"/>
        </w:rPr>
        <w:t xml:space="preserve">Arora, N. K., Fatima, T., Mishra, J., Mishra, I., Verma, S., Verma, R., Verma, M., Bhattacharya, A., Verma, P., Mishra, P., &amp; Bharti, C. (2020). Halo-tolerant plant growth promoting rhizobacteria for improving productivity and remediation of saline soils. </w:t>
      </w:r>
      <w:r>
        <w:rPr>
          <w:rFonts w:ascii="Times New Roman" w:hAnsi="Times New Roman" w:eastAsia="Times New Roman"/>
          <w:b w:val="0"/>
          <w:i/>
          <w:color w:val="000000"/>
          <w:sz w:val="24"/>
        </w:rPr>
        <w:t>Journal of Advanced Research</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26</w:t>
      </w:r>
      <w:r>
        <w:rPr>
          <w:rFonts w:ascii="Times New Roman" w:hAnsi="Times New Roman" w:eastAsia="Times New Roman"/>
          <w:b w:val="0"/>
          <w:i w:val="0"/>
          <w:color w:val="000000"/>
          <w:sz w:val="24"/>
        </w:rPr>
        <w:t xml:space="preserve">, 69–82. </w:t>
      </w:r>
      <w:hyperlink r:id="rId20">
        <w:r>
          <w:rPr>
            <w:rFonts w:ascii="Times New Roman" w:hAnsi="Times New Roman"/>
            <w:color w:val="000000"/>
            <w:sz w:val="24"/>
          </w:rPr>
          <w:t xml:space="preserve">https:/​/​doi.​org/​10.​1016/​j.​jare.​2020.​07.​003</w:t>
        </w:r>
      </w:hyperlink>
    </w:p>
    <w:p>
      <w:pPr>
        <w:spacing w:before="0" w:after="120" w:line="360" w:lineRule="auto"/>
        <w:ind w:left="720" w:hanging="720"/>
        <w:jc w:val="both"/>
      </w:pPr>
      <w:r>
        <w:rPr>
          <w:rFonts w:ascii="Times New Roman" w:hAnsi="Times New Roman" w:eastAsia="Times New Roman"/>
          <w:b w:val="0"/>
          <w:i w:val="0"/>
          <w:color w:val="000000"/>
          <w:sz w:val="24"/>
        </w:rPr>
        <w:t>Asif, S., Jan, R., Kim, N., Asaf, S., Lubna, Khan, M. A., Kim, E. G., Jang, Y. H., Bhatta, D., Lee, I. J., &amp; Kim, K. M. (2023). Halotolerant endophytic bacteria alleviate salinity stress in rice (</w:t>
      </w:r>
      <w:r>
        <w:rPr>
          <w:rFonts w:ascii="Times New Roman" w:hAnsi="Times New Roman" w:eastAsia="Times New Roman"/>
          <w:b w:val="0"/>
          <w:i/>
          <w:color w:val="000000"/>
          <w:sz w:val="24"/>
        </w:rPr>
        <w:t>Oryza sativa</w:t>
      </w:r>
      <w:r>
        <w:rPr>
          <w:rFonts w:ascii="Times New Roman" w:hAnsi="Times New Roman" w:eastAsia="Times New Roman"/>
          <w:b w:val="0"/>
          <w:i w:val="0"/>
          <w:color w:val="000000"/>
          <w:sz w:val="24"/>
        </w:rPr>
        <w:t xml:space="preserve"> L.) by modulating ion content, endogenous hormones, the antioxidant system and gene expression. </w:t>
      </w:r>
      <w:r>
        <w:rPr>
          <w:rFonts w:ascii="Times New Roman" w:hAnsi="Times New Roman" w:eastAsia="Times New Roman"/>
          <w:b w:val="0"/>
          <w:i/>
          <w:color w:val="000000"/>
          <w:sz w:val="24"/>
        </w:rPr>
        <w:t>BMC Plant Biology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23</w:t>
      </w:r>
      <w:r>
        <w:rPr>
          <w:rFonts w:ascii="Times New Roman" w:hAnsi="Times New Roman" w:eastAsia="Times New Roman"/>
          <w:b w:val="0"/>
          <w:i w:val="0"/>
          <w:color w:val="000000"/>
          <w:sz w:val="24"/>
        </w:rPr>
        <w:t xml:space="preserve">(1), Article 494. </w:t>
      </w:r>
      <w:hyperlink r:id="rId21">
        <w:r>
          <w:rPr>
            <w:rFonts w:ascii="Times New Roman" w:hAnsi="Times New Roman"/>
            <w:color w:val="000000"/>
            <w:sz w:val="24"/>
          </w:rPr>
          <w:t xml:space="preserve">https:/​/​doi.​org/​10.​1186/​s12870-​023-​04517-​z</w:t>
        </w:r>
      </w:hyperlink>
    </w:p>
    <w:p>
      <w:pPr>
        <w:spacing w:before="0" w:after="120" w:line="360" w:lineRule="auto"/>
        <w:ind w:left="720" w:hanging="720"/>
        <w:jc w:val="both"/>
      </w:pPr>
      <w:r>
        <w:rPr>
          <w:rFonts w:ascii="Times New Roman" w:hAnsi="Times New Roman" w:eastAsia="Times New Roman"/>
          <w:b w:val="0"/>
          <w:i w:val="0"/>
          <w:color w:val="000000"/>
          <w:sz w:val="24"/>
        </w:rPr>
        <w:t xml:space="preserve">Basak, N., Rai, A. K., Sundha, P., Meena, R. L., Bedwal, S., Yadav, R. K., &amp; Sharma, P. C. (2022). Assessing soil quality for rehabilitation of salt-affected agroecosystem: A comprehensive review. </w:t>
      </w:r>
      <w:r>
        <w:rPr>
          <w:rFonts w:ascii="Times New Roman" w:hAnsi="Times New Roman" w:eastAsia="Times New Roman"/>
          <w:b w:val="0"/>
          <w:i/>
          <w:color w:val="000000"/>
          <w:sz w:val="24"/>
        </w:rPr>
        <w:t>Frontiers in Environmental Science</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10</w:t>
      </w:r>
      <w:r>
        <w:rPr>
          <w:rFonts w:ascii="Times New Roman" w:hAnsi="Times New Roman" w:eastAsia="Times New Roman"/>
          <w:b w:val="0"/>
          <w:i w:val="0"/>
          <w:color w:val="000000"/>
          <w:sz w:val="24"/>
        </w:rPr>
        <w:t xml:space="preserve">, Article 935785. </w:t>
      </w:r>
      <w:hyperlink r:id="rId22">
        <w:r>
          <w:rPr>
            <w:rFonts w:ascii="Times New Roman" w:hAnsi="Times New Roman"/>
            <w:color w:val="000000"/>
            <w:sz w:val="24"/>
          </w:rPr>
          <w:t xml:space="preserve">https:/​/​doi.​org/​10.​3389/​fenvs.​2022.​935785</w:t>
        </w:r>
      </w:hyperlink>
    </w:p>
    <w:p>
      <w:pPr>
        <w:spacing w:before="0" w:after="120" w:line="360" w:lineRule="auto"/>
        <w:ind w:left="720" w:hanging="720"/>
        <w:jc w:val="both"/>
      </w:pPr>
      <w:r>
        <w:rPr>
          <w:rFonts w:ascii="Times New Roman" w:hAnsi="Times New Roman" w:eastAsia="Times New Roman"/>
          <w:b w:val="0"/>
          <w:i w:val="0"/>
          <w:color w:val="000000"/>
          <w:sz w:val="24"/>
        </w:rPr>
        <w:t>Bhadwal, S., Sharma, S., &amp; Singh, D. (2024). Interactive effects of selenium and arsenic on phenolic constituents and antioxidant activity in rice (</w:t>
      </w:r>
      <w:r>
        <w:rPr>
          <w:rFonts w:ascii="Times New Roman" w:hAnsi="Times New Roman" w:eastAsia="Times New Roman"/>
          <w:b w:val="0"/>
          <w:i/>
          <w:color w:val="000000"/>
          <w:sz w:val="24"/>
        </w:rPr>
        <w:t>Oryza sativa</w:t>
      </w:r>
      <w:r>
        <w:rPr>
          <w:rFonts w:ascii="Times New Roman" w:hAnsi="Times New Roman" w:eastAsia="Times New Roman"/>
          <w:b w:val="0"/>
          <w:i w:val="0"/>
          <w:color w:val="000000"/>
          <w:sz w:val="24"/>
        </w:rPr>
        <w:t xml:space="preserve"> L.). </w:t>
      </w:r>
      <w:r>
        <w:rPr>
          <w:rFonts w:ascii="Times New Roman" w:hAnsi="Times New Roman" w:eastAsia="Times New Roman"/>
          <w:b w:val="0"/>
          <w:i/>
          <w:color w:val="000000"/>
          <w:sz w:val="24"/>
        </w:rPr>
        <w:t>Chemosphere</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350</w:t>
      </w:r>
      <w:r>
        <w:rPr>
          <w:rFonts w:ascii="Times New Roman" w:hAnsi="Times New Roman" w:eastAsia="Times New Roman"/>
          <w:b w:val="0"/>
          <w:i w:val="0"/>
          <w:color w:val="000000"/>
          <w:sz w:val="24"/>
        </w:rPr>
        <w:t xml:space="preserve">, Article 141071. </w:t>
      </w:r>
      <w:hyperlink r:id="rId23">
        <w:r>
          <w:rPr>
            <w:rFonts w:ascii="Times New Roman" w:hAnsi="Times New Roman"/>
            <w:color w:val="000000"/>
            <w:sz w:val="24"/>
          </w:rPr>
          <w:t xml:space="preserve">https:/​/​doi.​org/​10.​1016/​j.​chemosphere.​2023.​141071</w:t>
        </w:r>
      </w:hyperlink>
    </w:p>
    <w:p>
      <w:pPr>
        <w:spacing w:before="0" w:after="120" w:line="360" w:lineRule="auto"/>
        <w:ind w:left="720" w:hanging="720"/>
        <w:jc w:val="both"/>
      </w:pPr>
      <w:r>
        <w:rPr>
          <w:rFonts w:ascii="Times New Roman" w:hAnsi="Times New Roman" w:eastAsia="Times New Roman"/>
          <w:b w:val="0"/>
          <w:i w:val="0"/>
          <w:color w:val="000000"/>
          <w:sz w:val="24"/>
        </w:rPr>
        <w:t xml:space="preserve">Brand-Williams, W., Cuvelier, M. E., &amp; Berset, C. (1995). Use of a free radical method to evaluate antioxidant activity. </w:t>
      </w:r>
      <w:r>
        <w:rPr>
          <w:rFonts w:ascii="Times New Roman" w:hAnsi="Times New Roman" w:eastAsia="Times New Roman"/>
          <w:b w:val="0"/>
          <w:i/>
          <w:color w:val="000000"/>
          <w:sz w:val="24"/>
        </w:rPr>
        <w:t>LWT – Food Science and Technology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28</w:t>
      </w:r>
      <w:r>
        <w:rPr>
          <w:rFonts w:ascii="Times New Roman" w:hAnsi="Times New Roman" w:eastAsia="Times New Roman"/>
          <w:b w:val="0"/>
          <w:i w:val="0"/>
          <w:color w:val="000000"/>
          <w:sz w:val="24"/>
        </w:rPr>
        <w:t xml:space="preserve">(1), 25–30. </w:t>
      </w:r>
      <w:hyperlink r:id="rId24">
        <w:r>
          <w:rPr>
            <w:rFonts w:ascii="Times New Roman" w:hAnsi="Times New Roman"/>
            <w:color w:val="000000"/>
            <w:sz w:val="24"/>
          </w:rPr>
          <w:t xml:space="preserve">https:/​/​doi.​org/​10.​1016/​S0023-​6438(95)80008-​5</w:t>
        </w:r>
      </w:hyperlink>
    </w:p>
    <w:p>
      <w:pPr>
        <w:spacing w:before="0" w:after="120" w:line="360" w:lineRule="auto"/>
        <w:ind w:left="720" w:hanging="720"/>
        <w:jc w:val="both"/>
      </w:pPr>
      <w:r>
        <w:rPr>
          <w:rFonts w:ascii="Times New Roman" w:hAnsi="Times New Roman" w:eastAsia="Times New Roman"/>
          <w:b w:val="0"/>
          <w:i w:val="0"/>
          <w:color w:val="000000"/>
          <w:sz w:val="24"/>
        </w:rPr>
        <w:t xml:space="preserve">Compant, S., Samad, A., Faist, H., &amp; Sessitsch, A. (2019). A review on the plant microbiome: Ecology, functions, and emerging trends in microbial application. </w:t>
      </w:r>
      <w:r>
        <w:rPr>
          <w:rFonts w:ascii="Times New Roman" w:hAnsi="Times New Roman" w:eastAsia="Times New Roman"/>
          <w:b w:val="0"/>
          <w:i/>
          <w:color w:val="000000"/>
          <w:sz w:val="24"/>
        </w:rPr>
        <w:t>Journal of Advanced Research</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19</w:t>
      </w:r>
      <w:r>
        <w:rPr>
          <w:rFonts w:ascii="Times New Roman" w:hAnsi="Times New Roman" w:eastAsia="Times New Roman"/>
          <w:b w:val="0"/>
          <w:i w:val="0"/>
          <w:color w:val="000000"/>
          <w:sz w:val="24"/>
        </w:rPr>
        <w:t xml:space="preserve">, 29–37. </w:t>
      </w:r>
      <w:hyperlink r:id="rId25">
        <w:r>
          <w:rPr>
            <w:rFonts w:ascii="Times New Roman" w:hAnsi="Times New Roman"/>
            <w:color w:val="000000"/>
            <w:sz w:val="24"/>
          </w:rPr>
          <w:t xml:space="preserve">https:/​/​doi.​org/​10.​1016/​j.​jare.​2019.​03.​004</w:t>
        </w:r>
      </w:hyperlink>
    </w:p>
    <w:p>
      <w:pPr>
        <w:spacing w:before="0" w:after="120" w:line="360" w:lineRule="auto"/>
        <w:ind w:left="720" w:hanging="720"/>
        <w:jc w:val="both"/>
      </w:pPr>
      <w:r>
        <w:rPr>
          <w:rFonts w:ascii="Times New Roman" w:hAnsi="Times New Roman" w:eastAsia="Times New Roman"/>
          <w:b w:val="0"/>
          <w:i w:val="0"/>
          <w:color w:val="000000"/>
          <w:sz w:val="24"/>
        </w:rPr>
        <w:t xml:space="preserve">Etesami, H., &amp; Glick, B. R. (2020). Halotolerant plant growth–promoting bacteria: Prospects for alleviating salinity stress in plants. </w:t>
      </w:r>
      <w:r>
        <w:rPr>
          <w:rFonts w:ascii="Times New Roman" w:hAnsi="Times New Roman" w:eastAsia="Times New Roman"/>
          <w:b w:val="0"/>
          <w:i/>
          <w:color w:val="000000"/>
          <w:sz w:val="24"/>
        </w:rPr>
        <w:t>Environmental and Experimental Botany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178</w:t>
      </w:r>
      <w:r>
        <w:rPr>
          <w:rFonts w:ascii="Times New Roman" w:hAnsi="Times New Roman" w:eastAsia="Times New Roman"/>
          <w:b w:val="0"/>
          <w:i w:val="0"/>
          <w:color w:val="000000"/>
          <w:sz w:val="24"/>
        </w:rPr>
        <w:t xml:space="preserve">, Article 104124. </w:t>
      </w:r>
      <w:hyperlink r:id="rId26">
        <w:r>
          <w:rPr>
            <w:rFonts w:ascii="Times New Roman" w:hAnsi="Times New Roman"/>
            <w:color w:val="000000"/>
            <w:sz w:val="24"/>
          </w:rPr>
          <w:t xml:space="preserve">https:/​/​doi.​org/​10.​1016/​j.​envexpbot.​2020.​104124</w:t>
        </w:r>
      </w:hyperlink>
    </w:p>
    <w:p>
      <w:pPr>
        <w:spacing w:before="0" w:after="120" w:line="360" w:lineRule="auto"/>
        <w:ind w:left="720" w:hanging="720"/>
        <w:jc w:val="both"/>
      </w:pPr>
      <w:r>
        <w:rPr>
          <w:rFonts w:ascii="Times New Roman" w:hAnsi="Times New Roman" w:eastAsia="Times New Roman"/>
          <w:b w:val="0"/>
          <w:i w:val="0"/>
          <w:color w:val="000000"/>
          <w:sz w:val="24"/>
        </w:rPr>
        <w:t xml:space="preserve">Etesami, H., &amp; Maheshwari, D. K. (2018). Use of plant growth promoting rhizobacteria (PGPRs) with multiple plant growth promoting traits in stress agriculture: Action mechanisms and future prospects. </w:t>
      </w:r>
      <w:r>
        <w:rPr>
          <w:rFonts w:ascii="Times New Roman" w:hAnsi="Times New Roman" w:eastAsia="Times New Roman"/>
          <w:b w:val="0"/>
          <w:i/>
          <w:color w:val="000000"/>
          <w:sz w:val="24"/>
        </w:rPr>
        <w:t>Ecotoxicology and Environmental Safety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156</w:t>
      </w:r>
      <w:r>
        <w:rPr>
          <w:rFonts w:ascii="Times New Roman" w:hAnsi="Times New Roman" w:eastAsia="Times New Roman"/>
          <w:b w:val="0"/>
          <w:i w:val="0"/>
          <w:color w:val="000000"/>
          <w:sz w:val="24"/>
        </w:rPr>
        <w:t xml:space="preserve">, 225–246. </w:t>
      </w:r>
      <w:hyperlink r:id="rId27">
        <w:r>
          <w:rPr>
            <w:rFonts w:ascii="Times New Roman" w:hAnsi="Times New Roman"/>
            <w:color w:val="000000"/>
            <w:sz w:val="24"/>
          </w:rPr>
          <w:t xml:space="preserve">https:/​/​doi.​org/​10.​1016/​j.​ecoenv.​2018.​03.​013</w:t>
        </w:r>
      </w:hyperlink>
    </w:p>
    <w:p>
      <w:pPr>
        <w:spacing w:before="0" w:after="120" w:line="360" w:lineRule="auto"/>
        <w:ind w:left="720" w:hanging="720"/>
        <w:jc w:val="both"/>
      </w:pPr>
      <w:r>
        <w:rPr>
          <w:rFonts w:ascii="Times New Roman" w:hAnsi="Times New Roman" w:eastAsia="Times New Roman"/>
          <w:b w:val="0"/>
          <w:i w:val="0"/>
          <w:color w:val="000000"/>
          <w:sz w:val="24"/>
        </w:rPr>
        <w:t xml:space="preserve">Ganie, S. A., Bhat, J. A., &amp; Devoto, A. (2021). The influence of endophytes on rice fitness under environmental stresses. </w:t>
      </w:r>
      <w:r>
        <w:rPr>
          <w:rFonts w:ascii="Times New Roman" w:hAnsi="Times New Roman" w:eastAsia="Times New Roman"/>
          <w:b w:val="0"/>
          <w:i/>
          <w:color w:val="000000"/>
          <w:sz w:val="24"/>
        </w:rPr>
        <w:t>Plant Molecular Biology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109</w:t>
      </w:r>
      <w:r>
        <w:rPr>
          <w:rFonts w:ascii="Times New Roman" w:hAnsi="Times New Roman" w:eastAsia="Times New Roman"/>
          <w:b w:val="0"/>
          <w:i w:val="0"/>
          <w:color w:val="000000"/>
          <w:sz w:val="24"/>
        </w:rPr>
        <w:t xml:space="preserve">(4–5), 447–467. </w:t>
      </w:r>
      <w:hyperlink r:id="rId28">
        <w:r>
          <w:rPr>
            <w:rFonts w:ascii="Times New Roman" w:hAnsi="Times New Roman"/>
            <w:color w:val="000000"/>
            <w:sz w:val="24"/>
          </w:rPr>
          <w:t xml:space="preserve">https:/​/​doi.​org/​10.​1007/​s11103-​021-​01219-​8</w:t>
        </w:r>
      </w:hyperlink>
    </w:p>
    <w:p>
      <w:pPr>
        <w:spacing w:before="0" w:after="120" w:line="360" w:lineRule="auto"/>
        <w:ind w:left="720" w:hanging="720"/>
        <w:jc w:val="both"/>
      </w:pPr>
      <w:r>
        <w:rPr>
          <w:rFonts w:ascii="Times New Roman" w:hAnsi="Times New Roman" w:eastAsia="Times New Roman"/>
          <w:b w:val="0"/>
          <w:i w:val="0"/>
          <w:color w:val="000000"/>
          <w:sz w:val="24"/>
        </w:rPr>
        <w:t xml:space="preserve">Gill, S. S., &amp; Tuteja, N. (2010). Reactive oxygen species and antioxidant machinery in abiotic stress tolerance in crop plants. </w:t>
      </w:r>
      <w:r>
        <w:rPr>
          <w:rFonts w:ascii="Times New Roman" w:hAnsi="Times New Roman" w:eastAsia="Times New Roman"/>
          <w:b w:val="0"/>
          <w:i/>
          <w:color w:val="000000"/>
          <w:sz w:val="24"/>
        </w:rPr>
        <w:t>Plant Physiology and Biochemistry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48</w:t>
      </w:r>
      <w:r>
        <w:rPr>
          <w:rFonts w:ascii="Times New Roman" w:hAnsi="Times New Roman" w:eastAsia="Times New Roman"/>
          <w:b w:val="0"/>
          <w:i w:val="0"/>
          <w:color w:val="000000"/>
          <w:sz w:val="24"/>
        </w:rPr>
        <w:t xml:space="preserve">(12), 909–930. </w:t>
      </w:r>
      <w:hyperlink r:id="rId29">
        <w:r>
          <w:rPr>
            <w:rFonts w:ascii="Times New Roman" w:hAnsi="Times New Roman"/>
            <w:color w:val="000000"/>
            <w:sz w:val="24"/>
          </w:rPr>
          <w:t xml:space="preserve">https:/​/​doi.​org/​10.​1016/​j.​plaphy.​2010.​08.​016</w:t>
        </w:r>
      </w:hyperlink>
    </w:p>
    <w:p>
      <w:pPr>
        <w:spacing w:before="0" w:after="120" w:line="360" w:lineRule="auto"/>
        <w:ind w:left="720" w:hanging="720"/>
        <w:jc w:val="both"/>
      </w:pPr>
      <w:r>
        <w:rPr>
          <w:rFonts w:ascii="Times New Roman" w:hAnsi="Times New Roman" w:eastAsia="Times New Roman"/>
          <w:b w:val="0"/>
          <w:i w:val="0"/>
          <w:color w:val="000000"/>
          <w:sz w:val="24"/>
        </w:rPr>
        <w:t xml:space="preserve">Glick, B. R. (2012). Plant growth-promoting bacteria: Mechanisms and applications. </w:t>
      </w:r>
      <w:r>
        <w:rPr>
          <w:rFonts w:ascii="Times New Roman" w:hAnsi="Times New Roman" w:eastAsia="Times New Roman"/>
          <w:b w:val="0"/>
          <w:i/>
          <w:color w:val="000000"/>
          <w:sz w:val="24"/>
        </w:rPr>
        <w:t>Scientifica</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2012</w:t>
      </w:r>
      <w:r>
        <w:rPr>
          <w:rFonts w:ascii="Times New Roman" w:hAnsi="Times New Roman" w:eastAsia="Times New Roman"/>
          <w:b w:val="0"/>
          <w:i w:val="0"/>
          <w:color w:val="000000"/>
          <w:sz w:val="24"/>
        </w:rPr>
        <w:t xml:space="preserve">, Article 963401. </w:t>
      </w:r>
      <w:hyperlink r:id="rId30">
        <w:r>
          <w:rPr>
            <w:rFonts w:ascii="Times New Roman" w:hAnsi="Times New Roman"/>
            <w:color w:val="000000"/>
            <w:sz w:val="24"/>
          </w:rPr>
          <w:t xml:space="preserve">https:/​/​doi.​org/​10.​6064/​2012/​963401</w:t>
        </w:r>
      </w:hyperlink>
    </w:p>
    <w:p>
      <w:pPr>
        <w:spacing w:before="0" w:after="120" w:line="360" w:lineRule="auto"/>
        <w:ind w:left="720" w:hanging="720"/>
        <w:jc w:val="both"/>
      </w:pPr>
      <w:r>
        <w:rPr>
          <w:rFonts w:ascii="Times New Roman" w:hAnsi="Times New Roman" w:eastAsia="Times New Roman"/>
          <w:b w:val="0"/>
          <w:i w:val="0"/>
          <w:color w:val="000000"/>
          <w:sz w:val="24"/>
        </w:rPr>
        <w:t xml:space="preserve">Glick, B. R. (2014). Bacteria with ACC deaminase can promote plant growth and help to feed the world. </w:t>
      </w:r>
      <w:r>
        <w:rPr>
          <w:rFonts w:ascii="Times New Roman" w:hAnsi="Times New Roman" w:eastAsia="Times New Roman"/>
          <w:b w:val="0"/>
          <w:i/>
          <w:color w:val="000000"/>
          <w:sz w:val="24"/>
        </w:rPr>
        <w:t>Microbiological Research</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169</w:t>
      </w:r>
      <w:r>
        <w:rPr>
          <w:rFonts w:ascii="Times New Roman" w:hAnsi="Times New Roman" w:eastAsia="Times New Roman"/>
          <w:b w:val="0"/>
          <w:i w:val="0"/>
          <w:color w:val="000000"/>
          <w:sz w:val="24"/>
        </w:rPr>
        <w:t xml:space="preserve">(1), 30–39. </w:t>
      </w:r>
      <w:hyperlink r:id="rId31">
        <w:r>
          <w:rPr>
            <w:rFonts w:ascii="Times New Roman" w:hAnsi="Times New Roman"/>
            <w:color w:val="000000"/>
            <w:sz w:val="24"/>
          </w:rPr>
          <w:t xml:space="preserve">https:/​/​doi.​org/​10.​1016/​j.​micres.​2013.​09.​009</w:t>
        </w:r>
      </w:hyperlink>
    </w:p>
    <w:p>
      <w:pPr>
        <w:spacing w:before="0" w:after="120" w:line="360" w:lineRule="auto"/>
        <w:ind w:left="720" w:hanging="720"/>
        <w:jc w:val="both"/>
      </w:pPr>
      <w:r>
        <w:rPr>
          <w:rFonts w:ascii="Times New Roman" w:hAnsi="Times New Roman" w:eastAsia="Times New Roman"/>
          <w:b w:val="0"/>
          <w:i w:val="0"/>
          <w:color w:val="000000"/>
          <w:sz w:val="24"/>
        </w:rPr>
        <w:t xml:space="preserve">Gülçin, İ. (2020). Antioxidants and antioxidant methods: An updated overview. </w:t>
      </w:r>
      <w:r>
        <w:rPr>
          <w:rFonts w:ascii="Times New Roman" w:hAnsi="Times New Roman" w:eastAsia="Times New Roman"/>
          <w:b w:val="0"/>
          <w:i/>
          <w:color w:val="000000"/>
          <w:sz w:val="24"/>
        </w:rPr>
        <w:t>Archives of Toxicology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94</w:t>
      </w:r>
      <w:r>
        <w:rPr>
          <w:rFonts w:ascii="Times New Roman" w:hAnsi="Times New Roman" w:eastAsia="Times New Roman"/>
          <w:b w:val="0"/>
          <w:i w:val="0"/>
          <w:color w:val="000000"/>
          <w:sz w:val="24"/>
        </w:rPr>
        <w:t xml:space="preserve">(3), 651–715. </w:t>
      </w:r>
      <w:hyperlink r:id="rId32">
        <w:r>
          <w:rPr>
            <w:rFonts w:ascii="Times New Roman" w:hAnsi="Times New Roman"/>
            <w:color w:val="000000"/>
            <w:sz w:val="24"/>
          </w:rPr>
          <w:t xml:space="preserve">https:/​/​doi.​org/​10.​1007/​s00204-​020-​02689-​3</w:t>
        </w:r>
      </w:hyperlink>
    </w:p>
    <w:p>
      <w:pPr>
        <w:spacing w:before="0" w:after="120" w:line="360" w:lineRule="auto"/>
        <w:ind w:left="720" w:hanging="720"/>
        <w:jc w:val="both"/>
      </w:pPr>
      <w:r>
        <w:rPr>
          <w:rFonts w:ascii="Times New Roman" w:hAnsi="Times New Roman" w:eastAsia="Times New Roman"/>
          <w:b w:val="0"/>
          <w:i w:val="0"/>
          <w:color w:val="000000"/>
          <w:sz w:val="24"/>
        </w:rPr>
        <w:t>Gupta, A., Tiwari, R. K., Shukla, R., Singh, A. N., &amp; Sahu, P. K. (2023). Salinity alleviator bacteria in rice (</w:t>
      </w:r>
      <w:r>
        <w:rPr>
          <w:rFonts w:ascii="Times New Roman" w:hAnsi="Times New Roman" w:eastAsia="Times New Roman"/>
          <w:b w:val="0"/>
          <w:i/>
          <w:color w:val="000000"/>
          <w:sz w:val="24"/>
        </w:rPr>
        <w:t>Oryza sativa</w:t>
      </w:r>
      <w:r>
        <w:rPr>
          <w:rFonts w:ascii="Times New Roman" w:hAnsi="Times New Roman" w:eastAsia="Times New Roman"/>
          <w:b w:val="0"/>
          <w:i w:val="0"/>
          <w:color w:val="000000"/>
          <w:sz w:val="24"/>
        </w:rPr>
        <w:t xml:space="preserve"> L.), their colonization efficacy, and synergism with melatonin. </w:t>
      </w:r>
      <w:r>
        <w:rPr>
          <w:rFonts w:ascii="Times New Roman" w:hAnsi="Times New Roman" w:eastAsia="Times New Roman"/>
          <w:b w:val="0"/>
          <w:i/>
          <w:color w:val="000000"/>
          <w:sz w:val="24"/>
        </w:rPr>
        <w:t>Frontiers in Plant Science</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13</w:t>
      </w:r>
      <w:r>
        <w:rPr>
          <w:rFonts w:ascii="Times New Roman" w:hAnsi="Times New Roman" w:eastAsia="Times New Roman"/>
          <w:b w:val="0"/>
          <w:i w:val="0"/>
          <w:color w:val="000000"/>
          <w:sz w:val="24"/>
        </w:rPr>
        <w:t xml:space="preserve">, Article 1060287. </w:t>
      </w:r>
      <w:hyperlink r:id="rId33">
        <w:r>
          <w:rPr>
            <w:rFonts w:ascii="Times New Roman" w:hAnsi="Times New Roman"/>
            <w:color w:val="000000"/>
            <w:sz w:val="24"/>
          </w:rPr>
          <w:t xml:space="preserve">https:/​/​doi.​org/​10.​3389/​fpls.​2022.​1060287</w:t>
        </w:r>
      </w:hyperlink>
    </w:p>
    <w:p>
      <w:pPr>
        <w:spacing w:before="0" w:after="120" w:line="360" w:lineRule="auto"/>
        <w:ind w:left="720" w:hanging="720"/>
        <w:jc w:val="both"/>
      </w:pPr>
      <w:r>
        <w:rPr>
          <w:rFonts w:ascii="Times New Roman" w:hAnsi="Times New Roman" w:eastAsia="Times New Roman"/>
          <w:b w:val="0"/>
          <w:i w:val="0"/>
          <w:color w:val="000000"/>
          <w:sz w:val="24"/>
        </w:rPr>
        <w:t xml:space="preserve">Hardoim, P. R., van Overbeek, L. S., Berg, G., Pirttilä, A. M., Compant, S., Campisano, A., Döring, M., &amp; Sessitsch, A. (2015). The hidden world within plants: Ecological and evolutionary considerations for defining functioning of microbial endophytes. </w:t>
      </w:r>
      <w:r>
        <w:rPr>
          <w:rFonts w:ascii="Times New Roman" w:hAnsi="Times New Roman" w:eastAsia="Times New Roman"/>
          <w:b w:val="0"/>
          <w:i/>
          <w:color w:val="000000"/>
          <w:sz w:val="24"/>
        </w:rPr>
        <w:t>Microbiology and Molecular Biology Reviews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79</w:t>
      </w:r>
      <w:r>
        <w:rPr>
          <w:rFonts w:ascii="Times New Roman" w:hAnsi="Times New Roman" w:eastAsia="Times New Roman"/>
          <w:b w:val="0"/>
          <w:i w:val="0"/>
          <w:color w:val="000000"/>
          <w:sz w:val="24"/>
        </w:rPr>
        <w:t xml:space="preserve">(3), 293–320. </w:t>
      </w:r>
      <w:hyperlink r:id="rId34">
        <w:r>
          <w:rPr>
            <w:rFonts w:ascii="Times New Roman" w:hAnsi="Times New Roman"/>
            <w:color w:val="000000"/>
            <w:sz w:val="24"/>
          </w:rPr>
          <w:t xml:space="preserve">https:/​/​doi.​org/​10.​1128/​MMBR.​00050-​14</w:t>
        </w:r>
      </w:hyperlink>
    </w:p>
    <w:p>
      <w:pPr>
        <w:spacing w:before="0" w:after="120" w:line="360" w:lineRule="auto"/>
        <w:ind w:left="720" w:hanging="720"/>
        <w:jc w:val="both"/>
      </w:pPr>
      <w:r>
        <w:rPr>
          <w:rFonts w:ascii="Times New Roman" w:hAnsi="Times New Roman" w:eastAsia="Times New Roman"/>
          <w:b w:val="0"/>
          <w:i w:val="0"/>
          <w:color w:val="000000"/>
          <w:sz w:val="24"/>
        </w:rPr>
        <w:t xml:space="preserve">Hiscox, J. D., &amp; Israelstam, G. F. (1979). A method for the extraction of chlorophyll from leaf tissue without maceration. </w:t>
      </w:r>
      <w:r>
        <w:rPr>
          <w:rFonts w:ascii="Times New Roman" w:hAnsi="Times New Roman" w:eastAsia="Times New Roman"/>
          <w:b w:val="0"/>
          <w:i/>
          <w:color w:val="000000"/>
          <w:sz w:val="24"/>
        </w:rPr>
        <w:t>Canadian Journal of Botany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57</w:t>
      </w:r>
      <w:r>
        <w:rPr>
          <w:rFonts w:ascii="Times New Roman" w:hAnsi="Times New Roman" w:eastAsia="Times New Roman"/>
          <w:b w:val="0"/>
          <w:i w:val="0"/>
          <w:color w:val="000000"/>
          <w:sz w:val="24"/>
        </w:rPr>
        <w:t xml:space="preserve">(12), 1332–1334. </w:t>
      </w:r>
      <w:hyperlink r:id="rId35">
        <w:r>
          <w:rPr>
            <w:rFonts w:ascii="Times New Roman" w:hAnsi="Times New Roman"/>
            <w:color w:val="000000"/>
            <w:sz w:val="24"/>
          </w:rPr>
          <w:t xml:space="preserve">https:/​/​doi.​org/​10.​1139/​b79-​163</w:t>
        </w:r>
      </w:hyperlink>
    </w:p>
    <w:p>
      <w:pPr>
        <w:spacing w:before="0" w:after="120" w:line="360" w:lineRule="auto"/>
        <w:ind w:left="720" w:hanging="720"/>
        <w:jc w:val="both"/>
      </w:pPr>
      <w:r>
        <w:rPr>
          <w:rFonts w:ascii="Times New Roman" w:hAnsi="Times New Roman" w:eastAsia="Times New Roman"/>
          <w:b w:val="0"/>
          <w:i w:val="0"/>
          <w:color w:val="000000"/>
          <w:sz w:val="24"/>
        </w:rPr>
        <w:t xml:space="preserve">Ilangumaran, G., &amp; Smith, D. L. (2017). Plant growth promoting rhizobacteria in amelioration of salinity stress: A systems biology perspective. </w:t>
      </w:r>
      <w:r>
        <w:rPr>
          <w:rFonts w:ascii="Times New Roman" w:hAnsi="Times New Roman" w:eastAsia="Times New Roman"/>
          <w:b w:val="0"/>
          <w:i/>
          <w:color w:val="000000"/>
          <w:sz w:val="24"/>
        </w:rPr>
        <w:t>Frontiers in Plant Science</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8</w:t>
      </w:r>
      <w:r>
        <w:rPr>
          <w:rFonts w:ascii="Times New Roman" w:hAnsi="Times New Roman" w:eastAsia="Times New Roman"/>
          <w:b w:val="0"/>
          <w:i w:val="0"/>
          <w:color w:val="000000"/>
          <w:sz w:val="24"/>
        </w:rPr>
        <w:t xml:space="preserve">, Article 1768. </w:t>
      </w:r>
      <w:hyperlink r:id="rId36">
        <w:r>
          <w:rPr>
            <w:rFonts w:ascii="Times New Roman" w:hAnsi="Times New Roman"/>
            <w:color w:val="000000"/>
            <w:sz w:val="24"/>
          </w:rPr>
          <w:t xml:space="preserve">https:/​/​doi.​org/​10.​3389/​fpls.​2017.​01768</w:t>
        </w:r>
      </w:hyperlink>
    </w:p>
    <w:p>
      <w:pPr>
        <w:spacing w:before="0" w:after="120" w:line="360" w:lineRule="auto"/>
        <w:ind w:left="720" w:hanging="720"/>
        <w:jc w:val="both"/>
      </w:pPr>
      <w:r>
        <w:rPr>
          <w:rFonts w:ascii="Times New Roman" w:hAnsi="Times New Roman" w:eastAsia="Times New Roman"/>
          <w:b w:val="0"/>
          <w:i w:val="0"/>
          <w:color w:val="000000"/>
          <w:sz w:val="24"/>
        </w:rPr>
        <w:t xml:space="preserve">Ismail, A. M., &amp; Horie, T. (2017). Genomics, physiology, and molecular breeding approaches for improving salt tolerance. </w:t>
      </w:r>
      <w:r>
        <w:rPr>
          <w:rFonts w:ascii="Times New Roman" w:hAnsi="Times New Roman" w:eastAsia="Times New Roman"/>
          <w:b w:val="0"/>
          <w:i/>
          <w:color w:val="000000"/>
          <w:sz w:val="24"/>
        </w:rPr>
        <w:t>Annual Review of Plant Biology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68</w:t>
      </w:r>
      <w:r>
        <w:rPr>
          <w:rFonts w:ascii="Times New Roman" w:hAnsi="Times New Roman" w:eastAsia="Times New Roman"/>
          <w:b w:val="0"/>
          <w:i w:val="0"/>
          <w:color w:val="000000"/>
          <w:sz w:val="24"/>
        </w:rPr>
        <w:t xml:space="preserve">, 405–434. </w:t>
      </w:r>
      <w:hyperlink r:id="rId37">
        <w:r>
          <w:rPr>
            <w:rFonts w:ascii="Times New Roman" w:hAnsi="Times New Roman"/>
            <w:color w:val="000000"/>
            <w:sz w:val="24"/>
          </w:rPr>
          <w:t xml:space="preserve">https:/​/​doi.​org/​10.​1146/​annurev-​arplant-​042916-​040936</w:t>
        </w:r>
      </w:hyperlink>
    </w:p>
    <w:p>
      <w:pPr>
        <w:spacing w:before="0" w:after="120" w:line="360" w:lineRule="auto"/>
        <w:ind w:left="720" w:hanging="720"/>
        <w:jc w:val="both"/>
      </w:pPr>
      <w:r>
        <w:rPr>
          <w:rFonts w:ascii="Times New Roman" w:hAnsi="Times New Roman" w:eastAsia="Times New Roman"/>
          <w:b w:val="0"/>
          <w:i w:val="0"/>
          <w:color w:val="000000"/>
          <w:sz w:val="24"/>
        </w:rPr>
        <w:t xml:space="preserve">Jolliffe, I. T., &amp; Cadima, J. (2016). Principal component analysis: A review and recent developments. </w:t>
      </w:r>
      <w:r>
        <w:rPr>
          <w:rFonts w:ascii="Times New Roman" w:hAnsi="Times New Roman" w:eastAsia="Times New Roman"/>
          <w:b w:val="0"/>
          <w:i/>
          <w:color w:val="000000"/>
          <w:sz w:val="24"/>
        </w:rPr>
        <w:t>Philosophical Transactions of the Royal Society A: Mathematical, Physical and Engineering Sciences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374</w:t>
      </w:r>
      <w:r>
        <w:rPr>
          <w:rFonts w:ascii="Times New Roman" w:hAnsi="Times New Roman" w:eastAsia="Times New Roman"/>
          <w:b w:val="0"/>
          <w:i w:val="0"/>
          <w:color w:val="000000"/>
          <w:sz w:val="24"/>
        </w:rPr>
        <w:t xml:space="preserve">(2065), Article 20150202. </w:t>
      </w:r>
      <w:hyperlink r:id="rId38">
        <w:r>
          <w:rPr>
            <w:rFonts w:ascii="Times New Roman" w:hAnsi="Times New Roman"/>
            <w:color w:val="000000"/>
            <w:sz w:val="24"/>
          </w:rPr>
          <w:t xml:space="preserve">https:/​/​doi.​org/​10.​1098/​rsta.​2015.​0202</w:t>
        </w:r>
      </w:hyperlink>
    </w:p>
    <w:p>
      <w:pPr>
        <w:spacing w:before="0" w:after="120" w:line="360" w:lineRule="auto"/>
        <w:ind w:left="720" w:hanging="720"/>
        <w:jc w:val="both"/>
      </w:pPr>
      <w:r>
        <w:rPr>
          <w:rFonts w:ascii="Times New Roman" w:hAnsi="Times New Roman" w:eastAsia="Times New Roman"/>
          <w:b w:val="0"/>
          <w:i w:val="0"/>
          <w:color w:val="000000"/>
          <w:sz w:val="24"/>
        </w:rPr>
        <w:t xml:space="preserve">Kandasamy, G. D., &amp; Kathirvel, P. (2023). Insights into bacterial endophytic diversity and isolation with a focus on their potential applications – A review. </w:t>
      </w:r>
      <w:r>
        <w:rPr>
          <w:rFonts w:ascii="Times New Roman" w:hAnsi="Times New Roman" w:eastAsia="Times New Roman"/>
          <w:b w:val="0"/>
          <w:i/>
          <w:color w:val="000000"/>
          <w:sz w:val="24"/>
        </w:rPr>
        <w:t>Microbiological Research</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266</w:t>
      </w:r>
      <w:r>
        <w:rPr>
          <w:rFonts w:ascii="Times New Roman" w:hAnsi="Times New Roman" w:eastAsia="Times New Roman"/>
          <w:b w:val="0"/>
          <w:i w:val="0"/>
          <w:color w:val="000000"/>
          <w:sz w:val="24"/>
        </w:rPr>
        <w:t xml:space="preserve">, Article 127256. </w:t>
      </w:r>
      <w:hyperlink r:id="rId39">
        <w:r>
          <w:rPr>
            <w:rFonts w:ascii="Times New Roman" w:hAnsi="Times New Roman"/>
            <w:color w:val="000000"/>
            <w:sz w:val="24"/>
          </w:rPr>
          <w:t xml:space="preserve">https:/​/​doi.​org/​10.​1016/​j.​micres.​2022.​127256</w:t>
        </w:r>
      </w:hyperlink>
    </w:p>
    <w:p>
      <w:pPr>
        <w:spacing w:before="0" w:after="120" w:line="360" w:lineRule="auto"/>
        <w:ind w:left="720" w:hanging="720"/>
        <w:jc w:val="both"/>
      </w:pPr>
      <w:r>
        <w:rPr>
          <w:rFonts w:ascii="Times New Roman" w:hAnsi="Times New Roman" w:eastAsia="Times New Roman"/>
          <w:b w:val="0"/>
          <w:i w:val="0"/>
          <w:color w:val="000000"/>
          <w:sz w:val="24"/>
        </w:rPr>
        <w:t xml:space="preserve">Khan, M. A., Hamayun, M., Asaf, S., Khan, M., Yun, B. W., Kang, S. M., &amp; Lee, I. J. (2021). Rhizospheric </w:t>
      </w:r>
      <w:r>
        <w:rPr>
          <w:rFonts w:ascii="Times New Roman" w:hAnsi="Times New Roman" w:eastAsia="Times New Roman"/>
          <w:b w:val="0"/>
          <w:i/>
          <w:color w:val="000000"/>
          <w:sz w:val="24"/>
        </w:rPr>
        <w:t>Bacillus</w:t>
      </w:r>
      <w:r>
        <w:rPr>
          <w:rFonts w:ascii="Times New Roman" w:hAnsi="Times New Roman" w:eastAsia="Times New Roman"/>
          <w:b w:val="0"/>
          <w:i w:val="0"/>
          <w:color w:val="000000"/>
          <w:sz w:val="24"/>
        </w:rPr>
        <w:t xml:space="preserve"> spp. rescues plant growth under salinity stress via regulating gene expression, endogenous hormones, and antioxidant system of </w:t>
      </w:r>
      <w:r>
        <w:rPr>
          <w:rFonts w:ascii="Times New Roman" w:hAnsi="Times New Roman" w:eastAsia="Times New Roman"/>
          <w:b w:val="0"/>
          <w:i/>
          <w:color w:val="000000"/>
          <w:sz w:val="24"/>
        </w:rPr>
        <w:t>Oryza sativa</w:t>
      </w:r>
      <w:r>
        <w:rPr>
          <w:rFonts w:ascii="Times New Roman" w:hAnsi="Times New Roman" w:eastAsia="Times New Roman"/>
          <w:b w:val="0"/>
          <w:i w:val="0"/>
          <w:color w:val="000000"/>
          <w:sz w:val="24"/>
        </w:rPr>
        <w:t xml:space="preserve"> L. </w:t>
      </w:r>
      <w:r>
        <w:rPr>
          <w:rFonts w:ascii="Times New Roman" w:hAnsi="Times New Roman" w:eastAsia="Times New Roman"/>
          <w:b w:val="0"/>
          <w:i/>
          <w:color w:val="000000"/>
          <w:sz w:val="24"/>
        </w:rPr>
        <w:t>Frontiers in Plant Science</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12</w:t>
      </w:r>
      <w:r>
        <w:rPr>
          <w:rFonts w:ascii="Times New Roman" w:hAnsi="Times New Roman" w:eastAsia="Times New Roman"/>
          <w:b w:val="0"/>
          <w:i w:val="0"/>
          <w:color w:val="000000"/>
          <w:sz w:val="24"/>
        </w:rPr>
        <w:t xml:space="preserve">, Article 665590. </w:t>
      </w:r>
      <w:hyperlink r:id="rId40">
        <w:r>
          <w:rPr>
            <w:rFonts w:ascii="Times New Roman" w:hAnsi="Times New Roman"/>
            <w:color w:val="000000"/>
            <w:sz w:val="24"/>
          </w:rPr>
          <w:t xml:space="preserve">https:/​/​doi.​org/​10.​3389/​fpls.​2021.​665590</w:t>
        </w:r>
      </w:hyperlink>
    </w:p>
    <w:p>
      <w:pPr>
        <w:spacing w:before="0" w:after="120" w:line="360" w:lineRule="auto"/>
        <w:ind w:left="720" w:hanging="720"/>
        <w:jc w:val="both"/>
      </w:pPr>
      <w:r>
        <w:rPr>
          <w:rFonts w:ascii="Times New Roman" w:hAnsi="Times New Roman" w:eastAsia="Times New Roman"/>
          <w:b w:val="0"/>
          <w:i w:val="0"/>
          <w:color w:val="000000"/>
          <w:sz w:val="24"/>
        </w:rPr>
        <w:t xml:space="preserve">Khan, M. Y., Nadeem, S. M., Sohaib, M., Waqas, M. R., Alotaibi, F., Ali, L., Zahir, Z. A., &amp; Al-Barakah, F. N. I. (2022). Potential of plant growth promoting bacterial consortium for improving the growth and yield of wheat under saline conditions. </w:t>
      </w:r>
      <w:r>
        <w:rPr>
          <w:rFonts w:ascii="Times New Roman" w:hAnsi="Times New Roman" w:eastAsia="Times New Roman"/>
          <w:b w:val="0"/>
          <w:i/>
          <w:color w:val="000000"/>
          <w:sz w:val="24"/>
        </w:rPr>
        <w:t>Frontiers in Microbiology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13</w:t>
      </w:r>
      <w:r>
        <w:rPr>
          <w:rFonts w:ascii="Times New Roman" w:hAnsi="Times New Roman" w:eastAsia="Times New Roman"/>
          <w:b w:val="0"/>
          <w:i w:val="0"/>
          <w:color w:val="000000"/>
          <w:sz w:val="24"/>
        </w:rPr>
        <w:t xml:space="preserve">, Article 958522. </w:t>
      </w:r>
      <w:hyperlink r:id="rId41">
        <w:r>
          <w:rPr>
            <w:rFonts w:ascii="Times New Roman" w:hAnsi="Times New Roman"/>
            <w:color w:val="000000"/>
            <w:sz w:val="24"/>
          </w:rPr>
          <w:t xml:space="preserve">https:/​/​doi.​org/​10.​3389/​fmicb.​2022.​958522</w:t>
        </w:r>
      </w:hyperlink>
    </w:p>
    <w:p>
      <w:pPr>
        <w:spacing w:before="0" w:after="120" w:line="360" w:lineRule="auto"/>
        <w:ind w:left="720" w:hanging="720"/>
        <w:jc w:val="both"/>
      </w:pPr>
      <w:r>
        <w:rPr>
          <w:rFonts w:ascii="Times New Roman" w:hAnsi="Times New Roman" w:eastAsia="Times New Roman"/>
          <w:b w:val="0"/>
          <w:i w:val="0"/>
          <w:color w:val="000000"/>
          <w:sz w:val="24"/>
        </w:rPr>
        <w:t xml:space="preserve">Larson, D. A. (1992). Analysis of variance with just summary statistics as input. </w:t>
      </w:r>
      <w:r>
        <w:rPr>
          <w:rFonts w:ascii="Times New Roman" w:hAnsi="Times New Roman" w:eastAsia="Times New Roman"/>
          <w:b w:val="0"/>
          <w:i/>
          <w:color w:val="000000"/>
          <w:sz w:val="24"/>
        </w:rPr>
        <w:t>The American Statistician</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46</w:t>
      </w:r>
      <w:r>
        <w:rPr>
          <w:rFonts w:ascii="Times New Roman" w:hAnsi="Times New Roman" w:eastAsia="Times New Roman"/>
          <w:b w:val="0"/>
          <w:i w:val="0"/>
          <w:color w:val="000000"/>
          <w:sz w:val="24"/>
        </w:rPr>
        <w:t xml:space="preserve">(2), 151–152. </w:t>
      </w:r>
      <w:hyperlink r:id="rId42">
        <w:r>
          <w:rPr>
            <w:rFonts w:ascii="Times New Roman" w:hAnsi="Times New Roman"/>
            <w:color w:val="000000"/>
            <w:sz w:val="24"/>
          </w:rPr>
          <w:t xml:space="preserve">https:/​/​doi.​org/​10.​1080/​00031305.​1992.​10475872</w:t>
        </w:r>
      </w:hyperlink>
    </w:p>
    <w:p>
      <w:pPr>
        <w:spacing w:before="0" w:after="120" w:line="360" w:lineRule="auto"/>
        <w:ind w:left="720" w:hanging="720"/>
        <w:jc w:val="both"/>
      </w:pPr>
      <w:r>
        <w:rPr>
          <w:rFonts w:ascii="Times New Roman" w:hAnsi="Times New Roman" w:eastAsia="Times New Roman"/>
          <w:b w:val="0"/>
          <w:i w:val="0"/>
          <w:color w:val="000000"/>
          <w:sz w:val="24"/>
        </w:rPr>
        <w:t xml:space="preserve">Lichtenthaler, H. K. (1987). Chlorophylls and carotenoids: Pigments of photosynthetic biomembranes. </w:t>
      </w:r>
      <w:r>
        <w:rPr>
          <w:rFonts w:ascii="Times New Roman" w:hAnsi="Times New Roman" w:eastAsia="Times New Roman"/>
          <w:b w:val="0"/>
          <w:i/>
          <w:color w:val="000000"/>
          <w:sz w:val="24"/>
        </w:rPr>
        <w:t>Methods in Enzymology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148</w:t>
      </w:r>
      <w:r>
        <w:rPr>
          <w:rFonts w:ascii="Times New Roman" w:hAnsi="Times New Roman" w:eastAsia="Times New Roman"/>
          <w:b w:val="0"/>
          <w:i w:val="0"/>
          <w:color w:val="000000"/>
          <w:sz w:val="24"/>
        </w:rPr>
        <w:t xml:space="preserve">, 350–382. </w:t>
      </w:r>
      <w:hyperlink r:id="rId43">
        <w:r>
          <w:rPr>
            <w:rFonts w:ascii="Times New Roman" w:hAnsi="Times New Roman"/>
            <w:color w:val="000000"/>
            <w:sz w:val="24"/>
          </w:rPr>
          <w:t xml:space="preserve">https:/​/​doi.​org/​10.​1016/​0076-​6879(87)48036-​1</w:t>
        </w:r>
      </w:hyperlink>
    </w:p>
    <w:p>
      <w:pPr>
        <w:spacing w:before="0" w:after="120" w:line="360" w:lineRule="auto"/>
        <w:ind w:left="720" w:hanging="720"/>
        <w:jc w:val="both"/>
      </w:pPr>
      <w:r>
        <w:rPr>
          <w:rFonts w:ascii="Times New Roman" w:hAnsi="Times New Roman" w:eastAsia="Times New Roman"/>
          <w:b w:val="0"/>
          <w:i w:val="0"/>
          <w:color w:val="000000"/>
          <w:sz w:val="24"/>
        </w:rPr>
        <w:t xml:space="preserve">Liu, X., Mei, S., &amp; Salles, J. F. (2023). Inoculated microbial consortia perform better than single strains in living soil: A meta-analysis. </w:t>
      </w:r>
      <w:r>
        <w:rPr>
          <w:rFonts w:ascii="Times New Roman" w:hAnsi="Times New Roman" w:eastAsia="Times New Roman"/>
          <w:b w:val="0"/>
          <w:i/>
          <w:color w:val="000000"/>
          <w:sz w:val="24"/>
        </w:rPr>
        <w:t>Applied Soil Ecology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190</w:t>
      </w:r>
      <w:r>
        <w:rPr>
          <w:rFonts w:ascii="Times New Roman" w:hAnsi="Times New Roman" w:eastAsia="Times New Roman"/>
          <w:b w:val="0"/>
          <w:i w:val="0"/>
          <w:color w:val="000000"/>
          <w:sz w:val="24"/>
        </w:rPr>
        <w:t xml:space="preserve">, Article 105011. </w:t>
      </w:r>
      <w:hyperlink r:id="rId44">
        <w:r>
          <w:rPr>
            <w:rFonts w:ascii="Times New Roman" w:hAnsi="Times New Roman"/>
            <w:color w:val="000000"/>
            <w:sz w:val="24"/>
          </w:rPr>
          <w:t xml:space="preserve">https:/​/​doi.​org/​10.​1016/​j.​apsoil.​2023.​105011</w:t>
        </w:r>
      </w:hyperlink>
    </w:p>
    <w:p>
      <w:pPr>
        <w:spacing w:before="0" w:after="120" w:line="360" w:lineRule="auto"/>
        <w:ind w:left="720" w:hanging="720"/>
        <w:jc w:val="both"/>
      </w:pPr>
      <w:r>
        <w:rPr>
          <w:rFonts w:ascii="Times New Roman" w:hAnsi="Times New Roman" w:eastAsia="Times New Roman"/>
          <w:b w:val="0"/>
          <w:i w:val="0"/>
          <w:color w:val="000000"/>
          <w:sz w:val="24"/>
        </w:rPr>
        <w:t xml:space="preserve">Lowry, O. H., Rosebrough, N. J., Farr, A. L., &amp; Randall, R. J. (1951). Protein measurement with the Folin phenol reagent. </w:t>
      </w:r>
      <w:r>
        <w:rPr>
          <w:rFonts w:ascii="Times New Roman" w:hAnsi="Times New Roman" w:eastAsia="Times New Roman"/>
          <w:b w:val="0"/>
          <w:i/>
          <w:color w:val="000000"/>
          <w:sz w:val="24"/>
        </w:rPr>
        <w:t>Journal of Biological Chemistry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193</w:t>
      </w:r>
      <w:r>
        <w:rPr>
          <w:rFonts w:ascii="Times New Roman" w:hAnsi="Times New Roman" w:eastAsia="Times New Roman"/>
          <w:b w:val="0"/>
          <w:i w:val="0"/>
          <w:color w:val="000000"/>
          <w:sz w:val="24"/>
        </w:rPr>
        <w:t xml:space="preserve">(1), 265–275. </w:t>
      </w:r>
      <w:hyperlink r:id="rId45">
        <w:r>
          <w:rPr>
            <w:rFonts w:ascii="Times New Roman" w:hAnsi="Times New Roman"/>
            <w:color w:val="000000"/>
            <w:sz w:val="24"/>
          </w:rPr>
          <w:t xml:space="preserve">https:/​/​doi.​org/​10.​1016/​S0021-​9258(19)52451-​6</w:t>
        </w:r>
      </w:hyperlink>
    </w:p>
    <w:p>
      <w:pPr>
        <w:spacing w:before="0" w:after="120" w:line="360" w:lineRule="auto"/>
        <w:ind w:left="720" w:hanging="720"/>
        <w:jc w:val="both"/>
      </w:pPr>
      <w:r>
        <w:rPr>
          <w:rFonts w:ascii="Times New Roman" w:hAnsi="Times New Roman" w:eastAsia="Times New Roman"/>
          <w:b w:val="0"/>
          <w:i w:val="0"/>
          <w:color w:val="000000"/>
          <w:sz w:val="24"/>
        </w:rPr>
        <w:t xml:space="preserve">Mahajan, S., &amp; Tuteja, N. (2005). Cold, salinity and drought stresses: An overview. </w:t>
      </w:r>
      <w:r>
        <w:rPr>
          <w:rFonts w:ascii="Times New Roman" w:hAnsi="Times New Roman" w:eastAsia="Times New Roman"/>
          <w:b w:val="0"/>
          <w:i/>
          <w:color w:val="000000"/>
          <w:sz w:val="24"/>
        </w:rPr>
        <w:t>Archives of Biochemistry and Biophysics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444</w:t>
      </w:r>
      <w:r>
        <w:rPr>
          <w:rFonts w:ascii="Times New Roman" w:hAnsi="Times New Roman" w:eastAsia="Times New Roman"/>
          <w:b w:val="0"/>
          <w:i w:val="0"/>
          <w:color w:val="000000"/>
          <w:sz w:val="24"/>
        </w:rPr>
        <w:t xml:space="preserve">(2), 139–158. </w:t>
      </w:r>
      <w:hyperlink r:id="rId46">
        <w:r>
          <w:rPr>
            <w:rFonts w:ascii="Times New Roman" w:hAnsi="Times New Roman"/>
            <w:color w:val="000000"/>
            <w:sz w:val="24"/>
          </w:rPr>
          <w:t xml:space="preserve">https:/​/​doi.​org/​10.​1016/​j.​abb.​2005.​10.​018</w:t>
        </w:r>
      </w:hyperlink>
    </w:p>
    <w:p>
      <w:pPr>
        <w:spacing w:before="0" w:after="120" w:line="360" w:lineRule="auto"/>
        <w:ind w:left="720" w:hanging="720"/>
        <w:jc w:val="both"/>
      </w:pPr>
      <w:r>
        <w:rPr>
          <w:rFonts w:ascii="Times New Roman" w:hAnsi="Times New Roman" w:eastAsia="Times New Roman"/>
          <w:b w:val="0"/>
          <w:i w:val="0"/>
          <w:color w:val="000000"/>
          <w:sz w:val="24"/>
        </w:rPr>
        <w:t xml:space="preserve">Moronta-Barrios, F., Gionechetti, F., Pallavicini, A., Marys, E., &amp; Venturi, V. (2018). Bacterial microbiota of rice roots: 16S-based taxonomic profiling of endophytic and rhizospheric diversity, endophytes isolation and simplified endophytic community. </w:t>
      </w:r>
      <w:r>
        <w:rPr>
          <w:rFonts w:ascii="Times New Roman" w:hAnsi="Times New Roman" w:eastAsia="Times New Roman"/>
          <w:b w:val="0"/>
          <w:i/>
          <w:color w:val="000000"/>
          <w:sz w:val="24"/>
        </w:rPr>
        <w:t>Microorganisms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6</w:t>
      </w:r>
      <w:r>
        <w:rPr>
          <w:rFonts w:ascii="Times New Roman" w:hAnsi="Times New Roman" w:eastAsia="Times New Roman"/>
          <w:b w:val="0"/>
          <w:i w:val="0"/>
          <w:color w:val="000000"/>
          <w:sz w:val="24"/>
        </w:rPr>
        <w:t xml:space="preserve">(1), Article 14. </w:t>
      </w:r>
      <w:hyperlink r:id="rId47">
        <w:r>
          <w:rPr>
            <w:rFonts w:ascii="Times New Roman" w:hAnsi="Times New Roman"/>
            <w:color w:val="000000"/>
            <w:sz w:val="24"/>
          </w:rPr>
          <w:t xml:space="preserve">https:/​/​doi.​org/​10.​3390/​microorganisms6010014</w:t>
        </w:r>
      </w:hyperlink>
    </w:p>
    <w:p>
      <w:pPr>
        <w:spacing w:before="0" w:after="120" w:line="360" w:lineRule="auto"/>
        <w:ind w:left="720" w:hanging="720"/>
        <w:jc w:val="both"/>
      </w:pPr>
      <w:r>
        <w:rPr>
          <w:rFonts w:ascii="Times New Roman" w:hAnsi="Times New Roman" w:eastAsia="Times New Roman"/>
          <w:b w:val="0"/>
          <w:i w:val="0"/>
          <w:color w:val="000000"/>
          <w:sz w:val="24"/>
        </w:rPr>
        <w:t xml:space="preserve">Munns, R., &amp; Tester, M. (2008). Mechanisms of salinity tolerance. </w:t>
      </w:r>
      <w:r>
        <w:rPr>
          <w:rFonts w:ascii="Times New Roman" w:hAnsi="Times New Roman" w:eastAsia="Times New Roman"/>
          <w:b w:val="0"/>
          <w:i/>
          <w:color w:val="000000"/>
          <w:sz w:val="24"/>
        </w:rPr>
        <w:t>Annual Review of Plant Biology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59</w:t>
      </w:r>
      <w:r>
        <w:rPr>
          <w:rFonts w:ascii="Times New Roman" w:hAnsi="Times New Roman" w:eastAsia="Times New Roman"/>
          <w:b w:val="0"/>
          <w:i w:val="0"/>
          <w:color w:val="000000"/>
          <w:sz w:val="24"/>
        </w:rPr>
        <w:t xml:space="preserve">, 651–681. </w:t>
      </w:r>
      <w:hyperlink r:id="rId48">
        <w:r>
          <w:rPr>
            <w:rFonts w:ascii="Times New Roman" w:hAnsi="Times New Roman"/>
            <w:color w:val="000000"/>
            <w:sz w:val="24"/>
          </w:rPr>
          <w:t xml:space="preserve">https:/​/​doi.​org/​10.​1146/​annurev.​arplant.​59.​032607.​092911</w:t>
        </w:r>
      </w:hyperlink>
    </w:p>
    <w:p>
      <w:pPr>
        <w:spacing w:before="0" w:after="120" w:line="360" w:lineRule="auto"/>
        <w:ind w:left="720" w:hanging="720"/>
        <w:jc w:val="both"/>
      </w:pPr>
      <w:r>
        <w:rPr>
          <w:rFonts w:ascii="Times New Roman" w:hAnsi="Times New Roman" w:eastAsia="Times New Roman"/>
          <w:b w:val="0"/>
          <w:i w:val="0"/>
          <w:color w:val="000000"/>
          <w:sz w:val="24"/>
        </w:rPr>
        <w:t xml:space="preserve">Negrão, S., Schmöckel, S. M., &amp; Tester, M. (2017). Evaluating physiological responses of plants to salinity stress. </w:t>
      </w:r>
      <w:r>
        <w:rPr>
          <w:rFonts w:ascii="Times New Roman" w:hAnsi="Times New Roman" w:eastAsia="Times New Roman"/>
          <w:b w:val="0"/>
          <w:i/>
          <w:color w:val="000000"/>
          <w:sz w:val="24"/>
        </w:rPr>
        <w:t>Annals of Botany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119</w:t>
      </w:r>
      <w:r>
        <w:rPr>
          <w:rFonts w:ascii="Times New Roman" w:hAnsi="Times New Roman" w:eastAsia="Times New Roman"/>
          <w:b w:val="0"/>
          <w:i w:val="0"/>
          <w:color w:val="000000"/>
          <w:sz w:val="24"/>
        </w:rPr>
        <w:t xml:space="preserve">(1), 1–11. </w:t>
      </w:r>
      <w:hyperlink r:id="rId49">
        <w:r>
          <w:rPr>
            <w:rFonts w:ascii="Times New Roman" w:hAnsi="Times New Roman"/>
            <w:color w:val="000000"/>
            <w:sz w:val="24"/>
          </w:rPr>
          <w:t xml:space="preserve">https:/​/​doi.​org/​10.​1093/​aob/​mcw191</w:t>
        </w:r>
      </w:hyperlink>
    </w:p>
    <w:p>
      <w:pPr>
        <w:spacing w:before="0" w:after="120" w:line="360" w:lineRule="auto"/>
        <w:ind w:left="720" w:hanging="720"/>
        <w:jc w:val="both"/>
      </w:pPr>
      <w:r>
        <w:rPr>
          <w:rFonts w:ascii="Times New Roman" w:hAnsi="Times New Roman" w:eastAsia="Times New Roman"/>
          <w:b w:val="0"/>
          <w:i w:val="0"/>
          <w:color w:val="000000"/>
          <w:sz w:val="24"/>
        </w:rPr>
        <w:t xml:space="preserve">Neshat, M., Abbasi, A., Hosseinzadeh, A., Sarikhani, M. R., Dadashi Chavan, D., &amp; Rasoulnia, A. (2022). Plant growth promoting bacteria (PGPR) induce antioxidant tolerance against salinity stress through biochemical and physiological mechanisms. </w:t>
      </w:r>
      <w:r>
        <w:rPr>
          <w:rFonts w:ascii="Times New Roman" w:hAnsi="Times New Roman" w:eastAsia="Times New Roman"/>
          <w:b w:val="0"/>
          <w:i/>
          <w:color w:val="000000"/>
          <w:sz w:val="24"/>
        </w:rPr>
        <w:t>Physiology and Molecular Biology of Plants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28</w:t>
      </w:r>
      <w:r>
        <w:rPr>
          <w:rFonts w:ascii="Times New Roman" w:hAnsi="Times New Roman" w:eastAsia="Times New Roman"/>
          <w:b w:val="0"/>
          <w:i w:val="0"/>
          <w:color w:val="000000"/>
          <w:sz w:val="24"/>
        </w:rPr>
        <w:t xml:space="preserve">(2), 347–361. </w:t>
      </w:r>
      <w:hyperlink r:id="rId50">
        <w:r>
          <w:rPr>
            <w:rFonts w:ascii="Times New Roman" w:hAnsi="Times New Roman"/>
            <w:color w:val="000000"/>
            <w:sz w:val="24"/>
          </w:rPr>
          <w:t xml:space="preserve">https:/​/​doi.​org/​10.​1007/​s12298-​022-​01128-​0</w:t>
        </w:r>
      </w:hyperlink>
    </w:p>
    <w:p>
      <w:pPr>
        <w:spacing w:before="0" w:after="120" w:line="360" w:lineRule="auto"/>
        <w:ind w:left="720" w:hanging="720"/>
        <w:jc w:val="both"/>
      </w:pPr>
      <w:r>
        <w:rPr>
          <w:rFonts w:ascii="Times New Roman" w:hAnsi="Times New Roman" w:eastAsia="Times New Roman"/>
          <w:b w:val="0"/>
          <w:i w:val="0"/>
          <w:color w:val="000000"/>
          <w:sz w:val="24"/>
        </w:rPr>
        <w:t xml:space="preserve">Numan, M., Bashir, S., Khan, Y., Mumtaz, R., Shinwari, Z. K., Khan, A. L., Khan, A., &amp; Al-Harrasi, A. (2018). Plant growth promoting bacteria as an alternative strategy for salt tolerance in plants: A review. </w:t>
      </w:r>
      <w:r>
        <w:rPr>
          <w:rFonts w:ascii="Times New Roman" w:hAnsi="Times New Roman" w:eastAsia="Times New Roman"/>
          <w:b w:val="0"/>
          <w:i/>
          <w:color w:val="000000"/>
          <w:sz w:val="24"/>
        </w:rPr>
        <w:t>Microbiological Research</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209</w:t>
      </w:r>
      <w:r>
        <w:rPr>
          <w:rFonts w:ascii="Times New Roman" w:hAnsi="Times New Roman" w:eastAsia="Times New Roman"/>
          <w:b w:val="0"/>
          <w:i w:val="0"/>
          <w:color w:val="000000"/>
          <w:sz w:val="24"/>
        </w:rPr>
        <w:t xml:space="preserve">, 21–32. </w:t>
      </w:r>
      <w:hyperlink r:id="rId51">
        <w:r>
          <w:rPr>
            <w:rFonts w:ascii="Times New Roman" w:hAnsi="Times New Roman"/>
            <w:color w:val="000000"/>
            <w:sz w:val="24"/>
          </w:rPr>
          <w:t xml:space="preserve">https:/​/​doi.​org/​10.​1016/​j.​micres.​2018.​02.​003</w:t>
        </w:r>
      </w:hyperlink>
    </w:p>
    <w:p>
      <w:pPr>
        <w:spacing w:before="0" w:after="120" w:line="360" w:lineRule="auto"/>
        <w:ind w:left="720" w:hanging="720"/>
        <w:jc w:val="both"/>
      </w:pPr>
      <w:r>
        <w:rPr>
          <w:rFonts w:ascii="Times New Roman" w:hAnsi="Times New Roman" w:eastAsia="Times New Roman"/>
          <w:b w:val="0"/>
          <w:i w:val="0"/>
          <w:color w:val="000000"/>
          <w:sz w:val="24"/>
        </w:rPr>
        <w:t xml:space="preserve">Parida, A. K., &amp; Das, A. B. (2005). Salt tolerance and salinity effects on plants: A review. </w:t>
      </w:r>
      <w:r>
        <w:rPr>
          <w:rFonts w:ascii="Times New Roman" w:hAnsi="Times New Roman" w:eastAsia="Times New Roman"/>
          <w:b w:val="0"/>
          <w:i/>
          <w:color w:val="000000"/>
          <w:sz w:val="24"/>
        </w:rPr>
        <w:t>Ecotoxicology and Environmental Safety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60</w:t>
      </w:r>
      <w:r>
        <w:rPr>
          <w:rFonts w:ascii="Times New Roman" w:hAnsi="Times New Roman" w:eastAsia="Times New Roman"/>
          <w:b w:val="0"/>
          <w:i w:val="0"/>
          <w:color w:val="000000"/>
          <w:sz w:val="24"/>
        </w:rPr>
        <w:t xml:space="preserve">(3), 324–349. </w:t>
      </w:r>
      <w:hyperlink r:id="rId52">
        <w:r>
          <w:rPr>
            <w:rFonts w:ascii="Times New Roman" w:hAnsi="Times New Roman"/>
            <w:color w:val="000000"/>
            <w:sz w:val="24"/>
          </w:rPr>
          <w:t xml:space="preserve">https:/​/​doi.​org/​10.​1016/​j.​ecoenv.​2004.​06.​010</w:t>
        </w:r>
      </w:hyperlink>
    </w:p>
    <w:p>
      <w:pPr>
        <w:spacing w:before="0" w:after="120" w:line="360" w:lineRule="auto"/>
        <w:ind w:left="720" w:hanging="720"/>
        <w:jc w:val="both"/>
      </w:pPr>
      <w:r>
        <w:rPr>
          <w:rFonts w:ascii="Times New Roman" w:hAnsi="Times New Roman" w:eastAsia="Times New Roman"/>
          <w:b w:val="0"/>
          <w:i w:val="0"/>
          <w:color w:val="000000"/>
          <w:sz w:val="24"/>
        </w:rPr>
        <w:t xml:space="preserve">Ramasamy, K. P., &amp; Mahawar, L. (2023). Coping with salt stress—interaction of halotolerant bacteria in crop plants: A mini review. </w:t>
      </w:r>
      <w:r>
        <w:rPr>
          <w:rFonts w:ascii="Times New Roman" w:hAnsi="Times New Roman" w:eastAsia="Times New Roman"/>
          <w:b w:val="0"/>
          <w:i/>
          <w:color w:val="000000"/>
          <w:sz w:val="24"/>
        </w:rPr>
        <w:t>Frontiers in Microbiology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14</w:t>
      </w:r>
      <w:r>
        <w:rPr>
          <w:rFonts w:ascii="Times New Roman" w:hAnsi="Times New Roman" w:eastAsia="Times New Roman"/>
          <w:b w:val="0"/>
          <w:i w:val="0"/>
          <w:color w:val="000000"/>
          <w:sz w:val="24"/>
        </w:rPr>
        <w:t xml:space="preserve">, Article 1077561. </w:t>
      </w:r>
      <w:hyperlink r:id="rId53">
        <w:r>
          <w:rPr>
            <w:rFonts w:ascii="Times New Roman" w:hAnsi="Times New Roman"/>
            <w:color w:val="000000"/>
            <w:sz w:val="24"/>
          </w:rPr>
          <w:t xml:space="preserve">https:/​/​doi.​org/​10.​3389/​fmicb.​2023.​1077561</w:t>
        </w:r>
      </w:hyperlink>
    </w:p>
    <w:p>
      <w:pPr>
        <w:spacing w:before="0" w:after="120" w:line="360" w:lineRule="auto"/>
        <w:ind w:left="720" w:hanging="720"/>
        <w:jc w:val="both"/>
      </w:pPr>
      <w:r>
        <w:rPr>
          <w:rFonts w:ascii="Times New Roman" w:hAnsi="Times New Roman" w:eastAsia="Times New Roman"/>
          <w:b w:val="0"/>
          <w:i w:val="0"/>
          <w:color w:val="000000"/>
          <w:sz w:val="24"/>
        </w:rPr>
        <w:t xml:space="preserve">Sackey, O. K., Feng, N., Mohammed, Y. Z., Dzou, C. F., Zheng, D., Zhao, L., &amp; Shen, X. (2025). A comprehensive review on rice responses and tolerance to salt stress. </w:t>
      </w:r>
      <w:r>
        <w:rPr>
          <w:rFonts w:ascii="Times New Roman" w:hAnsi="Times New Roman" w:eastAsia="Times New Roman"/>
          <w:b w:val="0"/>
          <w:i/>
          <w:color w:val="000000"/>
          <w:sz w:val="24"/>
        </w:rPr>
        <w:t>Frontiers in Plant Science</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16</w:t>
      </w:r>
      <w:r>
        <w:rPr>
          <w:rFonts w:ascii="Times New Roman" w:hAnsi="Times New Roman" w:eastAsia="Times New Roman"/>
          <w:b w:val="0"/>
          <w:i w:val="0"/>
          <w:color w:val="000000"/>
          <w:sz w:val="24"/>
        </w:rPr>
        <w:t xml:space="preserve">, Article 1561280. </w:t>
      </w:r>
      <w:hyperlink r:id="rId54">
        <w:r>
          <w:rPr>
            <w:rFonts w:ascii="Times New Roman" w:hAnsi="Times New Roman"/>
            <w:color w:val="000000"/>
            <w:sz w:val="24"/>
          </w:rPr>
          <w:t xml:space="preserve">https:/​/​doi.​org/​10.​3389/​fpls.​2025.​1561280</w:t>
        </w:r>
      </w:hyperlink>
    </w:p>
    <w:p>
      <w:pPr>
        <w:spacing w:before="0" w:after="120" w:line="360" w:lineRule="auto"/>
        <w:ind w:left="720" w:hanging="720"/>
        <w:jc w:val="both"/>
      </w:pPr>
      <w:r>
        <w:rPr>
          <w:rFonts w:ascii="Times New Roman" w:hAnsi="Times New Roman" w:eastAsia="Times New Roman"/>
          <w:b w:val="0"/>
          <w:i w:val="0"/>
          <w:color w:val="000000"/>
          <w:sz w:val="24"/>
        </w:rPr>
        <w:t xml:space="preserve">Sagar, A., Sayyed, R. Z., Ramteke, P. W., Sharma, S., Marraiki, N., Elgorban, A. M., &amp; Syed, A. (2020). ACC deaminase and antioxidant enzymes producing halophilic </w:t>
      </w:r>
      <w:r>
        <w:rPr>
          <w:rFonts w:ascii="Times New Roman" w:hAnsi="Times New Roman" w:eastAsia="Times New Roman"/>
          <w:b w:val="0"/>
          <w:i/>
          <w:color w:val="000000"/>
          <w:sz w:val="24"/>
        </w:rPr>
        <w:t>Enterobacter</w:t>
      </w:r>
      <w:r>
        <w:rPr>
          <w:rFonts w:ascii="Times New Roman" w:hAnsi="Times New Roman" w:eastAsia="Times New Roman"/>
          <w:b w:val="0"/>
          <w:i w:val="0"/>
          <w:color w:val="000000"/>
          <w:sz w:val="24"/>
        </w:rPr>
        <w:t xml:space="preserve"> sp. PR14 promotes the growth of rice and millets under salinity stress. </w:t>
      </w:r>
      <w:r>
        <w:rPr>
          <w:rFonts w:ascii="Times New Roman" w:hAnsi="Times New Roman" w:eastAsia="Times New Roman"/>
          <w:b w:val="0"/>
          <w:i/>
          <w:color w:val="000000"/>
          <w:sz w:val="24"/>
        </w:rPr>
        <w:t>Physiology and Molecular Biology of Plants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26</w:t>
      </w:r>
      <w:r>
        <w:rPr>
          <w:rFonts w:ascii="Times New Roman" w:hAnsi="Times New Roman" w:eastAsia="Times New Roman"/>
          <w:b w:val="0"/>
          <w:i w:val="0"/>
          <w:color w:val="000000"/>
          <w:sz w:val="24"/>
        </w:rPr>
        <w:t xml:space="preserve">(9), 1847–1854. </w:t>
      </w:r>
      <w:hyperlink r:id="rId55">
        <w:r>
          <w:rPr>
            <w:rFonts w:ascii="Times New Roman" w:hAnsi="Times New Roman"/>
            <w:color w:val="000000"/>
            <w:sz w:val="24"/>
          </w:rPr>
          <w:t xml:space="preserve">https:/​/​doi.​org/​10.​1007/​s12298-​020-​00852-​9</w:t>
        </w:r>
      </w:hyperlink>
    </w:p>
    <w:p>
      <w:pPr>
        <w:spacing w:before="0" w:after="120" w:line="360" w:lineRule="auto"/>
        <w:ind w:left="720" w:hanging="720"/>
        <w:jc w:val="both"/>
      </w:pPr>
      <w:r>
        <w:rPr>
          <w:rFonts w:ascii="Times New Roman" w:hAnsi="Times New Roman" w:eastAsia="Times New Roman"/>
          <w:b w:val="0"/>
          <w:i w:val="0"/>
          <w:color w:val="000000"/>
          <w:sz w:val="24"/>
        </w:rPr>
        <w:t xml:space="preserve">Saleem, M. A., Khan, A., Tu, J., Huang, W., Liu, Y., Feng, N., Zheng, D., &amp; Xue, Y. (2025). Salinity stress in rice: Multilayered approaches for sustainable tolerance. </w:t>
      </w:r>
      <w:r>
        <w:rPr>
          <w:rFonts w:ascii="Times New Roman" w:hAnsi="Times New Roman" w:eastAsia="Times New Roman"/>
          <w:b w:val="0"/>
          <w:i/>
          <w:color w:val="000000"/>
          <w:sz w:val="24"/>
        </w:rPr>
        <w:t>International Journal of Molecular Sciences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26</w:t>
      </w:r>
      <w:r>
        <w:rPr>
          <w:rFonts w:ascii="Times New Roman" w:hAnsi="Times New Roman" w:eastAsia="Times New Roman"/>
          <w:b w:val="0"/>
          <w:i w:val="0"/>
          <w:color w:val="000000"/>
          <w:sz w:val="24"/>
        </w:rPr>
        <w:t xml:space="preserve">(13), Article 6025. </w:t>
      </w:r>
      <w:hyperlink r:id="rId56">
        <w:r>
          <w:rPr>
            <w:rFonts w:ascii="Times New Roman" w:hAnsi="Times New Roman"/>
            <w:color w:val="000000"/>
            <w:sz w:val="24"/>
          </w:rPr>
          <w:t xml:space="preserve">https:/​/​doi.​org/​10.​3390/​ijms26136025</w:t>
        </w:r>
      </w:hyperlink>
    </w:p>
    <w:p>
      <w:pPr>
        <w:spacing w:before="0" w:after="120" w:line="360" w:lineRule="auto"/>
        <w:ind w:left="720" w:hanging="720"/>
        <w:jc w:val="both"/>
      </w:pPr>
      <w:r>
        <w:rPr>
          <w:rFonts w:ascii="Times New Roman" w:hAnsi="Times New Roman" w:eastAsia="Times New Roman"/>
          <w:b w:val="0"/>
          <w:i w:val="0"/>
          <w:color w:val="000000"/>
          <w:sz w:val="24"/>
        </w:rPr>
        <w:t xml:space="preserve">Santoyo, G., Moreno-Hagelsieb, G., Orozco-Mosqueda, M. del C., &amp; Glick, B. R. (2016). Plant growth-promoting bacterial endophytes. </w:t>
      </w:r>
      <w:r>
        <w:rPr>
          <w:rFonts w:ascii="Times New Roman" w:hAnsi="Times New Roman" w:eastAsia="Times New Roman"/>
          <w:b w:val="0"/>
          <w:i/>
          <w:color w:val="000000"/>
          <w:sz w:val="24"/>
        </w:rPr>
        <w:t>Microbiological Research</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183</w:t>
      </w:r>
      <w:r>
        <w:rPr>
          <w:rFonts w:ascii="Times New Roman" w:hAnsi="Times New Roman" w:eastAsia="Times New Roman"/>
          <w:b w:val="0"/>
          <w:i w:val="0"/>
          <w:color w:val="000000"/>
          <w:sz w:val="24"/>
        </w:rPr>
        <w:t xml:space="preserve">, 92–99. </w:t>
      </w:r>
      <w:hyperlink r:id="rId57">
        <w:r>
          <w:rPr>
            <w:rFonts w:ascii="Times New Roman" w:hAnsi="Times New Roman"/>
            <w:color w:val="000000"/>
            <w:sz w:val="24"/>
          </w:rPr>
          <w:t xml:space="preserve">https:/​/​doi.​org/​10.​1016/​j.​micres.​2015.​11.​008</w:t>
        </w:r>
      </w:hyperlink>
    </w:p>
    <w:p>
      <w:pPr>
        <w:spacing w:before="0" w:after="120" w:line="360" w:lineRule="auto"/>
        <w:ind w:left="720" w:hanging="720"/>
        <w:jc w:val="both"/>
      </w:pPr>
      <w:r>
        <w:rPr>
          <w:rFonts w:ascii="Times New Roman" w:hAnsi="Times New Roman" w:eastAsia="Times New Roman"/>
          <w:b w:val="0"/>
          <w:i w:val="0"/>
          <w:color w:val="000000"/>
          <w:sz w:val="24"/>
        </w:rPr>
        <w:t xml:space="preserve">Sarkar, A., Ghosh, P. K., Pramanik, K., Mitra, S., Soren, T., Pandey, S., Mondal, M. H., &amp; Maiti, T. K. (2018). A halotolerant </w:t>
      </w:r>
      <w:r>
        <w:rPr>
          <w:rFonts w:ascii="Times New Roman" w:hAnsi="Times New Roman" w:eastAsia="Times New Roman"/>
          <w:b w:val="0"/>
          <w:i/>
          <w:color w:val="000000"/>
          <w:sz w:val="24"/>
        </w:rPr>
        <w:t>Enterobacter</w:t>
      </w:r>
      <w:r>
        <w:rPr>
          <w:rFonts w:ascii="Times New Roman" w:hAnsi="Times New Roman" w:eastAsia="Times New Roman"/>
          <w:b w:val="0"/>
          <w:i w:val="0"/>
          <w:color w:val="000000"/>
          <w:sz w:val="24"/>
        </w:rPr>
        <w:t xml:space="preserve"> sp. displaying ACC deaminase activity promotes rice seedling growth under salt stress. </w:t>
      </w:r>
      <w:r>
        <w:rPr>
          <w:rFonts w:ascii="Times New Roman" w:hAnsi="Times New Roman" w:eastAsia="Times New Roman"/>
          <w:b w:val="0"/>
          <w:i/>
          <w:color w:val="000000"/>
          <w:sz w:val="24"/>
        </w:rPr>
        <w:t>Research in Microbiology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169</w:t>
      </w:r>
      <w:r>
        <w:rPr>
          <w:rFonts w:ascii="Times New Roman" w:hAnsi="Times New Roman" w:eastAsia="Times New Roman"/>
          <w:b w:val="0"/>
          <w:i w:val="0"/>
          <w:color w:val="000000"/>
          <w:sz w:val="24"/>
        </w:rPr>
        <w:t xml:space="preserve">(1), 20–32. </w:t>
      </w:r>
      <w:hyperlink r:id="rId58">
        <w:r>
          <w:rPr>
            <w:rFonts w:ascii="Times New Roman" w:hAnsi="Times New Roman"/>
            <w:color w:val="000000"/>
            <w:sz w:val="24"/>
          </w:rPr>
          <w:t xml:space="preserve">https:/​/​doi.​org/​10.​1016/​j.​resmic.​2017.​08.​005</w:t>
        </w:r>
      </w:hyperlink>
    </w:p>
    <w:p>
      <w:pPr>
        <w:spacing w:before="0" w:after="120" w:line="360" w:lineRule="auto"/>
        <w:ind w:left="720" w:hanging="720"/>
        <w:jc w:val="both"/>
      </w:pPr>
      <w:r>
        <w:rPr>
          <w:rFonts w:ascii="Times New Roman" w:hAnsi="Times New Roman" w:eastAsia="Times New Roman"/>
          <w:b w:val="0"/>
          <w:i w:val="0"/>
          <w:color w:val="000000"/>
          <w:sz w:val="24"/>
        </w:rPr>
        <w:t xml:space="preserve">Seabold, S., &amp; Perktold, J. (2010). Statsmodels: Econometric and statistical modeling with Python. </w:t>
      </w:r>
      <w:r>
        <w:rPr>
          <w:rFonts w:ascii="Times New Roman" w:hAnsi="Times New Roman" w:eastAsia="Times New Roman"/>
          <w:b w:val="0"/>
          <w:i/>
          <w:color w:val="000000"/>
          <w:sz w:val="24"/>
        </w:rPr>
        <w:t>Proceedings of the 9th Python in Science Conference</w:t>
      </w:r>
      <w:r>
        <w:rPr>
          <w:rFonts w:ascii="Times New Roman" w:hAnsi="Times New Roman" w:eastAsia="Times New Roman"/>
          <w:b w:val="0"/>
          <w:i w:val="0"/>
          <w:color w:val="000000"/>
          <w:sz w:val="24"/>
        </w:rPr>
        <w:t xml:space="preserve">, 92–96. </w:t>
      </w:r>
      <w:hyperlink r:id="rId59">
        <w:r>
          <w:rPr>
            <w:rFonts w:ascii="Times New Roman" w:hAnsi="Times New Roman"/>
            <w:color w:val="000000"/>
            <w:sz w:val="24"/>
          </w:rPr>
          <w:t xml:space="preserve">https:/​/​doi.​org/​10.​25080/​Majora-​92bf1922-​011</w:t>
        </w:r>
      </w:hyperlink>
    </w:p>
    <w:p>
      <w:pPr>
        <w:spacing w:before="0" w:after="120" w:line="360" w:lineRule="auto"/>
        <w:ind w:left="720" w:hanging="720"/>
        <w:jc w:val="both"/>
      </w:pPr>
      <w:r>
        <w:rPr>
          <w:rFonts w:ascii="Times New Roman" w:hAnsi="Times New Roman" w:eastAsia="Times New Roman"/>
          <w:b w:val="0"/>
          <w:i w:val="0"/>
          <w:color w:val="000000"/>
          <w:sz w:val="24"/>
        </w:rPr>
        <w:t xml:space="preserve">Shultana, R., Kee Zuan, A. T., Yusop, M. R., &amp; Saud, H. M. (2020). Characterization of salt-tolerant plant growth-promoting rhizobacteria and the effect on growth and yield of saline-affected rice. </w:t>
      </w:r>
      <w:r>
        <w:rPr>
          <w:rFonts w:ascii="Times New Roman" w:hAnsi="Times New Roman" w:eastAsia="Times New Roman"/>
          <w:b w:val="0"/>
          <w:i/>
          <w:color w:val="000000"/>
          <w:sz w:val="24"/>
        </w:rPr>
        <w:t>PLOS ONE</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15</w:t>
      </w:r>
      <w:r>
        <w:rPr>
          <w:rFonts w:ascii="Times New Roman" w:hAnsi="Times New Roman" w:eastAsia="Times New Roman"/>
          <w:b w:val="0"/>
          <w:i w:val="0"/>
          <w:color w:val="000000"/>
          <w:sz w:val="24"/>
        </w:rPr>
        <w:t xml:space="preserve">(9), Article e0238537. </w:t>
      </w:r>
      <w:hyperlink r:id="rId60">
        <w:r>
          <w:rPr>
            <w:rFonts w:ascii="Times New Roman" w:hAnsi="Times New Roman"/>
            <w:color w:val="000000"/>
            <w:sz w:val="24"/>
          </w:rPr>
          <w:t xml:space="preserve">https:/​/​doi.​org/​10.​1371/​journal.​pone.​0238537</w:t>
        </w:r>
      </w:hyperlink>
    </w:p>
    <w:p>
      <w:pPr>
        <w:spacing w:before="0" w:after="120" w:line="360" w:lineRule="auto"/>
        <w:ind w:left="720" w:hanging="720"/>
        <w:jc w:val="both"/>
      </w:pPr>
      <w:r>
        <w:rPr>
          <w:rFonts w:ascii="Times New Roman" w:hAnsi="Times New Roman" w:eastAsia="Times New Roman"/>
          <w:b w:val="0"/>
          <w:i w:val="0"/>
          <w:color w:val="000000"/>
          <w:sz w:val="24"/>
        </w:rPr>
        <w:t xml:space="preserve">Siddika, A., Rashid, A. A., Khan, S. N., Khatun, A., Karim, M. M., Prasad, P. V. V., &amp; Hasanuzzaman, M. (2024). Harnessing plant growth-promoting rhizobacteria, </w:t>
      </w:r>
      <w:r>
        <w:rPr>
          <w:rFonts w:ascii="Times New Roman" w:hAnsi="Times New Roman" w:eastAsia="Times New Roman"/>
          <w:b w:val="0"/>
          <w:i/>
          <w:color w:val="000000"/>
          <w:sz w:val="24"/>
        </w:rPr>
        <w:t>Bacillus subtilis</w:t>
      </w:r>
      <w:r>
        <w:rPr>
          <w:rFonts w:ascii="Times New Roman" w:hAnsi="Times New Roman" w:eastAsia="Times New Roman"/>
          <w:b w:val="0"/>
          <w:i w:val="0"/>
          <w:color w:val="000000"/>
          <w:sz w:val="24"/>
        </w:rPr>
        <w:t xml:space="preserve"> and </w:t>
      </w:r>
      <w:r>
        <w:rPr>
          <w:rFonts w:ascii="Times New Roman" w:hAnsi="Times New Roman" w:eastAsia="Times New Roman"/>
          <w:b w:val="0"/>
          <w:i/>
          <w:color w:val="000000"/>
          <w:sz w:val="24"/>
        </w:rPr>
        <w:t>B. aryabhattai</w:t>
      </w:r>
      <w:r>
        <w:rPr>
          <w:rFonts w:ascii="Times New Roman" w:hAnsi="Times New Roman" w:eastAsia="Times New Roman"/>
          <w:b w:val="0"/>
          <w:i w:val="0"/>
          <w:color w:val="000000"/>
          <w:sz w:val="24"/>
        </w:rPr>
        <w:t xml:space="preserve"> to combat salt stress in rice: A study on the regulation of antioxidant defense, ion homeostasis, and photosynthetic parameters. </w:t>
      </w:r>
      <w:r>
        <w:rPr>
          <w:rFonts w:ascii="Times New Roman" w:hAnsi="Times New Roman" w:eastAsia="Times New Roman"/>
          <w:b w:val="0"/>
          <w:i/>
          <w:color w:val="000000"/>
          <w:sz w:val="24"/>
        </w:rPr>
        <w:t>Frontiers in Plant Science</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15</w:t>
      </w:r>
      <w:r>
        <w:rPr>
          <w:rFonts w:ascii="Times New Roman" w:hAnsi="Times New Roman" w:eastAsia="Times New Roman"/>
          <w:b w:val="0"/>
          <w:i w:val="0"/>
          <w:color w:val="000000"/>
          <w:sz w:val="24"/>
        </w:rPr>
        <w:t xml:space="preserve">, Article 1419764. </w:t>
      </w:r>
      <w:hyperlink r:id="rId61">
        <w:r>
          <w:rPr>
            <w:rFonts w:ascii="Times New Roman" w:hAnsi="Times New Roman"/>
            <w:color w:val="000000"/>
            <w:sz w:val="24"/>
          </w:rPr>
          <w:t xml:space="preserve">https:/​/​doi.​org/​10.​3389/​fpls.​2024.​1419764</w:t>
        </w:r>
      </w:hyperlink>
    </w:p>
    <w:p>
      <w:pPr>
        <w:spacing w:before="0" w:after="120" w:line="360" w:lineRule="auto"/>
        <w:ind w:left="720" w:hanging="720"/>
        <w:jc w:val="both"/>
      </w:pPr>
      <w:r>
        <w:rPr>
          <w:rFonts w:ascii="Times New Roman" w:hAnsi="Times New Roman" w:eastAsia="Times New Roman"/>
          <w:b w:val="0"/>
          <w:i w:val="0"/>
          <w:color w:val="000000"/>
          <w:sz w:val="24"/>
        </w:rPr>
        <w:t xml:space="preserve">Singh, R. K., Kota, S., &amp; Flowers, T. J. (2021). Salt tolerance in rice: Seedling and reproductive stage QTL mapping come of age. </w:t>
      </w:r>
      <w:r>
        <w:rPr>
          <w:rFonts w:ascii="Times New Roman" w:hAnsi="Times New Roman" w:eastAsia="Times New Roman"/>
          <w:b w:val="0"/>
          <w:i/>
          <w:color w:val="000000"/>
          <w:sz w:val="24"/>
        </w:rPr>
        <w:t>Theoretical and Applied Genetics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134</w:t>
      </w:r>
      <w:r>
        <w:rPr>
          <w:rFonts w:ascii="Times New Roman" w:hAnsi="Times New Roman" w:eastAsia="Times New Roman"/>
          <w:b w:val="0"/>
          <w:i w:val="0"/>
          <w:color w:val="000000"/>
          <w:sz w:val="24"/>
        </w:rPr>
        <w:t xml:space="preserve">(11), 3495–3533. </w:t>
      </w:r>
      <w:hyperlink r:id="rId62">
        <w:r>
          <w:rPr>
            <w:rFonts w:ascii="Times New Roman" w:hAnsi="Times New Roman"/>
            <w:color w:val="000000"/>
            <w:sz w:val="24"/>
          </w:rPr>
          <w:t xml:space="preserve">https:/​/​doi.​org/​10.​1007/​s00122-​021-​03890-​3</w:t>
        </w:r>
      </w:hyperlink>
    </w:p>
    <w:p>
      <w:pPr>
        <w:spacing w:before="0" w:after="120" w:line="360" w:lineRule="auto"/>
        <w:ind w:left="720" w:hanging="720"/>
        <w:jc w:val="both"/>
      </w:pPr>
      <w:r>
        <w:rPr>
          <w:rFonts w:ascii="Times New Roman" w:hAnsi="Times New Roman" w:eastAsia="Times New Roman"/>
          <w:b w:val="0"/>
          <w:i w:val="0"/>
          <w:color w:val="000000"/>
          <w:sz w:val="24"/>
        </w:rPr>
        <w:t xml:space="preserve">Singleton, V. L., &amp; Rossi, J. A. (1965). Colorimetry of total phenolics with phosphomolybdic-phosphotungstic acid reagents. </w:t>
      </w:r>
      <w:r>
        <w:rPr>
          <w:rFonts w:ascii="Times New Roman" w:hAnsi="Times New Roman" w:eastAsia="Times New Roman"/>
          <w:b w:val="0"/>
          <w:i/>
          <w:color w:val="000000"/>
          <w:sz w:val="24"/>
        </w:rPr>
        <w:t>American Journal of Enology and Viticulture</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16</w:t>
      </w:r>
      <w:r>
        <w:rPr>
          <w:rFonts w:ascii="Times New Roman" w:hAnsi="Times New Roman" w:eastAsia="Times New Roman"/>
          <w:b w:val="0"/>
          <w:i w:val="0"/>
          <w:color w:val="000000"/>
          <w:sz w:val="24"/>
        </w:rPr>
        <w:t xml:space="preserve">(3), 144–158. </w:t>
      </w:r>
      <w:hyperlink r:id="rId63">
        <w:r>
          <w:rPr>
            <w:rFonts w:ascii="Times New Roman" w:hAnsi="Times New Roman"/>
            <w:color w:val="000000"/>
            <w:sz w:val="24"/>
          </w:rPr>
          <w:t xml:space="preserve">https:/​/​doi.​org/​10.​5344/​ajev.​1965.​16.​3.​144</w:t>
        </w:r>
      </w:hyperlink>
    </w:p>
    <w:p>
      <w:pPr>
        <w:spacing w:before="0" w:after="120" w:line="360" w:lineRule="auto"/>
        <w:ind w:left="720" w:hanging="720"/>
        <w:jc w:val="both"/>
      </w:pPr>
      <w:r>
        <w:rPr>
          <w:rFonts w:ascii="Times New Roman" w:hAnsi="Times New Roman" w:eastAsia="Times New Roman"/>
          <w:b w:val="0"/>
          <w:i w:val="0"/>
          <w:color w:val="000000"/>
          <w:sz w:val="24"/>
        </w:rPr>
        <w:t xml:space="preserve">Sun, L., Lei, P., Wang, Q., Ma, J., Zhan, Y., Jiang, K., Xu, Z., &amp; Xu, H. (2020). The endophyte </w:t>
      </w:r>
      <w:r>
        <w:rPr>
          <w:rFonts w:ascii="Times New Roman" w:hAnsi="Times New Roman" w:eastAsia="Times New Roman"/>
          <w:b w:val="0"/>
          <w:i/>
          <w:color w:val="000000"/>
          <w:sz w:val="24"/>
        </w:rPr>
        <w:t>Pantoea alhagi</w:t>
      </w:r>
      <w:r>
        <w:rPr>
          <w:rFonts w:ascii="Times New Roman" w:hAnsi="Times New Roman" w:eastAsia="Times New Roman"/>
          <w:b w:val="0"/>
          <w:i w:val="0"/>
          <w:color w:val="000000"/>
          <w:sz w:val="24"/>
        </w:rPr>
        <w:t xml:space="preserve"> NX-11 alleviates salt stress damage to rice seedlings by secreting exopolysaccharides. </w:t>
      </w:r>
      <w:r>
        <w:rPr>
          <w:rFonts w:ascii="Times New Roman" w:hAnsi="Times New Roman" w:eastAsia="Times New Roman"/>
          <w:b w:val="0"/>
          <w:i/>
          <w:color w:val="000000"/>
          <w:sz w:val="24"/>
        </w:rPr>
        <w:t>Frontiers in Microbiology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10</w:t>
      </w:r>
      <w:r>
        <w:rPr>
          <w:rFonts w:ascii="Times New Roman" w:hAnsi="Times New Roman" w:eastAsia="Times New Roman"/>
          <w:b w:val="0"/>
          <w:i w:val="0"/>
          <w:color w:val="000000"/>
          <w:sz w:val="24"/>
        </w:rPr>
        <w:t xml:space="preserve">, Article 3112. </w:t>
      </w:r>
      <w:hyperlink r:id="rId64">
        <w:r>
          <w:rPr>
            <w:rFonts w:ascii="Times New Roman" w:hAnsi="Times New Roman"/>
            <w:color w:val="000000"/>
            <w:sz w:val="24"/>
          </w:rPr>
          <w:t xml:space="preserve">https:/​/​doi.​org/​10.​3389/​fmicb.​2019.​03112</w:t>
        </w:r>
      </w:hyperlink>
    </w:p>
    <w:p>
      <w:pPr>
        <w:spacing w:before="0" w:after="120" w:line="360" w:lineRule="auto"/>
        <w:ind w:left="720" w:hanging="720"/>
        <w:jc w:val="both"/>
      </w:pPr>
      <w:r>
        <w:rPr>
          <w:rFonts w:ascii="Times New Roman" w:hAnsi="Times New Roman" w:eastAsia="Times New Roman"/>
          <w:b w:val="0"/>
          <w:i w:val="0"/>
          <w:color w:val="000000"/>
          <w:sz w:val="24"/>
        </w:rPr>
        <w:t xml:space="preserve">Tukey, J. W. (1949). Comparing individual means in the analysis of variance. </w:t>
      </w:r>
      <w:r>
        <w:rPr>
          <w:rFonts w:ascii="Times New Roman" w:hAnsi="Times New Roman" w:eastAsia="Times New Roman"/>
          <w:b w:val="0"/>
          <w:i/>
          <w:color w:val="000000"/>
          <w:sz w:val="24"/>
        </w:rPr>
        <w:t>Biometrics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5</w:t>
      </w:r>
      <w:r>
        <w:rPr>
          <w:rFonts w:ascii="Times New Roman" w:hAnsi="Times New Roman" w:eastAsia="Times New Roman"/>
          <w:b w:val="0"/>
          <w:i w:val="0"/>
          <w:color w:val="000000"/>
          <w:sz w:val="24"/>
        </w:rPr>
        <w:t xml:space="preserve">(2), 99–114. </w:t>
      </w:r>
      <w:hyperlink r:id="rId65">
        <w:r>
          <w:rPr>
            <w:rFonts w:ascii="Times New Roman" w:hAnsi="Times New Roman"/>
            <w:color w:val="000000"/>
            <w:sz w:val="24"/>
          </w:rPr>
          <w:t xml:space="preserve">https:/​/​doi.​org/​10.​2307/​3001913</w:t>
        </w:r>
      </w:hyperlink>
    </w:p>
    <w:p>
      <w:pPr>
        <w:spacing w:before="0" w:after="120" w:line="360" w:lineRule="auto"/>
        <w:ind w:left="720" w:hanging="720"/>
        <w:jc w:val="both"/>
      </w:pPr>
      <w:r>
        <w:rPr>
          <w:rFonts w:ascii="Times New Roman" w:hAnsi="Times New Roman" w:eastAsia="Times New Roman"/>
          <w:b w:val="0"/>
          <w:i w:val="0"/>
          <w:color w:val="000000"/>
          <w:sz w:val="24"/>
        </w:rPr>
        <w:t xml:space="preserve">van Zelm, E., Zhang, Y., &amp; Testerink, C. (2020). Salt tolerance mechanisms of plants. </w:t>
      </w:r>
      <w:r>
        <w:rPr>
          <w:rFonts w:ascii="Times New Roman" w:hAnsi="Times New Roman" w:eastAsia="Times New Roman"/>
          <w:b w:val="0"/>
          <w:i/>
          <w:color w:val="000000"/>
          <w:sz w:val="24"/>
        </w:rPr>
        <w:t>Annual Review of Plant Biology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71</w:t>
      </w:r>
      <w:r>
        <w:rPr>
          <w:rFonts w:ascii="Times New Roman" w:hAnsi="Times New Roman" w:eastAsia="Times New Roman"/>
          <w:b w:val="0"/>
          <w:i w:val="0"/>
          <w:color w:val="000000"/>
          <w:sz w:val="24"/>
        </w:rPr>
        <w:t xml:space="preserve">, 403–433. </w:t>
      </w:r>
      <w:hyperlink r:id="rId66">
        <w:r>
          <w:rPr>
            <w:rFonts w:ascii="Times New Roman" w:hAnsi="Times New Roman"/>
            <w:color w:val="000000"/>
            <w:sz w:val="24"/>
          </w:rPr>
          <w:t xml:space="preserve">https:/​/​doi.​org/​10.​1146/​annurev-​arplant-​050718-​100005</w:t>
        </w:r>
      </w:hyperlink>
    </w:p>
    <w:p>
      <w:pPr>
        <w:spacing w:before="0" w:after="120" w:line="360" w:lineRule="auto"/>
        <w:ind w:left="720" w:hanging="720"/>
        <w:jc w:val="both"/>
      </w:pPr>
      <w:r>
        <w:rPr>
          <w:rFonts w:ascii="Times New Roman" w:hAnsi="Times New Roman" w:eastAsia="Times New Roman"/>
          <w:b w:val="0"/>
          <w:i w:val="0"/>
          <w:color w:val="000000"/>
          <w:sz w:val="24"/>
        </w:rPr>
        <w:t xml:space="preserve">Virtanen, P., Gommers, R., Oliphant, T. E., Haberland, M., Reddy, T., Cournapeau, D., Burovski, E., Peterson, P., Weckesser, W., Bright, J., van der Walt, S. J., Brett, M., Wilson, J., Millman, K. J., Mayorov, N., Nelson, A. R. J., Jones, E., Kern, R., Larson, E., . . . van Mulbregt, P. (2020). SciPy 1.0: Fundamental algorithms for scientific computing in Python. </w:t>
      </w:r>
      <w:r>
        <w:rPr>
          <w:rFonts w:ascii="Times New Roman" w:hAnsi="Times New Roman" w:eastAsia="Times New Roman"/>
          <w:b w:val="0"/>
          <w:i/>
          <w:color w:val="000000"/>
          <w:sz w:val="24"/>
        </w:rPr>
        <w:t>Nature Methods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17</w:t>
      </w:r>
      <w:r>
        <w:rPr>
          <w:rFonts w:ascii="Times New Roman" w:hAnsi="Times New Roman" w:eastAsia="Times New Roman"/>
          <w:b w:val="0"/>
          <w:i w:val="0"/>
          <w:color w:val="000000"/>
          <w:sz w:val="24"/>
        </w:rPr>
        <w:t xml:space="preserve">(3), 261–272. </w:t>
      </w:r>
      <w:hyperlink r:id="rId67">
        <w:r>
          <w:rPr>
            <w:rFonts w:ascii="Times New Roman" w:hAnsi="Times New Roman"/>
            <w:color w:val="000000"/>
            <w:sz w:val="24"/>
          </w:rPr>
          <w:t xml:space="preserve">https:/​/​doi.​org/​10.​1038/​s41592-​019-​0686-​2</w:t>
        </w:r>
      </w:hyperlink>
    </w:p>
    <w:p>
      <w:pPr>
        <w:spacing w:before="0" w:after="120" w:line="360" w:lineRule="auto"/>
        <w:ind w:left="720" w:hanging="720"/>
        <w:jc w:val="both"/>
      </w:pPr>
      <w:r>
        <w:rPr>
          <w:rFonts w:ascii="Times New Roman" w:hAnsi="Times New Roman" w:eastAsia="Times New Roman"/>
          <w:b w:val="0"/>
          <w:i w:val="0"/>
          <w:color w:val="000000"/>
          <w:sz w:val="24"/>
        </w:rPr>
        <w:t xml:space="preserve">Walitang, D. I., Kim, K., Madhaiyan, M., Kim, Y. K., Kang, Y., &amp; Sa, T. (2017). Characterizing endophytic competence and plant growth promotion of bacterial endophytes inhabiting the seed endosphere of rice. </w:t>
      </w:r>
      <w:r>
        <w:rPr>
          <w:rFonts w:ascii="Times New Roman" w:hAnsi="Times New Roman" w:eastAsia="Times New Roman"/>
          <w:b w:val="0"/>
          <w:i/>
          <w:color w:val="000000"/>
          <w:sz w:val="24"/>
        </w:rPr>
        <w:t>BMC Microbiology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17</w:t>
      </w:r>
      <w:r>
        <w:rPr>
          <w:rFonts w:ascii="Times New Roman" w:hAnsi="Times New Roman" w:eastAsia="Times New Roman"/>
          <w:b w:val="0"/>
          <w:i w:val="0"/>
          <w:color w:val="000000"/>
          <w:sz w:val="24"/>
        </w:rPr>
        <w:t xml:space="preserve">(1), Article 209. </w:t>
      </w:r>
      <w:hyperlink r:id="rId68">
        <w:r>
          <w:rPr>
            <w:rFonts w:ascii="Times New Roman" w:hAnsi="Times New Roman"/>
            <w:color w:val="000000"/>
            <w:sz w:val="24"/>
          </w:rPr>
          <w:t xml:space="preserve">https:/​/​doi.​org/​10.​1186/​s12866-​017-​1117-​0</w:t>
        </w:r>
      </w:hyperlink>
    </w:p>
    <w:p>
      <w:pPr>
        <w:spacing w:before="0" w:after="120" w:line="360" w:lineRule="auto"/>
        <w:ind w:left="720" w:hanging="720"/>
        <w:jc w:val="both"/>
      </w:pPr>
      <w:r>
        <w:rPr>
          <w:rFonts w:ascii="Times New Roman" w:hAnsi="Times New Roman" w:eastAsia="Times New Roman"/>
          <w:b w:val="0"/>
          <w:i w:val="0"/>
          <w:color w:val="000000"/>
          <w:sz w:val="24"/>
        </w:rPr>
        <w:t xml:space="preserve">Walitang, D. I., Kim, C. G., Kim, K., Kang, Y., Kim, Y. K., &amp; Sa, T. (2018). The influence of host genotype and salt stress on the seed endophytic community of salt-sensitive and salt-tolerant rice cultivars. </w:t>
      </w:r>
      <w:r>
        <w:rPr>
          <w:rFonts w:ascii="Times New Roman" w:hAnsi="Times New Roman" w:eastAsia="Times New Roman"/>
          <w:b w:val="0"/>
          <w:i/>
          <w:color w:val="000000"/>
          <w:sz w:val="24"/>
        </w:rPr>
        <w:t>BMC Plant Biology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18</w:t>
      </w:r>
      <w:r>
        <w:rPr>
          <w:rFonts w:ascii="Times New Roman" w:hAnsi="Times New Roman" w:eastAsia="Times New Roman"/>
          <w:b w:val="0"/>
          <w:i w:val="0"/>
          <w:color w:val="000000"/>
          <w:sz w:val="24"/>
        </w:rPr>
        <w:t xml:space="preserve">(1), Article 51. </w:t>
      </w:r>
      <w:hyperlink r:id="rId69">
        <w:r>
          <w:rPr>
            <w:rFonts w:ascii="Times New Roman" w:hAnsi="Times New Roman"/>
            <w:color w:val="000000"/>
            <w:sz w:val="24"/>
          </w:rPr>
          <w:t xml:space="preserve">https:/​/​doi.​org/​10.​1186/​s12870-​018-​1261-​1</w:t>
        </w:r>
      </w:hyperlink>
    </w:p>
    <w:p>
      <w:pPr>
        <w:spacing w:before="0" w:after="120" w:line="360" w:lineRule="auto"/>
        <w:ind w:left="720" w:hanging="720"/>
        <w:jc w:val="both"/>
      </w:pPr>
      <w:r>
        <w:rPr>
          <w:rFonts w:ascii="Times New Roman" w:hAnsi="Times New Roman" w:eastAsia="Times New Roman"/>
          <w:b w:val="0"/>
          <w:i w:val="0"/>
          <w:color w:val="000000"/>
          <w:sz w:val="24"/>
        </w:rPr>
        <w:t xml:space="preserve">Wang, J., Gao, X., Yang, M., Zhang, Y., &amp; Chen, Y. (2025). Alleviative effects of plant growth-promoting rhizobacteria on salt-stressed rice seedlings: Mechanisms mediated by rhizosphere microbiota and root exudates. </w:t>
      </w:r>
      <w:r>
        <w:rPr>
          <w:rFonts w:ascii="Times New Roman" w:hAnsi="Times New Roman" w:eastAsia="Times New Roman"/>
          <w:b w:val="0"/>
          <w:i/>
          <w:color w:val="000000"/>
          <w:sz w:val="24"/>
        </w:rPr>
        <w:t>Frontiers in Plant Science</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16</w:t>
      </w:r>
      <w:r>
        <w:rPr>
          <w:rFonts w:ascii="Times New Roman" w:hAnsi="Times New Roman" w:eastAsia="Times New Roman"/>
          <w:b w:val="0"/>
          <w:i w:val="0"/>
          <w:color w:val="000000"/>
          <w:sz w:val="24"/>
        </w:rPr>
        <w:t xml:space="preserve">, Article 1661074. </w:t>
      </w:r>
      <w:hyperlink r:id="rId70">
        <w:r>
          <w:rPr>
            <w:rFonts w:ascii="Times New Roman" w:hAnsi="Times New Roman"/>
            <w:color w:val="000000"/>
            <w:sz w:val="24"/>
          </w:rPr>
          <w:t xml:space="preserve">https:/​/​doi.​org/​10.​3389/​fpls.​2025.​1661074</w:t>
        </w:r>
      </w:hyperlink>
    </w:p>
    <w:p>
      <w:pPr>
        <w:spacing w:before="0" w:after="120" w:line="360" w:lineRule="auto"/>
        <w:ind w:left="720" w:hanging="720"/>
        <w:jc w:val="both"/>
      </w:pPr>
      <w:r>
        <w:rPr>
          <w:rFonts w:ascii="Times New Roman" w:hAnsi="Times New Roman" w:eastAsia="Times New Roman"/>
          <w:b w:val="0"/>
          <w:i w:val="0"/>
          <w:color w:val="000000"/>
          <w:sz w:val="24"/>
        </w:rPr>
        <w:t xml:space="preserve">Yemm, E. W., &amp; Willis, A. J. (1954). The estimation of carbohydrates in plant extracts by anthrone. </w:t>
      </w:r>
      <w:r>
        <w:rPr>
          <w:rFonts w:ascii="Times New Roman" w:hAnsi="Times New Roman" w:eastAsia="Times New Roman"/>
          <w:b w:val="0"/>
          <w:i/>
          <w:color w:val="000000"/>
          <w:sz w:val="24"/>
        </w:rPr>
        <w:t>Biochemical Journal</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57</w:t>
      </w:r>
      <w:r>
        <w:rPr>
          <w:rFonts w:ascii="Times New Roman" w:hAnsi="Times New Roman" w:eastAsia="Times New Roman"/>
          <w:b w:val="0"/>
          <w:i w:val="0"/>
          <w:color w:val="000000"/>
          <w:sz w:val="24"/>
        </w:rPr>
        <w:t xml:space="preserve">(3), 508–514. </w:t>
      </w:r>
      <w:hyperlink r:id="rId71">
        <w:r>
          <w:rPr>
            <w:rFonts w:ascii="Times New Roman" w:hAnsi="Times New Roman"/>
            <w:color w:val="000000"/>
            <w:sz w:val="24"/>
          </w:rPr>
          <w:t xml:space="preserve">https:/​/​doi.​org/​10.​1042/​bj0570508</w:t>
        </w:r>
      </w:hyperlink>
    </w:p>
    <w:p>
      <w:pPr>
        <w:spacing w:before="0" w:after="120" w:line="360" w:lineRule="auto"/>
        <w:ind w:left="720" w:hanging="720"/>
        <w:jc w:val="both"/>
      </w:pPr>
      <w:r>
        <w:rPr>
          <w:rFonts w:ascii="Times New Roman" w:hAnsi="Times New Roman" w:eastAsia="Times New Roman"/>
          <w:b w:val="0"/>
          <w:i w:val="0"/>
          <w:color w:val="000000"/>
          <w:sz w:val="24"/>
        </w:rPr>
        <w:t xml:space="preserve">Zamanzadeh-Nasrabadi, S. M., Mohammadiapanah, F., Hosseini-Mazinani, M., &amp; Sarikhan, S. (2023). Salinity stress endurance of the plants with the aid of bacterial genes. </w:t>
      </w:r>
      <w:r>
        <w:rPr>
          <w:rFonts w:ascii="Times New Roman" w:hAnsi="Times New Roman" w:eastAsia="Times New Roman"/>
          <w:b w:val="0"/>
          <w:i/>
          <w:color w:val="000000"/>
          <w:sz w:val="24"/>
        </w:rPr>
        <w:t>Frontiers in Genetics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14</w:t>
      </w:r>
      <w:r>
        <w:rPr>
          <w:rFonts w:ascii="Times New Roman" w:hAnsi="Times New Roman" w:eastAsia="Times New Roman"/>
          <w:b w:val="0"/>
          <w:i w:val="0"/>
          <w:color w:val="000000"/>
          <w:sz w:val="24"/>
        </w:rPr>
        <w:t xml:space="preserve">, Article 1049608. </w:t>
      </w:r>
      <w:hyperlink r:id="rId72">
        <w:r>
          <w:rPr>
            <w:rFonts w:ascii="Times New Roman" w:hAnsi="Times New Roman"/>
            <w:color w:val="000000"/>
            <w:sz w:val="24"/>
          </w:rPr>
          <w:t xml:space="preserve">https:/​/​doi.​org/​10.​3389/​fgene.​2023.​1049608</w:t>
        </w:r>
      </w:hyperlink>
    </w:p>
    <w:p>
      <w:pPr>
        <w:spacing w:before="0" w:after="120" w:line="360" w:lineRule="auto"/>
        <w:ind w:left="720" w:hanging="720"/>
        <w:jc w:val="both"/>
      </w:pPr>
      <w:r>
        <w:rPr>
          <w:rFonts w:ascii="Times New Roman" w:hAnsi="Times New Roman" w:eastAsia="Times New Roman"/>
          <w:b w:val="0"/>
          <w:i w:val="0"/>
          <w:color w:val="000000"/>
          <w:sz w:val="24"/>
        </w:rPr>
        <w:t xml:space="preserve">Zhu, J.-K. (2016). Abiotic stress signaling and responses in plants. </w:t>
      </w:r>
      <w:r>
        <w:rPr>
          <w:rFonts w:ascii="Times New Roman" w:hAnsi="Times New Roman" w:eastAsia="Times New Roman"/>
          <w:b w:val="0"/>
          <w:i/>
          <w:color w:val="000000"/>
          <w:sz w:val="24"/>
        </w:rPr>
        <w:t>Cell</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167</w:t>
      </w:r>
      <w:r>
        <w:rPr>
          <w:rFonts w:ascii="Times New Roman" w:hAnsi="Times New Roman" w:eastAsia="Times New Roman"/>
          <w:b w:val="0"/>
          <w:i w:val="0"/>
          <w:color w:val="000000"/>
          <w:sz w:val="24"/>
        </w:rPr>
        <w:t xml:space="preserve">(2), 313–324. </w:t>
      </w:r>
      <w:hyperlink r:id="rId73">
        <w:r>
          <w:rPr>
            <w:rFonts w:ascii="Times New Roman" w:hAnsi="Times New Roman"/>
            <w:color w:val="000000"/>
            <w:sz w:val="24"/>
          </w:rPr>
          <w:t xml:space="preserve">https:/​/​doi.​org/​10.​1016/​j.​cell.​2016.​08.​029</w:t>
        </w:r>
      </w:hyperlink>
    </w:p>
    <w:sectPr w:rsidR="00FC693F" w:rsidRPr="0006063C" w:rsidSect="00034616">
      <w:pgSz w:w="11906" w:h="16838"/>
      <w:pgMar w:top="1440" w:right="1440" w:bottom="1440" w:left="1440" w:header="720" w:footer="720" w:gutter="0"/>
      <w:cols w:space="720"/>
      <w:docGrid w:linePitch="360"/>
      <w:lnNumType w:countBy="1" w:restart="continuous" w:distance="283"/>
      <w:lnNumType w:countBy="1" w:restart="continuous" w:distance="283"/>
      <w:lnNumType w:countBy="1" w:restart="continuous" w:distance="283"/>
      <w:lnNumType w:countBy="1" w:restart="continuous" w:distance="283"/>
      <w:lnNumType w:countBy="1" w:restart="continuous" w:distance="2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doi.org/10.2135/cropsci1973.0011183X001300060013x" TargetMode="External"/><Relationship Id="rId17" Type="http://schemas.openxmlformats.org/officeDocument/2006/relationships/hyperlink" Target="https://doi.org/10.1016/j.micres.2019.02.001" TargetMode="External"/><Relationship Id="rId18" Type="http://schemas.openxmlformats.org/officeDocument/2006/relationships/hyperlink" Target="https://doi.org/10.3389/fpls.2022.994902" TargetMode="External"/><Relationship Id="rId19" Type="http://schemas.openxmlformats.org/officeDocument/2006/relationships/hyperlink" Target="https://doi.org/10.1104/pp.24.1.1" TargetMode="External"/><Relationship Id="rId20" Type="http://schemas.openxmlformats.org/officeDocument/2006/relationships/hyperlink" Target="https://doi.org/10.1016/j.jare.2020.07.003" TargetMode="External"/><Relationship Id="rId21" Type="http://schemas.openxmlformats.org/officeDocument/2006/relationships/hyperlink" Target="https://doi.org/10.1186/s12870-023-04517-z" TargetMode="External"/><Relationship Id="rId22" Type="http://schemas.openxmlformats.org/officeDocument/2006/relationships/hyperlink" Target="https://doi.org/10.3389/fenvs.2022.935785" TargetMode="External"/><Relationship Id="rId23" Type="http://schemas.openxmlformats.org/officeDocument/2006/relationships/hyperlink" Target="https://doi.org/10.1016/j.chemosphere.2023.141071" TargetMode="External"/><Relationship Id="rId24" Type="http://schemas.openxmlformats.org/officeDocument/2006/relationships/hyperlink" Target="https://doi.org/10.1016/S0023-6438(95)80008-5" TargetMode="External"/><Relationship Id="rId25" Type="http://schemas.openxmlformats.org/officeDocument/2006/relationships/hyperlink" Target="https://doi.org/10.1016/j.jare.2019.03.004" TargetMode="External"/><Relationship Id="rId26" Type="http://schemas.openxmlformats.org/officeDocument/2006/relationships/hyperlink" Target="https://doi.org/10.1016/j.envexpbot.2020.104124" TargetMode="External"/><Relationship Id="rId27" Type="http://schemas.openxmlformats.org/officeDocument/2006/relationships/hyperlink" Target="https://doi.org/10.1016/j.ecoenv.2018.03.013" TargetMode="External"/><Relationship Id="rId28" Type="http://schemas.openxmlformats.org/officeDocument/2006/relationships/hyperlink" Target="https://doi.org/10.1007/s11103-021-01219-8" TargetMode="External"/><Relationship Id="rId29" Type="http://schemas.openxmlformats.org/officeDocument/2006/relationships/hyperlink" Target="https://doi.org/10.1016/j.plaphy.2010.08.016" TargetMode="External"/><Relationship Id="rId30" Type="http://schemas.openxmlformats.org/officeDocument/2006/relationships/hyperlink" Target="https://doi.org/10.6064/2012/963401" TargetMode="External"/><Relationship Id="rId31" Type="http://schemas.openxmlformats.org/officeDocument/2006/relationships/hyperlink" Target="https://doi.org/10.1016/j.micres.2013.09.009" TargetMode="External"/><Relationship Id="rId32" Type="http://schemas.openxmlformats.org/officeDocument/2006/relationships/hyperlink" Target="https://doi.org/10.1007/s00204-020-02689-3" TargetMode="External"/><Relationship Id="rId33" Type="http://schemas.openxmlformats.org/officeDocument/2006/relationships/hyperlink" Target="https://doi.org/10.3389/fpls.2022.1060287" TargetMode="External"/><Relationship Id="rId34" Type="http://schemas.openxmlformats.org/officeDocument/2006/relationships/hyperlink" Target="https://doi.org/10.1128/MMBR.00050-14" TargetMode="External"/><Relationship Id="rId35" Type="http://schemas.openxmlformats.org/officeDocument/2006/relationships/hyperlink" Target="https://doi.org/10.1139/b79-163" TargetMode="External"/><Relationship Id="rId36" Type="http://schemas.openxmlformats.org/officeDocument/2006/relationships/hyperlink" Target="https://doi.org/10.3389/fpls.2017.01768" TargetMode="External"/><Relationship Id="rId37" Type="http://schemas.openxmlformats.org/officeDocument/2006/relationships/hyperlink" Target="https://doi.org/10.1146/annurev-arplant-042916-040936" TargetMode="External"/><Relationship Id="rId38" Type="http://schemas.openxmlformats.org/officeDocument/2006/relationships/hyperlink" Target="https://doi.org/10.1098/rsta.2015.0202" TargetMode="External"/><Relationship Id="rId39" Type="http://schemas.openxmlformats.org/officeDocument/2006/relationships/hyperlink" Target="https://doi.org/10.1016/j.micres.2022.127256" TargetMode="External"/><Relationship Id="rId40" Type="http://schemas.openxmlformats.org/officeDocument/2006/relationships/hyperlink" Target="https://doi.org/10.3389/fpls.2021.665590" TargetMode="External"/><Relationship Id="rId41" Type="http://schemas.openxmlformats.org/officeDocument/2006/relationships/hyperlink" Target="https://doi.org/10.3389/fmicb.2022.958522" TargetMode="External"/><Relationship Id="rId42" Type="http://schemas.openxmlformats.org/officeDocument/2006/relationships/hyperlink" Target="https://doi.org/10.1080/00031305.1992.10475872" TargetMode="External"/><Relationship Id="rId43" Type="http://schemas.openxmlformats.org/officeDocument/2006/relationships/hyperlink" Target="https://doi.org/10.1016/0076-6879(87)48036-1" TargetMode="External"/><Relationship Id="rId44" Type="http://schemas.openxmlformats.org/officeDocument/2006/relationships/hyperlink" Target="https://doi.org/10.1016/j.apsoil.2023.105011" TargetMode="External"/><Relationship Id="rId45" Type="http://schemas.openxmlformats.org/officeDocument/2006/relationships/hyperlink" Target="https://doi.org/10.1016/S0021-9258(19)52451-6" TargetMode="External"/><Relationship Id="rId46" Type="http://schemas.openxmlformats.org/officeDocument/2006/relationships/hyperlink" Target="https://doi.org/10.1016/j.abb.2005.10.018" TargetMode="External"/><Relationship Id="rId47" Type="http://schemas.openxmlformats.org/officeDocument/2006/relationships/hyperlink" Target="https://doi.org/10.3390/microorganisms6010014" TargetMode="External"/><Relationship Id="rId48" Type="http://schemas.openxmlformats.org/officeDocument/2006/relationships/hyperlink" Target="https://doi.org/10.1146/annurev.arplant.59.032607.092911" TargetMode="External"/><Relationship Id="rId49" Type="http://schemas.openxmlformats.org/officeDocument/2006/relationships/hyperlink" Target="https://doi.org/10.1093/aob/mcw191" TargetMode="External"/><Relationship Id="rId50" Type="http://schemas.openxmlformats.org/officeDocument/2006/relationships/hyperlink" Target="https://doi.org/10.1007/s12298-022-01128-0" TargetMode="External"/><Relationship Id="rId51" Type="http://schemas.openxmlformats.org/officeDocument/2006/relationships/hyperlink" Target="https://doi.org/10.1016/j.micres.2018.02.003" TargetMode="External"/><Relationship Id="rId52" Type="http://schemas.openxmlformats.org/officeDocument/2006/relationships/hyperlink" Target="https://doi.org/10.1016/j.ecoenv.2004.06.010" TargetMode="External"/><Relationship Id="rId53" Type="http://schemas.openxmlformats.org/officeDocument/2006/relationships/hyperlink" Target="https://doi.org/10.3389/fmicb.2023.1077561" TargetMode="External"/><Relationship Id="rId54" Type="http://schemas.openxmlformats.org/officeDocument/2006/relationships/hyperlink" Target="https://doi.org/10.3389/fpls.2025.1561280" TargetMode="External"/><Relationship Id="rId55" Type="http://schemas.openxmlformats.org/officeDocument/2006/relationships/hyperlink" Target="https://doi.org/10.1007/s12298-020-00852-9" TargetMode="External"/><Relationship Id="rId56" Type="http://schemas.openxmlformats.org/officeDocument/2006/relationships/hyperlink" Target="https://doi.org/10.3390/ijms26136025" TargetMode="External"/><Relationship Id="rId57" Type="http://schemas.openxmlformats.org/officeDocument/2006/relationships/hyperlink" Target="https://doi.org/10.1016/j.micres.2015.11.008" TargetMode="External"/><Relationship Id="rId58" Type="http://schemas.openxmlformats.org/officeDocument/2006/relationships/hyperlink" Target="https://doi.org/10.1016/j.resmic.2017.08.005" TargetMode="External"/><Relationship Id="rId59" Type="http://schemas.openxmlformats.org/officeDocument/2006/relationships/hyperlink" Target="https://doi.org/10.25080/Majora-92bf1922-011" TargetMode="External"/><Relationship Id="rId60" Type="http://schemas.openxmlformats.org/officeDocument/2006/relationships/hyperlink" Target="https://doi.org/10.1371/journal.pone.0238537" TargetMode="External"/><Relationship Id="rId61" Type="http://schemas.openxmlformats.org/officeDocument/2006/relationships/hyperlink" Target="https://doi.org/10.3389/fpls.2024.1419764" TargetMode="External"/><Relationship Id="rId62" Type="http://schemas.openxmlformats.org/officeDocument/2006/relationships/hyperlink" Target="https://doi.org/10.1007/s00122-021-03890-3" TargetMode="External"/><Relationship Id="rId63" Type="http://schemas.openxmlformats.org/officeDocument/2006/relationships/hyperlink" Target="https://doi.org/10.5344/ajev.1965.16.3.144" TargetMode="External"/><Relationship Id="rId64" Type="http://schemas.openxmlformats.org/officeDocument/2006/relationships/hyperlink" Target="https://doi.org/10.3389/fmicb.2019.03112" TargetMode="External"/><Relationship Id="rId65" Type="http://schemas.openxmlformats.org/officeDocument/2006/relationships/hyperlink" Target="https://doi.org/10.2307/3001913" TargetMode="External"/><Relationship Id="rId66" Type="http://schemas.openxmlformats.org/officeDocument/2006/relationships/hyperlink" Target="https://doi.org/10.1146/annurev-arplant-050718-100005" TargetMode="External"/><Relationship Id="rId67" Type="http://schemas.openxmlformats.org/officeDocument/2006/relationships/hyperlink" Target="https://doi.org/10.1038/s41592-019-0686-2" TargetMode="External"/><Relationship Id="rId68" Type="http://schemas.openxmlformats.org/officeDocument/2006/relationships/hyperlink" Target="https://doi.org/10.1186/s12866-017-1117-0" TargetMode="External"/><Relationship Id="rId69" Type="http://schemas.openxmlformats.org/officeDocument/2006/relationships/hyperlink" Target="https://doi.org/10.1186/s12870-018-1261-1" TargetMode="External"/><Relationship Id="rId70" Type="http://schemas.openxmlformats.org/officeDocument/2006/relationships/hyperlink" Target="https://doi.org/10.3389/fpls.2025.1661074" TargetMode="External"/><Relationship Id="rId71" Type="http://schemas.openxmlformats.org/officeDocument/2006/relationships/hyperlink" Target="https://doi.org/10.1042/bj0570508" TargetMode="External"/><Relationship Id="rId72" Type="http://schemas.openxmlformats.org/officeDocument/2006/relationships/hyperlink" Target="https://doi.org/10.3389/fgene.2023.1049608" TargetMode="External"/><Relationship Id="rId73" Type="http://schemas.openxmlformats.org/officeDocument/2006/relationships/hyperlink" Target="https://doi.org/10.1016/j.cell.2016.08.0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