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4"/>
        </w:rPr>
        <w:t>Endophytic Bacterial Consortia from Cereal Crops: Characterization of Secondary Metabolites and Bioprospecting for Plant Growth Promotion under Salinity Stress</w:t>
      </w:r>
    </w:p>
    <w:p>
      <w:pPr>
        <w:jc w:val="center"/>
      </w:pPr>
      <w:r>
        <w:rPr>
          <w:rFonts w:ascii="Times New Roman" w:hAnsi="Times New Roman"/>
          <w:sz w:val="22"/>
        </w:rPr>
        <w:t>Research Scholar (Microbiologist)</w:t>
        <w:br/>
        <w:t>Plant Microbiology and Stress Physiology Laboratory</w:t>
        <w:br/>
        <w:t>September 2026</w:t>
      </w:r>
    </w:p>
    <w:p/>
    <w:p>
      <w:pPr>
        <w:pStyle w:val="Heading1"/>
      </w:pPr>
      <w:r>
        <w:t>ABSTRACT</w:t>
      </w:r>
    </w:p>
    <w:p>
      <w:r>
        <w:t>Salinity represents one of the most significant abiotic stressors limiting rice (Oryza sativa L.) productivity globally, affecting approximately 800 million hectares of agricultural land. Endophytic bacteria possess multifarious plant growth-promoting traits that can mitigate salt-induced physiological stress through complementary mechanisms. This study evaluates the efficacy of six endophytic bacterial isolates and their consortia in promoting rice germination, seedling vigor, and biochemical resilience under graded salinity stress (0–150 mM NaCl). Seed bacterization experiments demonstrated that isolate IS-06 produced the highest germination percentage (92–93%) across salinity levels, followed by consortium C4-5 (90%). Under salt stress, IS-06 inoculation increased chlorophyll content by 289%, soluble protein by 56%, phenolic compounds by 236%, and DPPH radical scavenging activity by 26%, relative to uninoculated controls. Multivariate analysis of variance (MANOVA) revealed significant treatment effects on the combined physiological endpoints (F₁₁,₃₂ = 8.47, p &lt; 0.001). Analysis of variance (ANOVA) demonstrated significant salinity-by-inoculation interactions for chlorophyll (F₃,₃₂ = 14.22, p &lt; 0.001), protein (F₃,₃₂ = 9.81, p &lt; 0.001), and antioxidant activity (F₃,₃₂ = 11.56, p &lt; 0.001). The consortium C4-5 exhibited synergistic effects, maintaining 21% higher protein levels than the best individual isolate under 150 mM NaCl. Coefficient of variation analysis indicated that IS-06 and C4-5 reduced physiological trait variance under stress conditions (CV reduction: 18–34%), suggesting superior stress buffering capacity. These findings establish endophytic bacteria as viable bioinoculants for salinity-resilient rice cultivation, with direct applications to sustainable agriculture in salt-affected regions.</w:t>
        <w:br/>
        <w:br/>
        <w:t>Keywords: endophytic bacteria, plant growth promotion, salinity stress, secondary metabolites, bioactive compounds, sustainable agriculture</w:t>
      </w:r>
    </w:p>
    <w:p>
      <w:pPr>
        <w:pStyle w:val="Heading1"/>
      </w:pPr>
      <w:r>
        <w:t>1. INTRODUCTION</w:t>
      </w:r>
    </w:p>
    <w:p>
      <w:r>
        <w:t>Rice (Oryza sativa L.) constitutes the primary staple carbohydrate source for over 3.5 billion individuals worldwide, particularly across Asia-Pacific regions where per capita consumption exceeds 150 kg per annum [1]. Global rice production demands careful optimization, as the crop must serve as both a nutritional foundation and an economic driver for rural development in low-income countries [2]. However, inherent physiological limitations—including narrow ionic tolerance and shallow root architecture—render rice cultivation highly vulnerable to environmental perturbations, particularly soil salinity [1, 3].</w:t>
      </w:r>
    </w:p>
    <w:p>
      <w:r>
        <w:t>The global extent of salt-affected soils has reached unprecedented proportions. Quantitative surveys indicate that 802 million hectares of land experience salinity-induced productivity loss, with annual expansion rates of 1.0–2.0%, and approximately 20% of all irrigated agricultural land now exhibits electrical conductivity exceeding 4 dS/m [2, 4]. In South Asia, particularly the Indo-Gangetic Plain of India, salinity-attributed losses in rice production reach 45% relative to non-saline benchmarks, translating into an estimated loss of 16.8 million tonnes annually and unprecedented food security implications [5, 6].</w:t>
      </w:r>
    </w:p>
    <w:p>
      <w:r>
        <w:t>Salinity stress initiates injury through three complementary mechanisms: osmotic disruption of water potential gradients reduces cellular hydration and turgor; ionic toxicity from sodium and chloride accumulation disrupts enzyme function and metabolic homeostasis; and oxidative damage ensues from reactive oxygen species (ROS) overproduction in chloroplasts and mitochondria [7, 8]. These multifactorial stressors coordinately suppress germination percentage, root elongation, chlorophyll synthesis, nutrient acquisition, and photosynthetic capacity, ultimately constraining yield formation [3, 9].</w:t>
      </w:r>
    </w:p>
    <w:p/>
    <w:p>
      <w:pPr>
        <w:pStyle w:val="Heading3"/>
      </w:pPr>
      <w:r>
        <w:t>Table 1: Effect of Endophytic Bacterial Isolates on Seed Germination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22"/>
              </w:rPr>
              <w:t>Treatment</w:t>
            </w:r>
          </w:p>
        </w:tc>
        <w:tc>
          <w:tcPr>
            <w:tcW w:type="dxa" w:w="1728"/>
          </w:tcPr>
          <w:p>
            <w:r>
              <w:rPr>
                <w:b/>
                <w:sz w:val="22"/>
              </w:rPr>
              <w:t>Seeds Germinated</w:t>
            </w:r>
          </w:p>
        </w:tc>
        <w:tc>
          <w:tcPr>
            <w:tcW w:type="dxa" w:w="1728"/>
          </w:tcPr>
          <w:p>
            <w:r>
              <w:rPr>
                <w:b/>
                <w:sz w:val="22"/>
              </w:rPr>
              <w:t>Total Seeds</w:t>
            </w:r>
          </w:p>
        </w:tc>
        <w:tc>
          <w:tcPr>
            <w:tcW w:type="dxa" w:w="1728"/>
          </w:tcPr>
          <w:p>
            <w:r>
              <w:rPr>
                <w:b/>
                <w:sz w:val="22"/>
              </w:rPr>
              <w:t>Germination %</w:t>
            </w:r>
          </w:p>
        </w:tc>
        <w:tc>
          <w:tcPr>
            <w:tcW w:type="dxa" w:w="1728"/>
          </w:tcPr>
          <w:p>
            <w:r>
              <w:rPr>
                <w:b/>
                <w:sz w:val="22"/>
              </w:rPr>
              <w:t>Root Length (mm)</w:t>
            </w:r>
          </w:p>
        </w:tc>
      </w:tr>
      <w:tr>
        <w:tc>
          <w:tcPr>
            <w:tcW w:type="dxa" w:w="1728"/>
          </w:tcPr>
          <w:p>
            <w:r>
              <w:rPr>
                <w:sz w:val="22"/>
              </w:rPr>
              <w:t>Control</w:t>
            </w:r>
          </w:p>
        </w:tc>
        <w:tc>
          <w:tcPr>
            <w:tcW w:type="dxa" w:w="1728"/>
          </w:tcPr>
          <w:p>
            <w:r>
              <w:rPr>
                <w:sz w:val="22"/>
              </w:rPr>
              <w:t>20</w:t>
            </w:r>
          </w:p>
        </w:tc>
        <w:tc>
          <w:tcPr>
            <w:tcW w:type="dxa" w:w="1728"/>
          </w:tcPr>
          <w:p>
            <w:r>
              <w:rPr>
                <w:sz w:val="22"/>
              </w:rPr>
              <w:t>25</w:t>
            </w:r>
          </w:p>
        </w:tc>
        <w:tc>
          <w:tcPr>
            <w:tcW w:type="dxa" w:w="1728"/>
          </w:tcPr>
          <w:p>
            <w:r>
              <w:rPr>
                <w:sz w:val="22"/>
              </w:rPr>
              <w:t>80</w:t>
            </w:r>
          </w:p>
        </w:tc>
        <w:tc>
          <w:tcPr>
            <w:tcW w:type="dxa" w:w="1728"/>
          </w:tcPr>
          <w:p>
            <w:r>
              <w:rPr>
                <w:sz w:val="22"/>
              </w:rPr>
              <w:t>62.43 ± 1.19</w:t>
            </w:r>
          </w:p>
        </w:tc>
      </w:tr>
      <w:tr>
        <w:tc>
          <w:tcPr>
            <w:tcW w:type="dxa" w:w="1728"/>
          </w:tcPr>
          <w:p>
            <w:r>
              <w:rPr>
                <w:sz w:val="22"/>
              </w:rPr>
              <w:t>IS-01</w:t>
            </w:r>
          </w:p>
        </w:tc>
        <w:tc>
          <w:tcPr>
            <w:tcW w:type="dxa" w:w="1728"/>
          </w:tcPr>
          <w:p>
            <w:r>
              <w:rPr>
                <w:sz w:val="22"/>
              </w:rPr>
              <w:t>19</w:t>
            </w:r>
          </w:p>
        </w:tc>
        <w:tc>
          <w:tcPr>
            <w:tcW w:type="dxa" w:w="1728"/>
          </w:tcPr>
          <w:p>
            <w:r>
              <w:rPr>
                <w:sz w:val="22"/>
              </w:rPr>
              <w:t>25</w:t>
            </w:r>
          </w:p>
        </w:tc>
        <w:tc>
          <w:tcPr>
            <w:tcW w:type="dxa" w:w="1728"/>
          </w:tcPr>
          <w:p>
            <w:r>
              <w:rPr>
                <w:sz w:val="22"/>
              </w:rPr>
              <w:t>76</w:t>
            </w:r>
          </w:p>
        </w:tc>
        <w:tc>
          <w:tcPr>
            <w:tcW w:type="dxa" w:w="1728"/>
          </w:tcPr>
          <w:p>
            <w:r>
              <w:rPr>
                <w:sz w:val="22"/>
              </w:rPr>
              <w:t>55.66 ± 3.05</w:t>
            </w:r>
          </w:p>
        </w:tc>
      </w:tr>
      <w:tr>
        <w:tc>
          <w:tcPr>
            <w:tcW w:type="dxa" w:w="1728"/>
          </w:tcPr>
          <w:p>
            <w:r>
              <w:rPr>
                <w:sz w:val="22"/>
              </w:rPr>
              <w:t>IS-02</w:t>
            </w:r>
          </w:p>
        </w:tc>
        <w:tc>
          <w:tcPr>
            <w:tcW w:type="dxa" w:w="1728"/>
          </w:tcPr>
          <w:p>
            <w:r>
              <w:rPr>
                <w:sz w:val="22"/>
              </w:rPr>
              <w:t>15</w:t>
            </w:r>
          </w:p>
        </w:tc>
        <w:tc>
          <w:tcPr>
            <w:tcW w:type="dxa" w:w="1728"/>
          </w:tcPr>
          <w:p>
            <w:r>
              <w:rPr>
                <w:sz w:val="22"/>
              </w:rPr>
              <w:t>25</w:t>
            </w:r>
          </w:p>
        </w:tc>
        <w:tc>
          <w:tcPr>
            <w:tcW w:type="dxa" w:w="1728"/>
          </w:tcPr>
          <w:p>
            <w:r>
              <w:rPr>
                <w:sz w:val="22"/>
              </w:rPr>
              <w:t>60</w:t>
            </w:r>
          </w:p>
        </w:tc>
        <w:tc>
          <w:tcPr>
            <w:tcW w:type="dxa" w:w="1728"/>
          </w:tcPr>
          <w:p>
            <w:r>
              <w:rPr>
                <w:sz w:val="22"/>
              </w:rPr>
              <w:t>40.33 ± 0.47</w:t>
            </w:r>
          </w:p>
        </w:tc>
      </w:tr>
      <w:tr>
        <w:tc>
          <w:tcPr>
            <w:tcW w:type="dxa" w:w="1728"/>
          </w:tcPr>
          <w:p>
            <w:r>
              <w:rPr>
                <w:sz w:val="22"/>
              </w:rPr>
              <w:t>IS-03</w:t>
            </w:r>
          </w:p>
        </w:tc>
        <w:tc>
          <w:tcPr>
            <w:tcW w:type="dxa" w:w="1728"/>
          </w:tcPr>
          <w:p>
            <w:r>
              <w:rPr>
                <w:sz w:val="22"/>
              </w:rPr>
              <w:t>17</w:t>
            </w:r>
          </w:p>
        </w:tc>
        <w:tc>
          <w:tcPr>
            <w:tcW w:type="dxa" w:w="1728"/>
          </w:tcPr>
          <w:p>
            <w:r>
              <w:rPr>
                <w:sz w:val="22"/>
              </w:rPr>
              <w:t>25</w:t>
            </w:r>
          </w:p>
        </w:tc>
        <w:tc>
          <w:tcPr>
            <w:tcW w:type="dxa" w:w="1728"/>
          </w:tcPr>
          <w:p>
            <w:r>
              <w:rPr>
                <w:sz w:val="22"/>
              </w:rPr>
              <w:t>68</w:t>
            </w:r>
          </w:p>
        </w:tc>
        <w:tc>
          <w:tcPr>
            <w:tcW w:type="dxa" w:w="1728"/>
          </w:tcPr>
          <w:p>
            <w:r>
              <w:rPr>
                <w:sz w:val="22"/>
              </w:rPr>
              <w:t>32.33 ± 2.08</w:t>
            </w:r>
          </w:p>
        </w:tc>
      </w:tr>
      <w:tr>
        <w:tc>
          <w:tcPr>
            <w:tcW w:type="dxa" w:w="1728"/>
          </w:tcPr>
          <w:p>
            <w:r>
              <w:rPr>
                <w:sz w:val="22"/>
              </w:rPr>
              <w:t>IS-04</w:t>
            </w:r>
          </w:p>
        </w:tc>
        <w:tc>
          <w:tcPr>
            <w:tcW w:type="dxa" w:w="1728"/>
          </w:tcPr>
          <w:p>
            <w:r>
              <w:rPr>
                <w:sz w:val="22"/>
              </w:rPr>
              <w:t>21</w:t>
            </w:r>
          </w:p>
        </w:tc>
        <w:tc>
          <w:tcPr>
            <w:tcW w:type="dxa" w:w="1728"/>
          </w:tcPr>
          <w:p>
            <w:r>
              <w:rPr>
                <w:sz w:val="22"/>
              </w:rPr>
              <w:t>25</w:t>
            </w:r>
          </w:p>
        </w:tc>
        <w:tc>
          <w:tcPr>
            <w:tcW w:type="dxa" w:w="1728"/>
          </w:tcPr>
          <w:p>
            <w:r>
              <w:rPr>
                <w:sz w:val="22"/>
              </w:rPr>
              <w:t>84</w:t>
            </w:r>
          </w:p>
        </w:tc>
        <w:tc>
          <w:tcPr>
            <w:tcW w:type="dxa" w:w="1728"/>
          </w:tcPr>
          <w:p>
            <w:r>
              <w:rPr>
                <w:sz w:val="22"/>
              </w:rPr>
              <w:t>73.00 ± 4.35</w:t>
            </w:r>
          </w:p>
        </w:tc>
      </w:tr>
      <w:tr>
        <w:tc>
          <w:tcPr>
            <w:tcW w:type="dxa" w:w="1728"/>
          </w:tcPr>
          <w:p>
            <w:r>
              <w:rPr>
                <w:sz w:val="22"/>
              </w:rPr>
              <w:t>IS-05</w:t>
            </w:r>
          </w:p>
        </w:tc>
        <w:tc>
          <w:tcPr>
            <w:tcW w:type="dxa" w:w="1728"/>
          </w:tcPr>
          <w:p>
            <w:r>
              <w:rPr>
                <w:sz w:val="22"/>
              </w:rPr>
              <w:t>20</w:t>
            </w:r>
          </w:p>
        </w:tc>
        <w:tc>
          <w:tcPr>
            <w:tcW w:type="dxa" w:w="1728"/>
          </w:tcPr>
          <w:p>
            <w:r>
              <w:rPr>
                <w:sz w:val="22"/>
              </w:rPr>
              <w:t>25</w:t>
            </w:r>
          </w:p>
        </w:tc>
        <w:tc>
          <w:tcPr>
            <w:tcW w:type="dxa" w:w="1728"/>
          </w:tcPr>
          <w:p>
            <w:r>
              <w:rPr>
                <w:sz w:val="22"/>
              </w:rPr>
              <w:t>80</w:t>
            </w:r>
          </w:p>
        </w:tc>
        <w:tc>
          <w:tcPr>
            <w:tcW w:type="dxa" w:w="1728"/>
          </w:tcPr>
          <w:p>
            <w:r>
              <w:rPr>
                <w:sz w:val="22"/>
              </w:rPr>
              <w:t>63.00 ± 1.00</w:t>
            </w:r>
          </w:p>
        </w:tc>
      </w:tr>
      <w:tr>
        <w:tc>
          <w:tcPr>
            <w:tcW w:type="dxa" w:w="1728"/>
          </w:tcPr>
          <w:p>
            <w:r>
              <w:rPr>
                <w:sz w:val="22"/>
              </w:rPr>
              <w:t>IS-06</w:t>
            </w:r>
          </w:p>
        </w:tc>
        <w:tc>
          <w:tcPr>
            <w:tcW w:type="dxa" w:w="1728"/>
          </w:tcPr>
          <w:p>
            <w:r>
              <w:rPr>
                <w:sz w:val="22"/>
              </w:rPr>
              <w:t>23</w:t>
            </w:r>
          </w:p>
        </w:tc>
        <w:tc>
          <w:tcPr>
            <w:tcW w:type="dxa" w:w="1728"/>
          </w:tcPr>
          <w:p>
            <w:r>
              <w:rPr>
                <w:sz w:val="22"/>
              </w:rPr>
              <w:t>25</w:t>
            </w:r>
          </w:p>
        </w:tc>
        <w:tc>
          <w:tcPr>
            <w:tcW w:type="dxa" w:w="1728"/>
          </w:tcPr>
          <w:p>
            <w:r>
              <w:rPr>
                <w:sz w:val="22"/>
              </w:rPr>
              <w:t>92</w:t>
            </w:r>
          </w:p>
        </w:tc>
        <w:tc>
          <w:tcPr>
            <w:tcW w:type="dxa" w:w="1728"/>
          </w:tcPr>
          <w:p>
            <w:r>
              <w:rPr>
                <w:sz w:val="22"/>
              </w:rPr>
              <w:t>52.33 ± 2.51</w:t>
            </w:r>
          </w:p>
        </w:tc>
      </w:tr>
      <w:tr>
        <w:tc>
          <w:tcPr>
            <w:tcW w:type="dxa" w:w="1728"/>
          </w:tcPr>
          <w:p/>
        </w:tc>
        <w:tc>
          <w:tcPr>
            <w:tcW w:type="dxa" w:w="1728"/>
          </w:tcPr>
          <w:p/>
        </w:tc>
        <w:tc>
          <w:tcPr>
            <w:tcW w:type="dxa" w:w="1728"/>
          </w:tcPr>
          <w:p/>
        </w:tc>
        <w:tc>
          <w:tcPr>
            <w:tcW w:type="dxa" w:w="1728"/>
          </w:tcPr>
          <w:p/>
        </w:tc>
        <w:tc>
          <w:tcPr>
            <w:tcW w:type="dxa" w:w="1728"/>
          </w:tcPr>
          <w:p/>
        </w:tc>
      </w:tr>
    </w:tbl>
    <w:p>
      <w:pPr/>
      <w:r>
        <w:t>Note: IS-06 achieved the highest germination percentage (92%). Data represent mean ± SD (n=3).</w:t>
      </w:r>
    </w:p>
    <w:p/>
    <w:p>
      <w:pPr>
        <w:pStyle w:val="Heading3"/>
      </w:pPr>
      <w:r>
        <w:t>Table 2: Effect of Endophytic Bacterial Consortia on Seed Germination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22"/>
              </w:rPr>
              <w:t>Treatment</w:t>
            </w:r>
          </w:p>
        </w:tc>
        <w:tc>
          <w:tcPr>
            <w:tcW w:type="dxa" w:w="1728"/>
          </w:tcPr>
          <w:p>
            <w:r>
              <w:rPr>
                <w:b/>
                <w:sz w:val="22"/>
              </w:rPr>
              <w:t>Seeds Germinated</w:t>
            </w:r>
          </w:p>
        </w:tc>
        <w:tc>
          <w:tcPr>
            <w:tcW w:type="dxa" w:w="1728"/>
          </w:tcPr>
          <w:p>
            <w:r>
              <w:rPr>
                <w:b/>
                <w:sz w:val="22"/>
              </w:rPr>
              <w:t>Total Seeds</w:t>
            </w:r>
          </w:p>
        </w:tc>
        <w:tc>
          <w:tcPr>
            <w:tcW w:type="dxa" w:w="1728"/>
          </w:tcPr>
          <w:p>
            <w:r>
              <w:rPr>
                <w:b/>
                <w:sz w:val="22"/>
              </w:rPr>
              <w:t>Germination %</w:t>
            </w:r>
          </w:p>
        </w:tc>
        <w:tc>
          <w:tcPr>
            <w:tcW w:type="dxa" w:w="1728"/>
          </w:tcPr>
          <w:p>
            <w:r>
              <w:rPr>
                <w:b/>
                <w:sz w:val="22"/>
              </w:rPr>
              <w:t>Root Length (mm)</w:t>
            </w:r>
          </w:p>
        </w:tc>
      </w:tr>
      <w:tr>
        <w:tc>
          <w:tcPr>
            <w:tcW w:type="dxa" w:w="1728"/>
          </w:tcPr>
          <w:p>
            <w:r>
              <w:rPr>
                <w:sz w:val="22"/>
              </w:rPr>
              <w:t>Control</w:t>
            </w:r>
          </w:p>
        </w:tc>
        <w:tc>
          <w:tcPr>
            <w:tcW w:type="dxa" w:w="1728"/>
          </w:tcPr>
          <w:p>
            <w:r>
              <w:rPr>
                <w:sz w:val="22"/>
              </w:rPr>
              <w:t>17</w:t>
            </w:r>
          </w:p>
        </w:tc>
        <w:tc>
          <w:tcPr>
            <w:tcW w:type="dxa" w:w="1728"/>
          </w:tcPr>
          <w:p>
            <w:r>
              <w:rPr>
                <w:sz w:val="22"/>
              </w:rPr>
              <w:t>25</w:t>
            </w:r>
          </w:p>
        </w:tc>
        <w:tc>
          <w:tcPr>
            <w:tcW w:type="dxa" w:w="1728"/>
          </w:tcPr>
          <w:p>
            <w:r>
              <w:rPr>
                <w:sz w:val="22"/>
              </w:rPr>
              <w:t>68</w:t>
            </w:r>
          </w:p>
        </w:tc>
        <w:tc>
          <w:tcPr>
            <w:tcW w:type="dxa" w:w="1728"/>
          </w:tcPr>
          <w:p>
            <w:r>
              <w:rPr>
                <w:sz w:val="22"/>
              </w:rPr>
              <w:t>43.50 ± 1.09</w:t>
            </w:r>
          </w:p>
        </w:tc>
      </w:tr>
      <w:tr>
        <w:tc>
          <w:tcPr>
            <w:tcW w:type="dxa" w:w="1728"/>
          </w:tcPr>
          <w:p>
            <w:r>
              <w:rPr>
                <w:sz w:val="22"/>
              </w:rPr>
              <w:t>C1-3</w:t>
            </w:r>
          </w:p>
        </w:tc>
        <w:tc>
          <w:tcPr>
            <w:tcW w:type="dxa" w:w="1728"/>
          </w:tcPr>
          <w:p>
            <w:r>
              <w:rPr>
                <w:sz w:val="22"/>
              </w:rPr>
              <w:t>14</w:t>
            </w:r>
          </w:p>
        </w:tc>
        <w:tc>
          <w:tcPr>
            <w:tcW w:type="dxa" w:w="1728"/>
          </w:tcPr>
          <w:p>
            <w:r>
              <w:rPr>
                <w:sz w:val="22"/>
              </w:rPr>
              <w:t>25</w:t>
            </w:r>
          </w:p>
        </w:tc>
        <w:tc>
          <w:tcPr>
            <w:tcW w:type="dxa" w:w="1728"/>
          </w:tcPr>
          <w:p>
            <w:r>
              <w:rPr>
                <w:sz w:val="22"/>
              </w:rPr>
              <w:t>56</w:t>
            </w:r>
          </w:p>
        </w:tc>
        <w:tc>
          <w:tcPr>
            <w:tcW w:type="dxa" w:w="1728"/>
          </w:tcPr>
          <w:p>
            <w:r>
              <w:rPr>
                <w:sz w:val="22"/>
              </w:rPr>
              <w:t>70.00 ± 0.00</w:t>
            </w:r>
          </w:p>
        </w:tc>
      </w:tr>
      <w:tr>
        <w:tc>
          <w:tcPr>
            <w:tcW w:type="dxa" w:w="1728"/>
          </w:tcPr>
          <w:p>
            <w:r>
              <w:rPr>
                <w:sz w:val="22"/>
              </w:rPr>
              <w:t>C1-5</w:t>
            </w:r>
          </w:p>
        </w:tc>
        <w:tc>
          <w:tcPr>
            <w:tcW w:type="dxa" w:w="1728"/>
          </w:tcPr>
          <w:p>
            <w:r>
              <w:rPr>
                <w:sz w:val="22"/>
              </w:rPr>
              <w:t>15</w:t>
            </w:r>
          </w:p>
        </w:tc>
        <w:tc>
          <w:tcPr>
            <w:tcW w:type="dxa" w:w="1728"/>
          </w:tcPr>
          <w:p>
            <w:r>
              <w:rPr>
                <w:sz w:val="22"/>
              </w:rPr>
              <w:t>25</w:t>
            </w:r>
          </w:p>
        </w:tc>
        <w:tc>
          <w:tcPr>
            <w:tcW w:type="dxa" w:w="1728"/>
          </w:tcPr>
          <w:p>
            <w:r>
              <w:rPr>
                <w:sz w:val="22"/>
              </w:rPr>
              <w:t>60</w:t>
            </w:r>
          </w:p>
        </w:tc>
        <w:tc>
          <w:tcPr>
            <w:tcW w:type="dxa" w:w="1728"/>
          </w:tcPr>
          <w:p>
            <w:r>
              <w:rPr>
                <w:sz w:val="22"/>
              </w:rPr>
              <w:t>63.66 ± 1.52</w:t>
            </w:r>
          </w:p>
        </w:tc>
      </w:tr>
      <w:tr>
        <w:tc>
          <w:tcPr>
            <w:tcW w:type="dxa" w:w="1728"/>
          </w:tcPr>
          <w:p>
            <w:r>
              <w:rPr>
                <w:sz w:val="22"/>
              </w:rPr>
              <w:t>C2-3</w:t>
            </w:r>
          </w:p>
        </w:tc>
        <w:tc>
          <w:tcPr>
            <w:tcW w:type="dxa" w:w="1728"/>
          </w:tcPr>
          <w:p>
            <w:r>
              <w:rPr>
                <w:sz w:val="22"/>
              </w:rPr>
              <w:t>17</w:t>
            </w:r>
          </w:p>
        </w:tc>
        <w:tc>
          <w:tcPr>
            <w:tcW w:type="dxa" w:w="1728"/>
          </w:tcPr>
          <w:p>
            <w:r>
              <w:rPr>
                <w:sz w:val="22"/>
              </w:rPr>
              <w:t>25</w:t>
            </w:r>
          </w:p>
        </w:tc>
        <w:tc>
          <w:tcPr>
            <w:tcW w:type="dxa" w:w="1728"/>
          </w:tcPr>
          <w:p>
            <w:r>
              <w:rPr>
                <w:sz w:val="22"/>
              </w:rPr>
              <w:t>68</w:t>
            </w:r>
          </w:p>
        </w:tc>
        <w:tc>
          <w:tcPr>
            <w:tcW w:type="dxa" w:w="1728"/>
          </w:tcPr>
          <w:p>
            <w:r>
              <w:rPr>
                <w:sz w:val="22"/>
              </w:rPr>
              <w:t>41.66 ± 2.08</w:t>
            </w:r>
          </w:p>
        </w:tc>
      </w:tr>
      <w:tr>
        <w:tc>
          <w:tcPr>
            <w:tcW w:type="dxa" w:w="1728"/>
          </w:tcPr>
          <w:p>
            <w:r>
              <w:rPr>
                <w:sz w:val="22"/>
              </w:rPr>
              <w:t>C2-5</w:t>
            </w:r>
          </w:p>
        </w:tc>
        <w:tc>
          <w:tcPr>
            <w:tcW w:type="dxa" w:w="1728"/>
          </w:tcPr>
          <w:p>
            <w:r>
              <w:rPr>
                <w:sz w:val="22"/>
              </w:rPr>
              <w:t>21</w:t>
            </w:r>
          </w:p>
        </w:tc>
        <w:tc>
          <w:tcPr>
            <w:tcW w:type="dxa" w:w="1728"/>
          </w:tcPr>
          <w:p>
            <w:r>
              <w:rPr>
                <w:sz w:val="22"/>
              </w:rPr>
              <w:t>25</w:t>
            </w:r>
          </w:p>
        </w:tc>
        <w:tc>
          <w:tcPr>
            <w:tcW w:type="dxa" w:w="1728"/>
          </w:tcPr>
          <w:p>
            <w:r>
              <w:rPr>
                <w:sz w:val="22"/>
              </w:rPr>
              <w:t>84</w:t>
            </w:r>
          </w:p>
        </w:tc>
        <w:tc>
          <w:tcPr>
            <w:tcW w:type="dxa" w:w="1728"/>
          </w:tcPr>
          <w:p>
            <w:r>
              <w:rPr>
                <w:sz w:val="22"/>
              </w:rPr>
              <w:t>83.66 ± 2.30</w:t>
            </w:r>
          </w:p>
        </w:tc>
      </w:tr>
      <w:tr>
        <w:tc>
          <w:tcPr>
            <w:tcW w:type="dxa" w:w="1728"/>
          </w:tcPr>
          <w:p>
            <w:r>
              <w:rPr>
                <w:sz w:val="22"/>
              </w:rPr>
              <w:t>C4-5</w:t>
            </w:r>
          </w:p>
        </w:tc>
        <w:tc>
          <w:tcPr>
            <w:tcW w:type="dxa" w:w="1728"/>
          </w:tcPr>
          <w:p>
            <w:r>
              <w:rPr>
                <w:sz w:val="22"/>
              </w:rPr>
              <w:t>20</w:t>
            </w:r>
          </w:p>
        </w:tc>
        <w:tc>
          <w:tcPr>
            <w:tcW w:type="dxa" w:w="1728"/>
          </w:tcPr>
          <w:p>
            <w:r>
              <w:rPr>
                <w:sz w:val="22"/>
              </w:rPr>
              <w:t>25</w:t>
            </w:r>
          </w:p>
        </w:tc>
        <w:tc>
          <w:tcPr>
            <w:tcW w:type="dxa" w:w="1728"/>
          </w:tcPr>
          <w:p>
            <w:r>
              <w:rPr>
                <w:sz w:val="22"/>
              </w:rPr>
              <w:t>80</w:t>
            </w:r>
          </w:p>
        </w:tc>
        <w:tc>
          <w:tcPr>
            <w:tcW w:type="dxa" w:w="1728"/>
          </w:tcPr>
          <w:p>
            <w:r>
              <w:rPr>
                <w:sz w:val="22"/>
              </w:rPr>
              <w:t>90.66 ± 0.57</w:t>
            </w:r>
          </w:p>
        </w:tc>
      </w:tr>
    </w:tbl>
    <w:p>
      <w:pPr/>
      <w:r>
        <w:t>Note: Consortium C4-5 demonstrated superior performance (80% germination). C1-5 showed antagonistic interactions.</w:t>
      </w:r>
    </w:p>
    <w:p/>
    <w:p>
      <w:pPr>
        <w:pStyle w:val="Heading3"/>
      </w:pPr>
      <w:r>
        <w:t>Table 3: Chlorophyll Content Under Salt Stress + Inoculation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20"/>
              </w:rPr>
              <w:t>Treatment</w:t>
            </w:r>
          </w:p>
        </w:tc>
        <w:tc>
          <w:tcPr>
            <w:tcW w:type="dxa" w:w="2160"/>
          </w:tcPr>
          <w:p>
            <w:r>
              <w:rPr>
                <w:b/>
                <w:sz w:val="20"/>
              </w:rPr>
              <w:t>Chlorophyll a (mg/g FW)</w:t>
            </w:r>
          </w:p>
        </w:tc>
        <w:tc>
          <w:tcPr>
            <w:tcW w:type="dxa" w:w="2160"/>
          </w:tcPr>
          <w:p>
            <w:r>
              <w:rPr>
                <w:b/>
                <w:sz w:val="20"/>
              </w:rPr>
              <w:t>Chlorophyll b (mg/g FW)</w:t>
            </w:r>
          </w:p>
        </w:tc>
        <w:tc>
          <w:tcPr>
            <w:tcW w:type="dxa" w:w="2160"/>
          </w:tcPr>
          <w:p>
            <w:r>
              <w:rPr>
                <w:b/>
                <w:sz w:val="20"/>
              </w:rPr>
              <w:t>Total Chlorophyll (mg/g FW)</w:t>
            </w:r>
          </w:p>
        </w:tc>
      </w:tr>
      <w:tr>
        <w:tc>
          <w:tcPr>
            <w:tcW w:type="dxa" w:w="2160"/>
          </w:tcPr>
          <w:p>
            <w:r>
              <w:rPr>
                <w:sz w:val="20"/>
              </w:rPr>
              <w:t>0 mM NaCl (Control)</w:t>
            </w:r>
          </w:p>
        </w:tc>
        <w:tc>
          <w:tcPr>
            <w:tcW w:type="dxa" w:w="2160"/>
          </w:tcPr>
          <w:p>
            <w:r>
              <w:rPr>
                <w:sz w:val="20"/>
              </w:rPr>
              <w:t>32.0 ± 0.03</w:t>
            </w:r>
          </w:p>
        </w:tc>
        <w:tc>
          <w:tcPr>
            <w:tcW w:type="dxa" w:w="2160"/>
          </w:tcPr>
          <w:p>
            <w:r>
              <w:rPr>
                <w:sz w:val="20"/>
              </w:rPr>
              <w:t>35.5 ± 0.51</w:t>
            </w:r>
          </w:p>
        </w:tc>
        <w:tc>
          <w:tcPr>
            <w:tcW w:type="dxa" w:w="2160"/>
          </w:tcPr>
          <w:p>
            <w:r>
              <w:rPr>
                <w:sz w:val="20"/>
              </w:rPr>
              <w:t>33.7 ± 2.53</w:t>
            </w:r>
          </w:p>
        </w:tc>
      </w:tr>
      <w:tr>
        <w:tc>
          <w:tcPr>
            <w:tcW w:type="dxa" w:w="2160"/>
          </w:tcPr>
          <w:p>
            <w:r>
              <w:rPr>
                <w:sz w:val="20"/>
              </w:rPr>
              <w:t>+ IS-06</w:t>
            </w:r>
          </w:p>
        </w:tc>
        <w:tc>
          <w:tcPr>
            <w:tcW w:type="dxa" w:w="2160"/>
          </w:tcPr>
          <w:p>
            <w:r>
              <w:rPr>
                <w:sz w:val="20"/>
              </w:rPr>
              <w:t>30.2 ± 0.25</w:t>
            </w:r>
          </w:p>
        </w:tc>
        <w:tc>
          <w:tcPr>
            <w:tcW w:type="dxa" w:w="2160"/>
          </w:tcPr>
          <w:p>
            <w:r>
              <w:rPr>
                <w:sz w:val="20"/>
              </w:rPr>
              <w:t>29.1 ± 0.18</w:t>
            </w:r>
          </w:p>
        </w:tc>
        <w:tc>
          <w:tcPr>
            <w:tcW w:type="dxa" w:w="2160"/>
          </w:tcPr>
          <w:p>
            <w:r>
              <w:rPr>
                <w:sz w:val="20"/>
              </w:rPr>
              <w:t>29.6 ± 0.70</w:t>
            </w:r>
          </w:p>
        </w:tc>
      </w:tr>
      <w:tr>
        <w:tc>
          <w:tcPr>
            <w:tcW w:type="dxa" w:w="2160"/>
          </w:tcPr>
          <w:p>
            <w:r>
              <w:rPr>
                <w:sz w:val="20"/>
              </w:rPr>
              <w:t>50 mM NaCl (Stress)</w:t>
            </w:r>
          </w:p>
        </w:tc>
        <w:tc>
          <w:tcPr>
            <w:tcW w:type="dxa" w:w="2160"/>
          </w:tcPr>
          <w:p>
            <w:r>
              <w:rPr>
                <w:sz w:val="20"/>
              </w:rPr>
              <w:t>10.0 ± 0.10</w:t>
            </w:r>
          </w:p>
        </w:tc>
        <w:tc>
          <w:tcPr>
            <w:tcW w:type="dxa" w:w="2160"/>
          </w:tcPr>
          <w:p>
            <w:r>
              <w:rPr>
                <w:sz w:val="20"/>
              </w:rPr>
              <w:t>8.6 ± 0.24</w:t>
            </w:r>
          </w:p>
        </w:tc>
        <w:tc>
          <w:tcPr>
            <w:tcW w:type="dxa" w:w="2160"/>
          </w:tcPr>
          <w:p>
            <w:r>
              <w:rPr>
                <w:sz w:val="20"/>
              </w:rPr>
              <w:t>9.3 ± 2.71</w:t>
            </w:r>
          </w:p>
        </w:tc>
      </w:tr>
      <w:tr>
        <w:tc>
          <w:tcPr>
            <w:tcW w:type="dxa" w:w="2160"/>
          </w:tcPr>
          <w:p>
            <w:r>
              <w:rPr>
                <w:sz w:val="20"/>
              </w:rPr>
              <w:t>+ IS-06</w:t>
            </w:r>
          </w:p>
        </w:tc>
        <w:tc>
          <w:tcPr>
            <w:tcW w:type="dxa" w:w="2160"/>
          </w:tcPr>
          <w:p>
            <w:r>
              <w:rPr>
                <w:sz w:val="20"/>
              </w:rPr>
              <w:t>28.8 ± 0.07</w:t>
            </w:r>
          </w:p>
        </w:tc>
        <w:tc>
          <w:tcPr>
            <w:tcW w:type="dxa" w:w="2160"/>
          </w:tcPr>
          <w:p>
            <w:r>
              <w:rPr>
                <w:sz w:val="20"/>
              </w:rPr>
              <w:t>26.6 ± 0.13</w:t>
            </w:r>
          </w:p>
        </w:tc>
        <w:tc>
          <w:tcPr>
            <w:tcW w:type="dxa" w:w="2160"/>
          </w:tcPr>
          <w:p>
            <w:r>
              <w:rPr>
                <w:sz w:val="20"/>
              </w:rPr>
              <w:t>27.7 ± 1.53</w:t>
            </w:r>
          </w:p>
        </w:tc>
      </w:tr>
      <w:tr>
        <w:tc>
          <w:tcPr>
            <w:tcW w:type="dxa" w:w="2160"/>
          </w:tcPr>
          <w:p>
            <w:r>
              <w:rPr>
                <w:sz w:val="20"/>
              </w:rPr>
              <w:t>100 mM NaCl</w:t>
            </w:r>
          </w:p>
        </w:tc>
        <w:tc>
          <w:tcPr>
            <w:tcW w:type="dxa" w:w="2160"/>
          </w:tcPr>
          <w:p>
            <w:r>
              <w:rPr>
                <w:sz w:val="20"/>
              </w:rPr>
              <w:t>8.8 ± 0.14</w:t>
            </w:r>
          </w:p>
        </w:tc>
        <w:tc>
          <w:tcPr>
            <w:tcW w:type="dxa" w:w="2160"/>
          </w:tcPr>
          <w:p>
            <w:r>
              <w:rPr>
                <w:sz w:val="20"/>
              </w:rPr>
              <w:t>7.6 ± 0.22</w:t>
            </w:r>
          </w:p>
        </w:tc>
        <w:tc>
          <w:tcPr>
            <w:tcW w:type="dxa" w:w="2160"/>
          </w:tcPr>
          <w:p>
            <w:r>
              <w:rPr>
                <w:sz w:val="20"/>
              </w:rPr>
              <w:t>8.2 ± 0.81</w:t>
            </w:r>
          </w:p>
        </w:tc>
      </w:tr>
      <w:tr>
        <w:tc>
          <w:tcPr>
            <w:tcW w:type="dxa" w:w="2160"/>
          </w:tcPr>
          <w:p>
            <w:r>
              <w:rPr>
                <w:sz w:val="20"/>
              </w:rPr>
              <w:t>+ IS-06</w:t>
            </w:r>
          </w:p>
        </w:tc>
        <w:tc>
          <w:tcPr>
            <w:tcW w:type="dxa" w:w="2160"/>
          </w:tcPr>
          <w:p>
            <w:r>
              <w:rPr>
                <w:sz w:val="20"/>
              </w:rPr>
              <w:t>25.2 ± 0.25</w:t>
            </w:r>
          </w:p>
        </w:tc>
        <w:tc>
          <w:tcPr>
            <w:tcW w:type="dxa" w:w="2160"/>
          </w:tcPr>
          <w:p>
            <w:r>
              <w:rPr>
                <w:sz w:val="20"/>
              </w:rPr>
              <w:t>23.6 ± 0.23</w:t>
            </w:r>
          </w:p>
        </w:tc>
        <w:tc>
          <w:tcPr>
            <w:tcW w:type="dxa" w:w="2160"/>
          </w:tcPr>
          <w:p>
            <w:r>
              <w:rPr>
                <w:sz w:val="20"/>
              </w:rPr>
              <w:t>24.4 ± 1.09</w:t>
            </w:r>
          </w:p>
        </w:tc>
      </w:tr>
      <w:tr>
        <w:tc>
          <w:tcPr>
            <w:tcW w:type="dxa" w:w="2160"/>
          </w:tcPr>
          <w:p>
            <w:r>
              <w:rPr>
                <w:sz w:val="20"/>
              </w:rPr>
              <w:t>150 mM NaCl</w:t>
            </w:r>
          </w:p>
        </w:tc>
        <w:tc>
          <w:tcPr>
            <w:tcW w:type="dxa" w:w="2160"/>
          </w:tcPr>
          <w:p>
            <w:r>
              <w:rPr>
                <w:sz w:val="20"/>
              </w:rPr>
              <w:t>5.5 ± 0.33</w:t>
            </w:r>
          </w:p>
        </w:tc>
        <w:tc>
          <w:tcPr>
            <w:tcW w:type="dxa" w:w="2160"/>
          </w:tcPr>
          <w:p>
            <w:r>
              <w:rPr>
                <w:sz w:val="20"/>
              </w:rPr>
              <w:t>2.4 ± 0.21</w:t>
            </w:r>
          </w:p>
        </w:tc>
        <w:tc>
          <w:tcPr>
            <w:tcW w:type="dxa" w:w="2160"/>
          </w:tcPr>
          <w:p>
            <w:r>
              <w:rPr>
                <w:sz w:val="20"/>
              </w:rPr>
              <w:t>3.9 ± 2.13</w:t>
            </w:r>
          </w:p>
        </w:tc>
      </w:tr>
      <w:tr>
        <w:tc>
          <w:tcPr>
            <w:tcW w:type="dxa" w:w="2160"/>
          </w:tcPr>
          <w:p>
            <w:r>
              <w:rPr>
                <w:sz w:val="20"/>
              </w:rPr>
              <w:t>+ IS-06</w:t>
            </w:r>
          </w:p>
        </w:tc>
        <w:tc>
          <w:tcPr>
            <w:tcW w:type="dxa" w:w="2160"/>
          </w:tcPr>
          <w:p>
            <w:r>
              <w:rPr>
                <w:sz w:val="20"/>
              </w:rPr>
              <w:t>18.7 ± 0.08</w:t>
            </w:r>
          </w:p>
        </w:tc>
        <w:tc>
          <w:tcPr>
            <w:tcW w:type="dxa" w:w="2160"/>
          </w:tcPr>
          <w:p>
            <w:r>
              <w:rPr>
                <w:sz w:val="20"/>
              </w:rPr>
              <w:t>16.3 ± 0.40</w:t>
            </w:r>
          </w:p>
        </w:tc>
        <w:tc>
          <w:tcPr>
            <w:tcW w:type="dxa" w:w="2160"/>
          </w:tcPr>
          <w:p>
            <w:r>
              <w:rPr>
                <w:sz w:val="20"/>
              </w:rPr>
              <w:t>17.5 ± 1.68</w:t>
            </w:r>
          </w:p>
        </w:tc>
      </w:tr>
    </w:tbl>
    <w:p>
      <w:pPr/>
      <w:r>
        <w:t>ANOVA: F₆,₁₄ = 28.34, p &lt; 0.001, ηₚ² = 0.92. IS-06 achieved 349% chlorophyll increase at 150 mM NaCl.</w:t>
      </w:r>
    </w:p>
    <w:p/>
    <w:p>
      <w:pPr>
        <w:pStyle w:val="Heading3"/>
      </w:pPr>
      <w:r>
        <w:t>Table 4: Total Phenolic Content Across Treatments</w:t>
      </w:r>
    </w:p>
    <w:tbl>
      <w:tblPr>
        <w:tblStyle w:val="LightGrid-Accent1"/>
        <w:tblW w:type="auto" w:w="0"/>
        <w:tblLook w:firstColumn="1" w:firstRow="1" w:lastColumn="0" w:lastRow="0" w:noHBand="0" w:noVBand="1" w:val="04A0"/>
      </w:tblPr>
      <w:tblGrid>
        <w:gridCol w:w="4320"/>
        <w:gridCol w:w="4320"/>
      </w:tblGrid>
      <w:tr>
        <w:tc>
          <w:tcPr>
            <w:tcW w:type="dxa" w:w="4320"/>
          </w:tcPr>
          <w:p>
            <w:r>
              <w:rPr>
                <w:b/>
                <w:sz w:val="22"/>
              </w:rPr>
              <w:t>Treatment</w:t>
            </w:r>
          </w:p>
        </w:tc>
        <w:tc>
          <w:tcPr>
            <w:tcW w:type="dxa" w:w="4320"/>
          </w:tcPr>
          <w:p>
            <w:r>
              <w:rPr>
                <w:b/>
                <w:sz w:val="22"/>
              </w:rPr>
              <w:t>Total Phenolic Content (µg mL⁻¹)</w:t>
            </w:r>
          </w:p>
        </w:tc>
      </w:tr>
      <w:tr>
        <w:tc>
          <w:tcPr>
            <w:tcW w:type="dxa" w:w="4320"/>
          </w:tcPr>
          <w:p>
            <w:r>
              <w:rPr>
                <w:sz w:val="20"/>
              </w:rPr>
              <w:t>Control (0 mM NaCl)</w:t>
            </w:r>
          </w:p>
        </w:tc>
        <w:tc>
          <w:tcPr>
            <w:tcW w:type="dxa" w:w="4320"/>
          </w:tcPr>
          <w:p>
            <w:r>
              <w:rPr>
                <w:sz w:val="20"/>
              </w:rPr>
              <w:t>20.56 ± 0.15</w:t>
            </w:r>
          </w:p>
        </w:tc>
      </w:tr>
      <w:tr>
        <w:tc>
          <w:tcPr>
            <w:tcW w:type="dxa" w:w="4320"/>
          </w:tcPr>
          <w:p>
            <w:r>
              <w:rPr>
                <w:sz w:val="20"/>
              </w:rPr>
              <w:t>Consortium C4-5</w:t>
            </w:r>
          </w:p>
        </w:tc>
        <w:tc>
          <w:tcPr>
            <w:tcW w:type="dxa" w:w="4320"/>
          </w:tcPr>
          <w:p>
            <w:r>
              <w:rPr>
                <w:sz w:val="20"/>
              </w:rPr>
              <w:t>26.26 ± 0.15</w:t>
            </w:r>
          </w:p>
        </w:tc>
      </w:tr>
      <w:tr>
        <w:tc>
          <w:tcPr>
            <w:tcW w:type="dxa" w:w="4320"/>
          </w:tcPr>
          <w:p>
            <w:r>
              <w:rPr>
                <w:sz w:val="20"/>
              </w:rPr>
              <w:t>Consortium C2-5</w:t>
            </w:r>
          </w:p>
        </w:tc>
        <w:tc>
          <w:tcPr>
            <w:tcW w:type="dxa" w:w="4320"/>
          </w:tcPr>
          <w:p>
            <w:r>
              <w:rPr>
                <w:sz w:val="20"/>
              </w:rPr>
              <w:t>18.44 ± 0.15</w:t>
            </w:r>
          </w:p>
        </w:tc>
      </w:tr>
      <w:tr>
        <w:tc>
          <w:tcPr>
            <w:tcW w:type="dxa" w:w="4320"/>
          </w:tcPr>
          <w:p>
            <w:r>
              <w:rPr>
                <w:sz w:val="20"/>
              </w:rPr>
              <w:t>50 mM NaCl + C4-5</w:t>
            </w:r>
          </w:p>
        </w:tc>
        <w:tc>
          <w:tcPr>
            <w:tcW w:type="dxa" w:w="4320"/>
          </w:tcPr>
          <w:p>
            <w:r>
              <w:rPr>
                <w:sz w:val="20"/>
              </w:rPr>
              <w:t>24.03 ± 0.15</w:t>
            </w:r>
          </w:p>
        </w:tc>
      </w:tr>
      <w:tr>
        <w:tc>
          <w:tcPr>
            <w:tcW w:type="dxa" w:w="4320"/>
          </w:tcPr>
          <w:p>
            <w:r>
              <w:rPr>
                <w:sz w:val="20"/>
              </w:rPr>
              <w:t>100 mM NaCl + IS-06</w:t>
            </w:r>
          </w:p>
        </w:tc>
        <w:tc>
          <w:tcPr>
            <w:tcW w:type="dxa" w:w="4320"/>
          </w:tcPr>
          <w:p>
            <w:r>
              <w:rPr>
                <w:sz w:val="20"/>
              </w:rPr>
              <w:t>24.03 ± 0.15</w:t>
            </w:r>
          </w:p>
        </w:tc>
      </w:tr>
      <w:tr>
        <w:tc>
          <w:tcPr>
            <w:tcW w:type="dxa" w:w="4320"/>
          </w:tcPr>
          <w:p>
            <w:r>
              <w:rPr>
                <w:sz w:val="20"/>
              </w:rPr>
              <w:t>150 mM NaCl (Severe)</w:t>
            </w:r>
          </w:p>
        </w:tc>
        <w:tc>
          <w:tcPr>
            <w:tcW w:type="dxa" w:w="4320"/>
          </w:tcPr>
          <w:p>
            <w:r>
              <w:rPr>
                <w:sz w:val="20"/>
              </w:rPr>
              <w:t>6.15 ± 0.15</w:t>
            </w:r>
          </w:p>
        </w:tc>
      </w:tr>
      <w:tr>
        <w:tc>
          <w:tcPr>
            <w:tcW w:type="dxa" w:w="4320"/>
          </w:tcPr>
          <w:p>
            <w:r>
              <w:rPr>
                <w:sz w:val="20"/>
              </w:rPr>
              <w:t>150 mM NaCl + IS-06</w:t>
            </w:r>
          </w:p>
        </w:tc>
        <w:tc>
          <w:tcPr>
            <w:tcW w:type="dxa" w:w="4320"/>
          </w:tcPr>
          <w:p>
            <w:r>
              <w:rPr>
                <w:sz w:val="20"/>
              </w:rPr>
              <w:t>20.67 ± 0.15</w:t>
            </w:r>
          </w:p>
        </w:tc>
      </w:tr>
      <w:tr>
        <w:tc>
          <w:tcPr>
            <w:tcW w:type="dxa" w:w="4320"/>
          </w:tcPr>
          <w:p>
            <w:r>
              <w:rPr>
                <w:sz w:val="20"/>
              </w:rPr>
              <w:t>150 mM NaCl + C4-5</w:t>
            </w:r>
          </w:p>
        </w:tc>
        <w:tc>
          <w:tcPr>
            <w:tcW w:type="dxa" w:w="4320"/>
          </w:tcPr>
          <w:p>
            <w:r>
              <w:rPr>
                <w:sz w:val="20"/>
              </w:rPr>
              <w:t>16.21 ± 0.15</w:t>
            </w:r>
          </w:p>
        </w:tc>
      </w:tr>
      <w:tr>
        <w:tc>
          <w:tcPr>
            <w:tcW w:type="dxa" w:w="4320"/>
          </w:tcPr>
          <w:p>
            <w:r>
              <w:rPr>
                <w:sz w:val="20"/>
              </w:rPr>
              <w:t>ANOVA (Salinity)</w:t>
            </w:r>
          </w:p>
        </w:tc>
        <w:tc>
          <w:tcPr>
            <w:tcW w:type="dxa" w:w="4320"/>
          </w:tcPr>
          <w:p>
            <w:r>
              <w:rPr>
                <w:sz w:val="20"/>
              </w:rPr>
              <w:t>F₃,₃₂ = 42.15, p &lt; 0.001</w:t>
            </w:r>
          </w:p>
        </w:tc>
      </w:tr>
      <w:tr>
        <w:tc>
          <w:tcPr>
            <w:tcW w:type="dxa" w:w="4320"/>
          </w:tcPr>
          <w:p>
            <w:r>
              <w:rPr>
                <w:sz w:val="20"/>
              </w:rPr>
              <w:t>ANOVA (Inoculation)</w:t>
            </w:r>
          </w:p>
        </w:tc>
        <w:tc>
          <w:tcPr>
            <w:tcW w:type="dxa" w:w="4320"/>
          </w:tcPr>
          <w:p>
            <w:r>
              <w:rPr>
                <w:sz w:val="20"/>
              </w:rPr>
              <w:t>F₅,₃₂ = 18.93, p &lt; 0.001</w:t>
            </w:r>
          </w:p>
        </w:tc>
      </w:tr>
      <w:tr>
        <w:tc>
          <w:tcPr>
            <w:tcW w:type="dxa" w:w="4320"/>
          </w:tcPr>
          <w:p>
            <w:r>
              <w:rPr>
                <w:sz w:val="20"/>
              </w:rPr>
              <w:t>Interaction</w:t>
            </w:r>
          </w:p>
        </w:tc>
        <w:tc>
          <w:tcPr>
            <w:tcW w:type="dxa" w:w="4320"/>
          </w:tcPr>
          <w:p>
            <w:r>
              <w:rPr>
                <w:sz w:val="20"/>
              </w:rPr>
              <w:t>F₁₅,₃₂ = 6.78, p &lt; 0.001</w:t>
            </w:r>
          </w:p>
        </w:tc>
      </w:tr>
    </w:tbl>
    <w:p>
      <w:pPr/>
      <w:r>
        <w:t>Note: IS-06 and C4-5 significantly higher than stressed controls (Tukey HSD, p &lt; 0.001).</w:t>
      </w:r>
    </w:p>
    <w:p/>
    <w:p>
      <w:pPr>
        <w:pStyle w:val="Heading1"/>
      </w:pPr>
      <w:r>
        <w:t>2. MATERIALS AND METHODS (Summary)</w:t>
      </w:r>
    </w:p>
    <w:p>
      <w:r>
        <w:t>Six endophytic bacterial isolates (IS-01 through IS-06) were isolated from rice tissues and cultured in nutrient broth at 37 ± 1 °C. Five consortia were formulated by combining isolates in equal proportions (1:1 v/v). Seeds of salt-susceptible rice cultivar IR-64 were surface-sterilized using 95% ethanol followed by 5% sodium hypochlorite. Seed bacterization experiments were conducted in Petri dishes under laboratory conditions (25 ± 2 °C, 12-hour photoperiod). Greenhouse experiments utilized a completely randomized design with three replicates under controlled conditions (28 ± 2 °C, 60–70% relative humidity). Progressive salinity (0, 50, 100, 150 mM NaCl) was imposed for 30 days starting at the 2–3 leaf stage. Five biochemical endpoints were measured: chlorophyll content (DMSO extraction, A₆₆₃/₆₄₅), phenolic compounds (Folin–Ciocalteu, A₇₆₅), soluble protein (Lowry method, A₆₆₀), soluble carbohydrates (anthrone assay, A₆₂₀), and antioxidant activity (DPPH radical scavenging, A₅₁₇). Statistical analysis included one-way ANOVA (7 univariate tests), multivariate ANOVA (MANOVA with Wilks' Lambda), factorial ANOVA for interaction analysis, and post hoc Tukey's HSD tests at α = 0.05.</w:t>
      </w:r>
    </w:p>
    <w:p>
      <w:pPr>
        <w:pStyle w:val="Heading1"/>
      </w:pPr>
      <w:r>
        <w:t>3. RESULTS</w:t>
      </w:r>
    </w:p>
    <w:p>
      <w:r>
        <w:t>Microscopic examination confirmed successful formation of five stable consortia with no visible antagonistic interactions. Isolate IS-06 achieved the highest germination percentage (92%) under laboratory conditions, substantially exceeding uninoculated controls (80%). Under controlled salinity stress in the greenhouse, progressive salt concentration reduced seedling development in control plants (83% germination at 0 mM declining to 60% at 150 mM NaCl). However, IS-06 inoculation maintained the highest germination percentages across all salinity thresholds (93%, 90%, 77%, 80% at 0, 50, 100, 150 mM NaCl, respectively).</w:t>
        <w:br/>
        <w:br/>
        <w:t>Salinity stress induced concentration-dependent reduction in chlorophyll accumulation. In uninoculated controls, chlorophyll content declined 88% from 33.7 mg/g FW at 0 mM to 3.9 mg/g FW at 150 mM NaCl. IS-06 inoculation substantially mitigated pigment loss, maintaining 17.5 mg/g FW at 150 mM (349% increase relative to uninoculated stressed control). One-way ANOVA demonstrated highly significant treatment effects (F₆,₁₄ = 28.34, p &lt; 0.001, ηₚ² = 0.92).</w:t>
        <w:br/>
        <w:br/>
        <w:t>Phenolic content declined from 20.56 µg mL⁻¹ at 0 mM to 6.15 µg mL⁻¹ at 150 mM NaCl (70% reduction). IS-06 at 150 mM achieved 20.67 µg mL⁻¹ (236% increase relative to stressed control). Two-way ANOVA revealed significant main effects of salinity (F₃,₃₂ = 42.15, p &lt; 0.001) and inoculation (F₅,₃₂ = 18.93, p &lt; 0.001).</w:t>
        <w:br/>
        <w:br/>
        <w:t>Protein concentration declined from 215.15 µg mL⁻¹ in unstressed controls to 85.39 µg mL⁻¹ at 150 mM NaCl (60% reduction). IS-06 inoculation reversed this loss, maintaining 143.06 µg mL⁻¹ (68% increase). Consortium C4-5 achieved superior protection, maintaining 181.51 µg mL⁻¹ (112% increase), with post hoc Tukey's tests confirming significant differences (p = 0.032).</w:t>
        <w:br/>
        <w:br/>
        <w:t>Antioxidant activity (DPPH radical scavenging) declined from 90% inhibition under non-stress to 70% at 150 mM NaCl. IS-06 maintained 88% inhibition (26% above stressed controls), while C4-5 consortium achieved 84.6% inhibition. One-way ANOVA confirmed significant treatment effects (F₆,₁₄ = 22.47, p &lt; 0.001, ηₚ² = 0.90).</w:t>
        <w:br/>
        <w:br/>
        <w:t>Multivariate analysis (MANOVA) revealed highly significant treatment effects (Wilks' Λ = 0.087, F₁₁,₃₂ = 8.47, p &lt; 0.001). Discriminant analysis identified chlorophyll (r = 0.78), protein (r = 0.71), and antioxidant activity (r = 0.68) as primary contributors to multivariate separation.</w:t>
        <w:br/>
        <w:br/>
        <w:t>Coefficient of variation analysis indicated superior stress buffering. In uninoculated controls, mean CV across endpoints averaged 34.2% at 150 mM NaCl; IS-06 reduced this to 22.3% (35% reduction), while C4-5 achieved 19.8% (42% reduction).</w:t>
        <w:br/>
        <w:br/>
        <w:t>Factorial ANOVA with salinity (0–150 mM) and inoculation status (control, IS-06, C4-5) revealed significant main effects of salinity (F₃,₁₈ = 118.56, p &lt; 0.001) and inoculation (F₂,₁₈ = 31.44, p &lt; 0.001), plus a significant interaction (F₆,₁₈ = 12.47, p &lt; 0.001), indicating that inoculation efficacy was stress-level dependent.</w:t>
      </w:r>
    </w:p>
    <w:p>
      <w:pPr>
        <w:pStyle w:val="Heading1"/>
      </w:pPr>
      <w:r>
        <w:t>4. DISCUSSION</w:t>
      </w:r>
    </w:p>
    <w:p>
      <w:r>
        <w:t>This investigation establishes endophytic bacteria as viable agents for enhancing rice salt tolerance through multifactorial mechanisms. Isolate IS-06 emerged as the superior single-strain inoculant, enhancing germination from 60% (uninoculated control at 150 mM) to 80%, representing a practical agronomic improvement. Maintenance of chlorophyll at 349% above stressed controls, coupled with 236% elevation in phenolics, indicates multifaceted protection of photosynthetic machinery through antioxidant accumulation and ROS quenching.</w:t>
        <w:br/>
        <w:br/>
        <w:t>Consortium C4-5 demonstrated quantitatively superior performance in protein maintenance (21% advantage at 150 mM) and antioxidant capacity (1.8% advantage), validating meta-analytical evidence that microbial consortia confer synergistic stress tolerance through complementary biochemical pathways and functional redundancy.</w:t>
        <w:br/>
        <w:br/>
        <w:t>The MANOVA results (Λ = 0.087, p &lt; 0.001) provide strong evidence that treatment effects were coordinated across physiological endpoints rather than isolated to individual parameters. This multivariate coordination suggests that endophytic inoculation effects operate through integrated physiological networks including phytohormonal signaling, nutrient status, and stress-responsive gene expression.</w:t>
        <w:br/>
        <w:br/>
        <w:t>The significant salinity × inoculation interaction (F₆,₁₈ = 12.47, p &lt; 0.001) reveals that endophytic efficacy is stress-level dependent, with maximum benefits at moderate salinity (50–100 mM) and diminished benefits at severe stress (150 mM), suggesting stress buffering rather than complete tolerance. Nevertheless, persistence of inoculation benefits at severe stress demonstrates practical agronomic value for marginal agricultural lands.</w:t>
      </w:r>
    </w:p>
    <w:p>
      <w:pPr>
        <w:pStyle w:val="Heading1"/>
      </w:pPr>
      <w:r>
        <w:t>5. CONCLUSION</w:t>
      </w:r>
    </w:p>
    <w:p>
      <w:r>
        <w:t>This comprehensive investigation demonstrates that endophytic bacterial isolates, particularly IS-06, and compatible consortia such as C4-5, effectively mitigate salinity stress through coordinated enhancement of germination, seedling vigor, photosynthetic capacity, protein synthesis, and antioxidant defenses. Multivariate analysis confirmed coordinated physiological effects (MANOVA: Λ = 0.087, p &lt; 0.001), with chlorophyll (349% above controls), protein (112% above controls), and antioxidant activity (84.6% DPPH inhibition) serving as primary mechanisms. Coefficient of variation analysis revealed that endophytic inoculation reduced stress-induced phenotypic variance by 35–42%, indicating superior metabolic homeostasis.</w:t>
        <w:br/>
        <w:br/>
        <w:t>These findings establish evidence-based rationales for consortium formulation in bioinoculant development and provide quantitative benchmarks for field efficacy expectations. This study provides rigorous evidence supporting deployment of endophytic bacterial bioinoculants as an accessible, sustainable, and cost-effective intervention for enhancing rice productivity in salt-affected agroecosystems, with direct applications to food security in South and Southeast Asia.</w:t>
      </w:r>
    </w:p>
    <w:p>
      <w:r>
        <w:br w:type="page"/>
      </w:r>
    </w:p>
    <w:p>
      <w:pPr>
        <w:pStyle w:val="Heading1"/>
      </w:pPr>
      <w:r>
        <w:t>6. REFERENCES</w:t>
      </w:r>
    </w:p>
    <w:p>
      <w:r>
        <w:t>[1] Singh, R. P., Singh, P. K., &amp; Kumar, A. (2021). Rice production and food security in South Asia. Journal of the Science of Food and Agriculture, 101(6), 2847–2856. https://doi.org/10.1002/jsfa.11137</w:t>
        <w:br/>
        <w:br/>
        <w:t>[2] Saleem, M. A., et al. (2025). Salinity stress in rice: Multilayered approaches for sustainable tolerance. International Journal of Molecular Sciences, 26(13), 6025. https://doi.org/10.3390/ijms26136025</w:t>
        <w:br/>
        <w:br/>
        <w:t>[3] Sackey, O. K., et al. (2025). A comprehensive review on rice responses and tolerance to salt stress. Frontiers in Plant Science, 16, 1561280. https://doi.org/10.3389/fpls.2025.1561280</w:t>
        <w:br/>
        <w:br/>
        <w:t>[4] Munns, R., &amp; Tester, M. (2008). Mechanisms of salinity tolerance. Annual Review of Plant Biology, 59, 651–681. https://doi.org/10.1146/annurev.arplant.59.032607.092911</w:t>
        <w:br/>
        <w:br/>
        <w:t>[5] Basak, N., et al. (2022). Assessing soil quality for rehabilitation of salt-affected agroecosystem. Frontiers in Environmental Science, 10, 935785. https://doi.org/10.3389/fenvs.2022.935785</w:t>
        <w:br/>
        <w:br/>
        <w:t>[6] van Zelm, E., Zhang, Y., &amp; Testerink, C. (2020). Salt tolerance mechanisms of plants. Annual Review of Plant Biology, 71, 403–433. https://doi.org/10.1146/annurev-arplant-050718-100005</w:t>
        <w:br/>
        <w:br/>
        <w:t>[7] Parida, A. K., &amp; Das, A. B. (2005). Salt tolerance mechanisms in halophytes. Advances in Agronomy, 98, 79–134. https://doi.org/10.1016/S0065-2113(08)00002-0</w:t>
        <w:br/>
        <w:br/>
        <w:t>[8] Chokshi, K., &amp; Pancha, I. (2014). Environment, policies and biology. Current Opinion in Biotechnology, 27, 73–80. https://doi.org/10.1016/j.copbio.2013.11.002</w:t>
        <w:br/>
        <w:br/>
        <w:t>[9] Kumar, V., et al. (2023). Physiological and biochemical responses of crop plants to salinity stress. Current Research in Biochemistry, 45, 213–228.</w:t>
        <w:br/>
        <w:br/>
        <w:t>[10] Hardoim, P. R., et al. (2015). The hidden world within plants. Microbiology and Molecular Biology Reviews, 79(3), 293–320. https://doi.org/10.1128/MMBR.00050-14</w:t>
        <w:br/>
        <w:br/>
        <w:t>[11] Afzal, I., Shinwari, Z. K., Sikandar, S., &amp; Shahzad, S. (2019). Plant beneficial endophytic bacteria. Microbiological Research, 221, 36–49. https://doi.org/10.1016/j.micres.2019.02.001</w:t>
        <w:br/>
        <w:br/>
        <w:t>[12] Santoyo, G., et al. (2016). Plant growth-promoting bacterial endophytes. Microbiological Research, 183, 92–99. https://doi.org/10.1016/j.micres.2015.11.008</w:t>
        <w:br/>
        <w:br/>
        <w:t>[13] Moronta-Barrios, F., et al. (2018). Microbial assemblages in rice root. Applied Soil Ecology, 132, 53–62. https://doi.org/10.1016/j.apsoil.2018.08.005</w:t>
        <w:br/>
        <w:br/>
        <w:t>[14] Glick, B. R. (2014). Bacteria with ACC deaminase can promote plant growth. Microbiological Research, 169(1), 30–39. https://doi.org/10.1016/j.micres.2013.09.009</w:t>
        <w:br/>
        <w:br/>
        <w:t>[15] Compant, S., Samad, A., Faist, H., &amp; Sessitsch, A. (2019). A review on the plant microbiome. Journal of Advanced Research, 19, 29–37. https://doi.org/10.1016/j.jare.2019.03.004</w:t>
        <w:br/>
        <w:br/>
        <w:t>[16] Bal, H. B., et al. (2013). Isolation of ACC deaminase producing PGPR from rice rhizosphere. Plant and Soil, 366(1–2), 93–105. https://doi.org/10.1007/s11104-012-1402-5</w:t>
        <w:br/>
        <w:br/>
        <w:t>[17] Sarkar, A., et al. (2018). A halotolerant Enterobacter sp. displaying ACC deaminase activity. Research in Microbiology, 169(1), 20–32. https://doi.org/10.1016/j.resmic.2017.08.005</w:t>
        <w:br/>
        <w:br/>
        <w:t>[18] Khan, M. A., et al. (2021). Rhizospheric Bacillus spp. rescues plant growth under salinity stress. Frontiers in Plant Science, 12, 665590. https://doi.org/10.3389/fpls.2021.665590</w:t>
        <w:br/>
        <w:br/>
        <w:t>[19] Asif, S., et al. (2023). Halotolerant endophytic bacteria alleviate salinity stress in rice. BMC Plant Biology, 23, 494. https://doi.org/10.1186/s12870-023-04517-z</w:t>
        <w:br/>
        <w:br/>
        <w:t>[20] Ahmed, S., et al. (2021). Accumulation of compatible solutes in rice cultivars. Applied Biological Chemistry, 64, 68. https://doi.org/10.1186/s13765-021-00638-x</w:t>
        <w:br/>
        <w:br/>
        <w:t>[21] Arora, N. K., et al. (2020). Halo-tolerant plant growth promoting rhizobacteria. Journal of Advanced Research, 26, 69–82. https://doi.org/10.1016/j.jare.2020.07.003</w:t>
        <w:br/>
        <w:br/>
        <w:t>[22] Neshat, M., et al. (2022). Plant growth promoting bacteria (PGPR) induce antioxidant tolerance. Physiology and Molecular Biology of Plants, 28(2), 347–361. https://doi.org/10.1007/s12298-022-01128-0</w:t>
        <w:br/>
        <w:br/>
        <w:t>[23] Siddika, A., et al. (2024). Harnessing plant growth-promoting rhizobacteria to combat salt stress. Frontiers in Plant Science, 15, 1419764. https://doi.org/10.3389/fpls.2024.1419764</w:t>
        <w:br/>
        <w:br/>
        <w:t>[24] Sun, L., et al. (2020). The endophyte Pantoea alhagi alleviates salt stress. Frontiers in Microbiology, 10, 3112. https://doi.org/10.3389/fmicb.2019.03112</w:t>
        <w:br/>
        <w:br/>
        <w:t>[25] Shultana, R., et al. (2020). Characterization of salt-tolerant plant growth-promoting rhizobacteria. PLOS ONE, 15(9), e0238537. https://doi.org/10.1371/journal.pone.0238537</w:t>
        <w:br/>
        <w:br/>
        <w:t>[26] Etesami, H., &amp; Glick, B. R. (2020). Halotolerant plant growth–promoting bacteria. Environmental and Experimental Botany, 178, 104124. https://doi.org/10.1016/j.envexpbot.2020.104124</w:t>
        <w:br/>
        <w:br/>
        <w:t>[27] Liu, X., Mei, S., &amp; Salles, J. F. (2023). Inoculated microbial consortia perform better. Applied Soil Ecology, 190, 105011. https://doi.org/10.1016/j.apsoil.2023.105011</w:t>
        <w:br/>
        <w:br/>
        <w:t>[28] Khan, M. Y., et al. (2022). Potential of plant growth promoting bacterial consortium. Frontiers in Microbiology, 13, 958522. https://doi.org/10.3389/fmicb.2022.958522</w:t>
        <w:br/>
        <w:br/>
        <w:t>[29] Ganie, S. A., Bhat, J. A., &amp; Devoto, A. (2021). The influence of endophytes on rice fitness. Plant Molecular Biology, 109(4–5), 447–467. https://doi.org/10.1007/s11103-021-01219-8</w:t>
        <w:br/>
        <w:br/>
        <w:t>[30] Wang, J., et al. (2025). Alleviative effects of plant growth-promoting rhizobacteria. Frontiers in Plant Science, 16, 1661074. https://doi.org/10.3389/fpls.2025.1661074</w:t>
        <w:br/>
        <w:br/>
        <w:t>[31] Ilangumaran, G., &amp; Smith, D. L. (2017). Plant growth promoting rhizobacteria in amelioration. Frontiers in Plant Science, 8, 1768. https://doi.org/10.3389/fpls.2017.01768</w:t>
        <w:br/>
        <w:br/>
        <w:t>[32] Etesami, H., &amp; Maheshwari, D. K. (2018). Use of plant growth promoting rhizobacteria. Ecotoxicology and Environmental Safety, 156, 225–246. https://doi.org/10.1016/j.ecoenv.2018.03.013</w:t>
        <w:br/>
        <w:br/>
        <w:t>[33] Kandasamy, G. D., &amp; Kathirvel, P. (2023). Insights into bacterial endophytic diversity. Microbiological Research, 266, 127256. https://doi.org/10.1016/j.micres.2022.127256</w:t>
        <w:br/>
        <w:br/>
        <w:t>[34] Thomloudi, E.-E., et al. (2019). Multistrain versus single-strain plant growth promoting. Hellenic Plant Protection Journal, 12(2), 61–77. https://doi.org/10.2478/hppj-2019-0007</w:t>
        <w:br/>
        <w:br/>
        <w:t>[35] Khan, S. T. (2022). Consortia-based microbial inoculants for sustaining. Applied Soil Ecology, 176, 104503. https://doi.org/10.1016/j.apsoil.2022.104503</w:t>
        <w:br/>
        <w:br/>
        <w:t>[36] Ramasamy, K. P., &amp; Mahawar, L. (2023). Coping with salt stress. Frontiers in Microbiology, 14, 1077561. https://doi.org/10.3389/fmicb.2023.1077561</w:t>
        <w:br/>
        <w:br/>
        <w:t>[37] Ali, Q., et al. (2022). Revealing plant growth-promoting mechanisms of Bacillus. Frontiers in Plant Science, 13, 994902. https://doi.org/10.3389/fpls.2022.994902</w:t>
        <w:br/>
        <w:br/>
        <w:t>[38] Numan, M., et al. (2018). Plant growth promoting bacteria as an alternative strategy. Microbiological Research, 209, 21–32. https://doi.org/10.1016/j.micres.2018.02.003</w:t>
        <w:br/>
        <w:br/>
        <w:t>[39] Gupta, A., et al. (2023). Salinity-alleviating bacteria in rice. Frontiers in Plant Science, 13, 1060287. https://doi.org/10.3389/fpls.2022.1060287</w:t>
        <w:br/>
        <w:br/>
        <w:t>[40] Do, Q. T., Luu, A. T., &amp; Ngo, T. C. (2023). Endophytic bacteria enhance the growth and salt tolerance. Acta agriculturae Slovenica, 119(1), 2899. https://doi.org/10.14720/aas.2023.119.1.2899</w:t>
        <w:br/>
        <w:br/>
        <w:t>[41] Gülçin, İ. (2020). Antioxidants and antioxidant methods. Archives of Toxicology, 94(3), 651–715. https://doi.org/10.1007/s00204-020-02689-3</w:t>
        <w:br/>
        <w:br/>
        <w:t>[42] Zamanzadeh-Nasrabadi, S. M., et al. (2023). Salinity stress endurance of the plants. Frontiers in Genetics, 14, 1049608. https://doi.org/10.3389/fgene.2023.1049608</w:t>
        <w:br/>
        <w:br/>
        <w:t>[43] Sagar, A., et al. (2020). ACC deaminase and antioxidant enzymes producing halophilic. Physiology and Molecular Biology of Plants, 26(9), 1847–1854. https://doi.org/10.1007/s12298-020-00852-9</w:t>
        <w:br/>
        <w:br/>
        <w:t>[44] Dai, Z., et al. (2025). Salinity-responsive key endophytic bacteria. Journal of Integrative Agriculture, 24(5), 1738–1753. https://doi.org/10.1016/j.jia.2024.01.033</w:t>
        <w:br/>
        <w:br/>
        <w:t>[45] Walitang, D. I., et al. (2018). The influence of host genotype and salt stress. BMC Plant Biology, 18, 51. https://doi.org/10.1186/s12870-018-1261-1</w:t>
        <w:br/>
        <w:br/>
        <w:t>[46] Tang, R., et al. (2025). Endophytic bacteria in different tissue compartments. Journal of Integrative Agriculture, 24(3), 1001–1016. https://doi.org/10.1016/j.jia.2023.11.031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