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0000"/>
        </w:rPr>
        <w:t>Response to supervisor comments – Round 2</w:t>
      </w:r>
    </w:p>
    <w:p>
      <w:r>
        <w:rPr>
          <w:b w:val="0"/>
          <w:i w:val="0"/>
          <w:color w:val="000000"/>
        </w:rPr>
        <w:t>Endophytic bacteria and dual-strain consortia alleviate salinity stress in rice (</w:t>
      </w:r>
      <w:r>
        <w:rPr>
          <w:b w:val="0"/>
          <w:i/>
          <w:color w:val="000000"/>
        </w:rPr>
        <w:t>Oryza sativa</w:t>
      </w:r>
      <w:r>
        <w:rPr>
          <w:b w:val="0"/>
          <w:i w:val="0"/>
          <w:color w:val="000000"/>
        </w:rPr>
        <w:t xml:space="preserve"> L. cv. IR-64) seedlings through physiological and biochemical responses</w:t>
      </w:r>
    </w:p>
    <w:p>
      <w:pPr>
        <w:jc w:val="both"/>
      </w:pPr>
      <w:r>
        <w:rPr>
          <w:b w:val="0"/>
          <w:i w:val="0"/>
          <w:color w:val="000000"/>
        </w:rPr>
        <w:t>Each block marked “PASTE” is ready to replace the corresponding paragraph in the manuscript. Data were checked against the recorded treatment means and SDs (the progress-report data used for every table and figure; data_long.csv). The 192-pot second-trial sheet was not used, because those data are still on hold pending verification.</w:t>
      </w:r>
    </w:p>
    <w:p>
      <w:r>
        <w:rPr>
          <w:b/>
          <w:i w:val="0"/>
          <w:color w:val="000000"/>
        </w:rPr>
        <w:t>1. Figure 3 error bars</w:t>
      </w:r>
    </w:p>
    <w:p>
      <w:pPr>
        <w:jc w:val="both"/>
      </w:pPr>
      <w:r>
        <w:rPr>
          <w:b/>
          <w:i w:val="0"/>
          <w:color w:val="000000"/>
        </w:rPr>
        <w:t>Finding.</w:t>
      </w:r>
      <w:r>
        <w:rPr>
          <w:b w:val="0"/>
          <w:i w:val="0"/>
          <w:color w:val="000000"/>
        </w:rPr>
        <w:t xml:space="preserve"> The error bars were present in the earlier Fig. 3 but were hidden behind the plot symbols. Most recorded SDs are very small relative to the axis range,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Panel</w:t>
            </w:r>
          </w:p>
        </w:tc>
        <w:tc>
          <w:tcPr>
            <w:tcW w:type="dxa" w:w="2160"/>
          </w:tcPr>
          <w:p>
            <w:r>
              <w:rPr>
                <w:b/>
                <w:sz w:val="20"/>
              </w:rPr>
              <w:t>Trait</w:t>
            </w:r>
          </w:p>
        </w:tc>
        <w:tc>
          <w:tcPr>
            <w:tcW w:type="dxa" w:w="2160"/>
          </w:tcPr>
          <w:p>
            <w:r>
              <w:rPr>
                <w:b/>
                <w:sz w:val="20"/>
              </w:rPr>
              <w:t>SD recorded?</w:t>
            </w:r>
          </w:p>
        </w:tc>
        <w:tc>
          <w:tcPr>
            <w:tcW w:type="dxa" w:w="2160"/>
          </w:tcPr>
          <w:p>
            <w:r>
              <w:rPr>
                <w:b/>
                <w:sz w:val="20"/>
              </w:rPr>
              <w:t>Recorded SD range</w:t>
            </w:r>
          </w:p>
        </w:tc>
      </w:tr>
      <w:tr>
        <w:tc>
          <w:tcPr>
            <w:tcW w:type="dxa" w:w="2160"/>
          </w:tcPr>
          <w:p>
            <w:r>
              <w:rPr>
                <w:b w:val="0"/>
                <w:sz w:val="20"/>
              </w:rPr>
              <w:t>(a)</w:t>
            </w:r>
          </w:p>
        </w:tc>
        <w:tc>
          <w:tcPr>
            <w:tcW w:type="dxa" w:w="2160"/>
          </w:tcPr>
          <w:p>
            <w:r>
              <w:rPr>
                <w:b w:val="0"/>
                <w:sz w:val="20"/>
              </w:rPr>
              <w:t>Chlorophyll a</w:t>
            </w:r>
          </w:p>
        </w:tc>
        <w:tc>
          <w:tcPr>
            <w:tcW w:type="dxa" w:w="2160"/>
          </w:tcPr>
          <w:p>
            <w:r>
              <w:rPr>
                <w:b w:val="0"/>
                <w:sz w:val="20"/>
              </w:rPr>
              <w:t>Yes, all 20 points</w:t>
            </w:r>
          </w:p>
        </w:tc>
        <w:tc>
          <w:tcPr>
            <w:tcW w:type="dxa" w:w="2160"/>
          </w:tcPr>
          <w:p>
            <w:r>
              <w:rPr>
                <w:b w:val="0"/>
                <w:sz w:val="20"/>
              </w:rPr>
              <w:t>0.03–0.77 mg L⁻¹</w:t>
            </w:r>
          </w:p>
        </w:tc>
      </w:tr>
      <w:tr>
        <w:tc>
          <w:tcPr>
            <w:tcW w:type="dxa" w:w="2160"/>
          </w:tcPr>
          <w:p>
            <w:r>
              <w:rPr>
                <w:b w:val="0"/>
                <w:sz w:val="20"/>
              </w:rPr>
              <w:t>(b)</w:t>
            </w:r>
          </w:p>
        </w:tc>
        <w:tc>
          <w:tcPr>
            <w:tcW w:type="dxa" w:w="2160"/>
          </w:tcPr>
          <w:p>
            <w:r>
              <w:rPr>
                <w:b w:val="0"/>
                <w:sz w:val="20"/>
              </w:rPr>
              <w:t>Soluble protein</w:t>
            </w:r>
          </w:p>
        </w:tc>
        <w:tc>
          <w:tcPr>
            <w:tcW w:type="dxa" w:w="2160"/>
          </w:tcPr>
          <w:p>
            <w:r>
              <w:rPr>
                <w:b w:val="0"/>
                <w:sz w:val="20"/>
              </w:rPr>
              <w:t>Yes, all 20 points</w:t>
            </w:r>
          </w:p>
        </w:tc>
        <w:tc>
          <w:tcPr>
            <w:tcW w:type="dxa" w:w="2160"/>
          </w:tcPr>
          <w:p>
            <w:r>
              <w:rPr>
                <w:b w:val="0"/>
                <w:sz w:val="20"/>
              </w:rPr>
              <w:t>0.15 µg mL⁻¹ at every point</w:t>
            </w:r>
          </w:p>
        </w:tc>
      </w:tr>
      <w:tr>
        <w:tc>
          <w:tcPr>
            <w:tcW w:type="dxa" w:w="2160"/>
          </w:tcPr>
          <w:p>
            <w:r>
              <w:rPr>
                <w:b w:val="0"/>
                <w:sz w:val="20"/>
              </w:rPr>
              <w:t>(c)</w:t>
            </w:r>
          </w:p>
        </w:tc>
        <w:tc>
          <w:tcPr>
            <w:tcW w:type="dxa" w:w="2160"/>
          </w:tcPr>
          <w:p>
            <w:r>
              <w:rPr>
                <w:b w:val="0"/>
                <w:sz w:val="20"/>
              </w:rPr>
              <w:t>Soluble sugars</w:t>
            </w:r>
          </w:p>
        </w:tc>
        <w:tc>
          <w:tcPr>
            <w:tcW w:type="dxa" w:w="2160"/>
          </w:tcPr>
          <w:p>
            <w:r>
              <w:rPr>
                <w:b w:val="0"/>
                <w:sz w:val="20"/>
              </w:rPr>
              <w:t>Control, IS-06, IS-05 only; NOT recorded for C4-5 and C2-5</w:t>
            </w:r>
          </w:p>
        </w:tc>
        <w:tc>
          <w:tcPr>
            <w:tcW w:type="dxa" w:w="2160"/>
          </w:tcPr>
          <w:p>
            <w:r>
              <w:rPr>
                <w:b w:val="0"/>
                <w:sz w:val="20"/>
              </w:rPr>
              <w:t>0.15 µg mL⁻¹ at every point</w:t>
            </w:r>
          </w:p>
        </w:tc>
      </w:tr>
      <w:tr>
        <w:tc>
          <w:tcPr>
            <w:tcW w:type="dxa" w:w="2160"/>
          </w:tcPr>
          <w:p>
            <w:r>
              <w:rPr>
                <w:b w:val="0"/>
                <w:sz w:val="20"/>
              </w:rPr>
              <w:t>(d)</w:t>
            </w:r>
          </w:p>
        </w:tc>
        <w:tc>
          <w:tcPr>
            <w:tcW w:type="dxa" w:w="2160"/>
          </w:tcPr>
          <w:p>
            <w:r>
              <w:rPr>
                <w:b w:val="0"/>
                <w:sz w:val="20"/>
              </w:rPr>
              <w:t>Root length</w:t>
            </w:r>
          </w:p>
        </w:tc>
        <w:tc>
          <w:tcPr>
            <w:tcW w:type="dxa" w:w="2160"/>
          </w:tcPr>
          <w:p>
            <w:r>
              <w:rPr>
                <w:b w:val="0"/>
                <w:sz w:val="20"/>
              </w:rPr>
              <w:t>Yes, all 20 points</w:t>
            </w:r>
          </w:p>
        </w:tc>
        <w:tc>
          <w:tcPr>
            <w:tcW w:type="dxa" w:w="2160"/>
          </w:tcPr>
          <w:p>
            <w:r>
              <w:rPr>
                <w:b w:val="0"/>
                <w:sz w:val="20"/>
              </w:rPr>
              <w:t>0.01–0.25 cm</w:t>
            </w:r>
          </w:p>
        </w:tc>
      </w:tr>
    </w:tbl>
    <w:p>
      <w:pPr>
        <w:jc w:val="both"/>
      </w:pPr>
      <w:r>
        <w:rPr>
          <w:b/>
          <w:i w:val="0"/>
          <w:color w:val="000000"/>
        </w:rPr>
        <w:t>Action.</w:t>
      </w:r>
      <w:r>
        <w:rPr>
          <w:b w:val="0"/>
          <w:i w:val="0"/>
          <w:color w:val="000000"/>
        </w:rPr>
        <w:t xml:space="preserve"> Fig. 3 was redrawn at 600 dpi (exceeds the 300 dpi requirement): open symbols, black error bars with caps drawn on top, points offset horizontally so bars do not overlap, solid lines for control, IS-06 and IS-05, dashed lines for C4-5 and C2-5, and the SD range printed in each panel. File: figures/Fig3_doseresponse.png. Replace the old image in Word with this file.</w:t>
      </w:r>
    </w:p>
    <w:p>
      <w:pPr>
        <w:jc w:val="both"/>
      </w:pPr>
      <w:r>
        <w:rPr>
          <w:b/>
          <w:i w:val="0"/>
          <w:color w:val="000000"/>
        </w:rPr>
        <w:t>Caution for the professor’s second comment (“check error bar values”).</w:t>
      </w:r>
      <w:r>
        <w:rPr>
          <w:b w:val="0"/>
          <w:i w:val="0"/>
          <w:color w:val="000000"/>
        </w:rPr>
        <w:t xml:space="preserve"> The identical SD of ±0.15 at every point for protein and sugars is not biologically plausible for three independent plants; it usually means an instrument or pipetting SD was entered for all treatments. This is already disclosed in the Table 3 footnote and Section 4.7. If the three individual replicate readings exist in the lab notebook, recompute the SDs from them; otherwise keep the disclosure.</w:t>
      </w:r>
    </w:p>
    <w:p>
      <w:pPr>
        <w:jc w:val="both"/>
      </w:pPr>
      <w:r>
        <w:rPr>
          <w:b/>
          <w:i w:val="0"/>
          <w:color w:val="000000"/>
        </w:rPr>
        <w:t>PASTE – new Fig. 3 caption:</w:t>
      </w:r>
    </w:p>
    <w:p>
      <w:pPr>
        <w:jc w:val="both"/>
      </w:pPr>
      <w:r>
        <w:rPr>
          <w:b/>
          <w:i w:val="0"/>
          <w:color w:val="000000"/>
        </w:rPr>
        <w:t>Fig. 3.</w:t>
      </w:r>
      <w:r>
        <w:rPr>
          <w:b w:val="0"/>
          <w:i w:val="0"/>
          <w:color w:val="000000"/>
        </w:rPr>
        <w:t xml:space="preserve"> Dose–response of (a) chlorophyll </w:t>
      </w:r>
      <w:r>
        <w:rPr>
          <w:b w:val="0"/>
          <w:i/>
          <w:color w:val="000000"/>
        </w:rPr>
        <w:t>a</w:t>
      </w:r>
      <w:r>
        <w:rPr>
          <w:b w:val="0"/>
          <w:i w:val="0"/>
          <w:color w:val="000000"/>
        </w:rPr>
        <w:t>, (b) soluble protein, (c) soluble sugars and (d) root length to NaCl in uninoculated rice and in plants inoculated with the single isolates IS-06 and IS-05 (solid lines) and the consortia C4-5 and C2-5 (dashed lines). Values are means of three replicates; error bars are SD (n = 3) and, where not visible, are smaller than the symbol. The SD range of each panel is shown in the upper right. Replicate SDs were not recorded for consortium soluble sugars, so these points have no error bars. Points are offset horizontally for clarity. The low IS-05 root value at 100 mM is shown as recorded.</w:t>
      </w:r>
    </w:p>
    <w:p>
      <w:r>
        <w:rPr>
          <w:b/>
          <w:i w:val="0"/>
          <w:color w:val="000000"/>
        </w:rPr>
        <w:t>2. Table 2: checking the red values</w:t>
      </w:r>
    </w:p>
    <w:p>
      <w:pPr>
        <w:jc w:val="both"/>
      </w:pPr>
      <w:r>
        <w:rPr>
          <w:b w:val="0"/>
          <w:i w:val="0"/>
          <w:color w:val="000000"/>
        </w:rPr>
        <w:t>Germination was recalculated as germinated seeds/30 × 100 and SVI as germination (%) × (root + shoot length, cm), from the recorded counts and lengths.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Treatment</w:t>
            </w:r>
          </w:p>
        </w:tc>
        <w:tc>
          <w:tcPr>
            <w:tcW w:type="dxa" w:w="2160"/>
          </w:tcPr>
          <w:p>
            <w:r>
              <w:rPr>
                <w:b/>
                <w:sz w:val="20"/>
              </w:rPr>
              <w:t>Value in Table 2</w:t>
            </w:r>
          </w:p>
        </w:tc>
        <w:tc>
          <w:tcPr>
            <w:tcW w:type="dxa" w:w="2160"/>
          </w:tcPr>
          <w:p>
            <w:r>
              <w:rPr>
                <w:b/>
                <w:sz w:val="20"/>
              </w:rPr>
              <w:t>Recalculated from data</w:t>
            </w:r>
          </w:p>
        </w:tc>
        <w:tc>
          <w:tcPr>
            <w:tcW w:type="dxa" w:w="2160"/>
          </w:tcPr>
          <w:p>
            <w:r>
              <w:rPr>
                <w:b/>
                <w:sz w:val="20"/>
              </w:rPr>
              <w:t>Match?</w:t>
            </w:r>
          </w:p>
        </w:tc>
      </w:tr>
      <w:tr>
        <w:tc>
          <w:tcPr>
            <w:tcW w:type="dxa" w:w="2160"/>
          </w:tcPr>
          <w:p>
            <w:r>
              <w:rPr>
                <w:b w:val="0"/>
                <w:sz w:val="20"/>
              </w:rPr>
              <w:t>IS-01 germination 100 / 150 mM</w:t>
            </w:r>
          </w:p>
        </w:tc>
        <w:tc>
          <w:tcPr>
            <w:tcW w:type="dxa" w:w="2160"/>
          </w:tcPr>
          <w:p>
            <w:r>
              <w:rPr>
                <w:b w:val="0"/>
                <w:sz w:val="20"/>
              </w:rPr>
              <w:t>70.0 / 66.7</w:t>
            </w:r>
          </w:p>
        </w:tc>
        <w:tc>
          <w:tcPr>
            <w:tcW w:type="dxa" w:w="2160"/>
          </w:tcPr>
          <w:p>
            <w:r>
              <w:rPr>
                <w:b w:val="0"/>
                <w:sz w:val="20"/>
              </w:rPr>
              <w:t>21/30 = 70.0; 20/30 = 66.7</w:t>
            </w:r>
          </w:p>
        </w:tc>
        <w:tc>
          <w:tcPr>
            <w:tcW w:type="dxa" w:w="2160"/>
          </w:tcPr>
          <w:p>
            <w:r>
              <w:rPr>
                <w:b w:val="0"/>
                <w:sz w:val="20"/>
              </w:rPr>
              <w:t>Yes</w:t>
            </w:r>
          </w:p>
        </w:tc>
      </w:tr>
      <w:tr>
        <w:tc>
          <w:tcPr>
            <w:tcW w:type="dxa" w:w="2160"/>
          </w:tcPr>
          <w:p>
            <w:r>
              <w:rPr>
                <w:b w:val="0"/>
                <w:sz w:val="20"/>
              </w:rPr>
              <w:t>IS-02 germination 150 mM</w:t>
            </w:r>
          </w:p>
        </w:tc>
        <w:tc>
          <w:tcPr>
            <w:tcW w:type="dxa" w:w="2160"/>
          </w:tcPr>
          <w:p>
            <w:r>
              <w:rPr>
                <w:b w:val="0"/>
                <w:sz w:val="20"/>
              </w:rPr>
              <w:t>56.7</w:t>
            </w:r>
          </w:p>
        </w:tc>
        <w:tc>
          <w:tcPr>
            <w:tcW w:type="dxa" w:w="2160"/>
          </w:tcPr>
          <w:p>
            <w:r>
              <w:rPr>
                <w:b w:val="0"/>
                <w:sz w:val="20"/>
              </w:rPr>
              <w:t>17/30 = 56.7</w:t>
            </w:r>
          </w:p>
        </w:tc>
        <w:tc>
          <w:tcPr>
            <w:tcW w:type="dxa" w:w="2160"/>
          </w:tcPr>
          <w:p>
            <w:r>
              <w:rPr>
                <w:b w:val="0"/>
                <w:sz w:val="20"/>
              </w:rPr>
              <w:t>Yes</w:t>
            </w:r>
          </w:p>
        </w:tc>
      </w:tr>
      <w:tr>
        <w:tc>
          <w:tcPr>
            <w:tcW w:type="dxa" w:w="2160"/>
          </w:tcPr>
          <w:p>
            <w:r>
              <w:rPr>
                <w:b w:val="0"/>
                <w:sz w:val="20"/>
              </w:rPr>
              <w:t>C1-3 germ. 0/100/150 mM</w:t>
            </w:r>
          </w:p>
        </w:tc>
        <w:tc>
          <w:tcPr>
            <w:tcW w:type="dxa" w:w="2160"/>
          </w:tcPr>
          <w:p>
            <w:r>
              <w:rPr>
                <w:b w:val="0"/>
                <w:sz w:val="20"/>
              </w:rPr>
              <w:t>66.7 / 70.0 / 66.7</w:t>
            </w:r>
          </w:p>
        </w:tc>
        <w:tc>
          <w:tcPr>
            <w:tcW w:type="dxa" w:w="2160"/>
          </w:tcPr>
          <w:p>
            <w:r>
              <w:rPr>
                <w:b w:val="0"/>
                <w:sz w:val="20"/>
              </w:rPr>
              <w:t>20, 21, 20 of 30</w:t>
            </w:r>
          </w:p>
        </w:tc>
        <w:tc>
          <w:tcPr>
            <w:tcW w:type="dxa" w:w="2160"/>
          </w:tcPr>
          <w:p>
            <w:r>
              <w:rPr>
                <w:b w:val="0"/>
                <w:sz w:val="20"/>
              </w:rPr>
              <w:t>Yes</w:t>
            </w:r>
          </w:p>
        </w:tc>
      </w:tr>
      <w:tr>
        <w:tc>
          <w:tcPr>
            <w:tcW w:type="dxa" w:w="2160"/>
          </w:tcPr>
          <w:p>
            <w:r>
              <w:rPr>
                <w:b w:val="0"/>
                <w:sz w:val="20"/>
              </w:rPr>
              <w:t>C1-3 SVI 0 / 50 mM</w:t>
            </w:r>
          </w:p>
        </w:tc>
        <w:tc>
          <w:tcPr>
            <w:tcW w:type="dxa" w:w="2160"/>
          </w:tcPr>
          <w:p>
            <w:r>
              <w:rPr>
                <w:b w:val="0"/>
                <w:sz w:val="20"/>
              </w:rPr>
              <w:t>1409 / 1871</w:t>
            </w:r>
          </w:p>
        </w:tc>
        <w:tc>
          <w:tcPr>
            <w:tcW w:type="dxa" w:w="2160"/>
          </w:tcPr>
          <w:p>
            <w:r>
              <w:rPr>
                <w:b w:val="0"/>
                <w:sz w:val="20"/>
              </w:rPr>
              <w:t>66.67×21.13 = 1409; 73.33×25.52 = 1871</w:t>
            </w:r>
          </w:p>
        </w:tc>
        <w:tc>
          <w:tcPr>
            <w:tcW w:type="dxa" w:w="2160"/>
          </w:tcPr>
          <w:p>
            <w:r>
              <w:rPr>
                <w:b w:val="0"/>
                <w:sz w:val="20"/>
              </w:rPr>
              <w:t>Yes</w:t>
            </w:r>
          </w:p>
        </w:tc>
      </w:tr>
      <w:tr>
        <w:tc>
          <w:tcPr>
            <w:tcW w:type="dxa" w:w="2160"/>
          </w:tcPr>
          <w:p>
            <w:r>
              <w:rPr>
                <w:b w:val="0"/>
                <w:sz w:val="20"/>
              </w:rPr>
              <w:t>C1-5 SVI 0 / 50 mM</w:t>
            </w:r>
          </w:p>
        </w:tc>
        <w:tc>
          <w:tcPr>
            <w:tcW w:type="dxa" w:w="2160"/>
          </w:tcPr>
          <w:p>
            <w:r>
              <w:rPr>
                <w:b w:val="0"/>
                <w:sz w:val="20"/>
              </w:rPr>
              <w:t>1629 / 2114</w:t>
            </w:r>
          </w:p>
        </w:tc>
        <w:tc>
          <w:tcPr>
            <w:tcW w:type="dxa" w:w="2160"/>
          </w:tcPr>
          <w:p>
            <w:r>
              <w:rPr>
                <w:b w:val="0"/>
                <w:sz w:val="20"/>
              </w:rPr>
              <w:t>86.67×18.80 = 1629; 80.00×26.42 = 2114</w:t>
            </w:r>
          </w:p>
        </w:tc>
        <w:tc>
          <w:tcPr>
            <w:tcW w:type="dxa" w:w="2160"/>
          </w:tcPr>
          <w:p>
            <w:r>
              <w:rPr>
                <w:b w:val="0"/>
                <w:sz w:val="20"/>
              </w:rPr>
              <w:t>Yes</w:t>
            </w:r>
          </w:p>
        </w:tc>
      </w:tr>
      <w:tr>
        <w:tc>
          <w:tcPr>
            <w:tcW w:type="dxa" w:w="2160"/>
          </w:tcPr>
          <w:p>
            <w:r>
              <w:rPr>
                <w:b w:val="0"/>
                <w:sz w:val="20"/>
              </w:rPr>
              <w:t>C2-3 SVI 0/50/100/150 mM</w:t>
            </w:r>
          </w:p>
        </w:tc>
        <w:tc>
          <w:tcPr>
            <w:tcW w:type="dxa" w:w="2160"/>
          </w:tcPr>
          <w:p>
            <w:r>
              <w:rPr>
                <w:b w:val="0"/>
                <w:sz w:val="20"/>
              </w:rPr>
              <w:t>1402 / 2169 / 1459 / 986</w:t>
            </w:r>
          </w:p>
        </w:tc>
        <w:tc>
          <w:tcPr>
            <w:tcW w:type="dxa" w:w="2160"/>
          </w:tcPr>
          <w:p>
            <w:r>
              <w:rPr>
                <w:b w:val="0"/>
                <w:sz w:val="20"/>
              </w:rPr>
              <w:t>83.33×16.83 = 1402; 86.67×25.03 = 2169; 76.67×19.03 = 1459; 50.00×19.73 = 986</w:t>
            </w:r>
          </w:p>
        </w:tc>
        <w:tc>
          <w:tcPr>
            <w:tcW w:type="dxa" w:w="2160"/>
          </w:tcPr>
          <w:p>
            <w:r>
              <w:rPr>
                <w:b w:val="0"/>
                <w:sz w:val="20"/>
              </w:rPr>
              <w:t>Yes</w:t>
            </w:r>
          </w:p>
        </w:tc>
      </w:tr>
      <w:tr>
        <w:tc>
          <w:tcPr>
            <w:tcW w:type="dxa" w:w="2160"/>
          </w:tcPr>
          <w:p>
            <w:r>
              <w:rPr>
                <w:b w:val="0"/>
                <w:sz w:val="20"/>
              </w:rPr>
              <w:t>C2-5 SVI 0 / 50 / 150 mM</w:t>
            </w:r>
          </w:p>
        </w:tc>
        <w:tc>
          <w:tcPr>
            <w:tcW w:type="dxa" w:w="2160"/>
          </w:tcPr>
          <w:p>
            <w:r>
              <w:rPr>
                <w:b w:val="0"/>
                <w:sz w:val="20"/>
              </w:rPr>
              <w:t>1444 / 1925 / 1753</w:t>
            </w:r>
          </w:p>
        </w:tc>
        <w:tc>
          <w:tcPr>
            <w:tcW w:type="dxa" w:w="2160"/>
          </w:tcPr>
          <w:p>
            <w:r>
              <w:rPr>
                <w:b w:val="0"/>
                <w:sz w:val="20"/>
              </w:rPr>
              <w:t>76.67×18.83 = 1444; 83.33×23.10 = 1925; 70.00×25.04 = 1753</w:t>
            </w:r>
          </w:p>
        </w:tc>
        <w:tc>
          <w:tcPr>
            <w:tcW w:type="dxa" w:w="2160"/>
          </w:tcPr>
          <w:p>
            <w:r>
              <w:rPr>
                <w:b w:val="0"/>
                <w:sz w:val="20"/>
              </w:rPr>
              <w:t>Yes</w:t>
            </w:r>
          </w:p>
        </w:tc>
      </w:tr>
      <w:tr>
        <w:tc>
          <w:tcPr>
            <w:tcW w:type="dxa" w:w="2160"/>
          </w:tcPr>
          <w:p>
            <w:r>
              <w:rPr>
                <w:b w:val="0"/>
                <w:sz w:val="20"/>
              </w:rPr>
              <w:t>C4-5 SVI 0 / 150 mM</w:t>
            </w:r>
          </w:p>
        </w:tc>
        <w:tc>
          <w:tcPr>
            <w:tcW w:type="dxa" w:w="2160"/>
          </w:tcPr>
          <w:p>
            <w:r>
              <w:rPr>
                <w:b w:val="0"/>
                <w:sz w:val="20"/>
              </w:rPr>
              <w:t>1947 / 2246</w:t>
            </w:r>
          </w:p>
        </w:tc>
        <w:tc>
          <w:tcPr>
            <w:tcW w:type="dxa" w:w="2160"/>
          </w:tcPr>
          <w:p>
            <w:r>
              <w:rPr>
                <w:b w:val="0"/>
                <w:sz w:val="20"/>
              </w:rPr>
              <w:t>90.00×21.63 = 1947; 76.67×29.30 = 2246</w:t>
            </w:r>
          </w:p>
        </w:tc>
        <w:tc>
          <w:tcPr>
            <w:tcW w:type="dxa" w:w="2160"/>
          </w:tcPr>
          <w:p>
            <w:r>
              <w:rPr>
                <w:b w:val="0"/>
                <w:sz w:val="20"/>
              </w:rPr>
              <w:t>Yes</w:t>
            </w:r>
          </w:p>
        </w:tc>
      </w:tr>
      <w:tr>
        <w:tc>
          <w:tcPr>
            <w:tcW w:type="dxa" w:w="2160"/>
          </w:tcPr>
          <w:p>
            <w:r>
              <w:rPr>
                <w:b w:val="0"/>
                <w:sz w:val="20"/>
              </w:rPr>
              <w:t>Uninoculated control SVI</w:t>
            </w:r>
          </w:p>
        </w:tc>
        <w:tc>
          <w:tcPr>
            <w:tcW w:type="dxa" w:w="2160"/>
          </w:tcPr>
          <w:p>
            <w:r>
              <w:rPr>
                <w:b w:val="0"/>
                <w:sz w:val="20"/>
              </w:rPr>
              <w:t>2272 / 2008 / 1507 / 961</w:t>
            </w:r>
          </w:p>
        </w:tc>
        <w:tc>
          <w:tcPr>
            <w:tcW w:type="dxa" w:w="2160"/>
          </w:tcPr>
          <w:p>
            <w:r>
              <w:rPr>
                <w:b w:val="0"/>
                <w:sz w:val="20"/>
              </w:rPr>
              <w:t>Isolate batch: same. Consortium batch: 2267 / 2005 / 1507 / 958</w:t>
            </w:r>
          </w:p>
        </w:tc>
        <w:tc>
          <w:tcPr>
            <w:tcW w:type="dxa" w:w="2160"/>
          </w:tcPr>
          <w:p>
            <w:r>
              <w:rPr>
                <w:b w:val="0"/>
                <w:sz w:val="20"/>
              </w:rPr>
              <w:t>Small mismatch (see note)</w:t>
            </w:r>
          </w:p>
        </w:tc>
      </w:tr>
    </w:tbl>
    <w:p>
      <w:pPr>
        <w:jc w:val="both"/>
      </w:pPr>
      <w:r>
        <w:rPr>
          <w:b/>
          <w:i w:val="0"/>
          <w:color w:val="000000"/>
        </w:rPr>
        <w:t>Values that do not match.</w:t>
      </w:r>
      <w:r>
        <w:rPr>
          <w:b w:val="0"/>
          <w:i w:val="0"/>
          <w:color w:val="000000"/>
        </w:rPr>
        <w:t xml:space="preserve"> None of the red values is wrong. Two points need attention: (i) the control row uses the isolate-batch shoot lengths; the consortium-batch control was recorded with slightly shorter shoots (22.90, 21.00, 13.90 cm vs. 22.96, 21.04, 13.96 cm), giving SVI 2267, 2005, 1507 and 958. The footnote statement that the control was “shared” should therefore be qualified, as in the clean footnote below. (ii) The SVI column originally entered in the raw data sheet (e.g. 1131.2 for the control at 0 mM, 638.4 for C4-5 at 100 mM) does not follow the SVI formula from its own germination and lengths; Table 2 correctly uses the recalculated values, as the footnote states.</w:t>
      </w:r>
    </w:p>
    <w:p>
      <w:pPr>
        <w:jc w:val="both"/>
      </w:pPr>
      <w:r>
        <w:rPr>
          <w:b/>
          <w:i w:val="0"/>
          <w:color w:val="000000"/>
        </w:rPr>
        <w:t>What the data show (honestly).</w:t>
      </w:r>
      <w:r>
        <w:rPr>
          <w:b w:val="0"/>
          <w:i w:val="0"/>
          <w:color w:val="000000"/>
        </w:rPr>
        <w:t xml:space="preserve"> The professor’s expectation is only partly supported. (a) The control was higher at 0 mM than under salt (SVI 2272 → 961; germination 83.3% → 60.0%): confirmed. (b) Consortia were NOT higher than single isolates in general. At 0 mM, every consortium had a lower SVI (1402–1947) than the control (2272) and than every isolate (1959–2941). Under 150 mM, four of five consortia exceeded the control (1424–2246 vs. 961; C2-3 was similar at 986), but none exceeded the best isolate IS-06 (2325); C4-5 (2246) was close to it. For germination, C4-5 recorded the highest values at 50 and 150 mM (93.3% and 76.7%), but inoculant effects on germination were not significant. The values must not be changed; the text below reports this result.</w:t>
      </w:r>
    </w:p>
    <w:p>
      <w:pPr>
        <w:jc w:val="both"/>
      </w:pPr>
      <w:r>
        <w:rPr>
          <w:b/>
          <w:i w:val="0"/>
          <w:color w:val="000000"/>
        </w:rPr>
        <w:t>PASTE – clean Table 2 caption:</w:t>
      </w:r>
    </w:p>
    <w:p>
      <w:pPr>
        <w:jc w:val="both"/>
      </w:pPr>
      <w:r>
        <w:rPr>
          <w:b/>
          <w:i w:val="0"/>
          <w:color w:val="000000"/>
        </w:rPr>
        <w:t>Table 2.</w:t>
      </w:r>
      <w:r>
        <w:rPr>
          <w:b w:val="0"/>
          <w:i w:val="0"/>
          <w:color w:val="000000"/>
        </w:rPr>
        <w:t xml:space="preserve"> Germination (%) and seedling vigour index (SVI) of rice cv. IR-64 bacterized with single endophytic isolates or dual-strain consortia and grown under 0–150 mM NaCl in the polyhouse (30 seeds per treatment).</w:t>
      </w:r>
    </w:p>
    <w:p>
      <w:pPr>
        <w:jc w:val="both"/>
      </w:pPr>
      <w:r>
        <w:rPr>
          <w:b/>
          <w:i w:val="0"/>
          <w:color w:val="000000"/>
        </w:rPr>
        <w:t>PASTE – Table 2 footnote (replace the last sentence of the existing footnote):</w:t>
      </w:r>
    </w:p>
    <w:p>
      <w:pPr>
        <w:jc w:val="both"/>
      </w:pPr>
      <w:r>
        <w:rPr>
          <w:b w:val="0"/>
          <w:i w:val="0"/>
          <w:color w:val="000000"/>
        </w:rPr>
        <w:t>The uninoculated control is shown from the isolate experiment; in the consortium experiment the control SVI was 2267, 2005, 1507 and 958 at 0, 50, 100 and 150 mM, respectively.</w:t>
      </w:r>
    </w:p>
    <w:p>
      <w:pPr>
        <w:jc w:val="both"/>
      </w:pPr>
      <w:r>
        <w:rPr>
          <w:b/>
          <w:i w:val="0"/>
          <w:color w:val="000000"/>
        </w:rPr>
        <w:t>PASTE – new sentence to add at the end of the second paragraph of Section 3.2 (after “…close to IS-06 (142%; Table 2).”):</w:t>
      </w:r>
    </w:p>
    <w:p>
      <w:pPr>
        <w:jc w:val="both"/>
      </w:pPr>
      <w:r>
        <w:rPr>
          <w:b w:val="0"/>
          <w:i w:val="0"/>
          <w:color w:val="000000"/>
        </w:rPr>
        <w:t>In the absence of salt, however, all five consortia recorded lower SVI (1402–1947) than the uninoculated control (2272) and each single isolate (1959–2941), and under 150 mM no consortium exceeded IS-06 (2325). The benefit of the consortia on seedling vigour was therefore expressed only under salinity and did not surpass that of the best single isolate.</w:t>
      </w:r>
    </w:p>
    <w:p>
      <w:r>
        <w:rPr>
          <w:b/>
          <w:i w:val="0"/>
          <w:color w:val="000000"/>
        </w:rPr>
        <w:t>3. Discussion supported by published studies</w:t>
      </w:r>
    </w:p>
    <w:p>
      <w:pPr>
        <w:jc w:val="both"/>
      </w:pPr>
      <w:r>
        <w:rPr>
          <w:b w:val="0"/>
          <w:i w:val="0"/>
          <w:color w:val="000000"/>
        </w:rPr>
        <w:t>All citations below are already in the verified reference list of the manuscript (each was checked earlier against PubMed/Crossref with DOI). No new reference needs to be added, so the reference count stays at 58. Full details are given in the reference block at the end of this section. Please still open each DOI before submission.</w:t>
      </w:r>
    </w:p>
    <w:p>
      <w:pPr>
        <w:jc w:val="both"/>
      </w:pPr>
      <w:r>
        <w:rPr>
          <w:b/>
          <w:i w:val="0"/>
          <w:color w:val="000000"/>
        </w:rPr>
        <w:t>PASTE – 4.1, first paragraph (uninoculated-plant response):</w:t>
      </w:r>
    </w:p>
    <w:p>
      <w:pPr>
        <w:jc w:val="both"/>
      </w:pPr>
      <w:r>
        <w:rPr>
          <w:b w:val="0"/>
          <w:i w:val="0"/>
          <w:color w:val="000000"/>
        </w:rPr>
        <w:t xml:space="preserve">The uninoculated plants responded as expected for a salt-susceptible </w:t>
      </w:r>
      <w:r>
        <w:rPr>
          <w:b w:val="0"/>
          <w:i/>
          <w:color w:val="000000"/>
        </w:rPr>
        <w:t>indica</w:t>
      </w:r>
      <w:r>
        <w:rPr>
          <w:b w:val="0"/>
          <w:i w:val="0"/>
          <w:color w:val="000000"/>
        </w:rPr>
        <w:t xml:space="preserve"> cultivar. Root growth was affected first: at 150 mM, root length decreased by approximately half and SVI by 57.7%, consistent with the osmotic phase in which water uptake and cell expansion are restricted before ions reach toxic levels (Munns and Tester, 2008). Similar to Siddika et al. (2024), who reported marked reductions in growth, chlorophyll content and photosynthetic parameters of salt-stressed rice without inoculation, chlorophyll </w:t>
      </w:r>
      <w:r>
        <w:rPr>
          <w:b w:val="0"/>
          <w:i/>
          <w:color w:val="000000"/>
        </w:rPr>
        <w:t>a</w:t>
      </w:r>
      <w:r>
        <w:rPr>
          <w:b w:val="0"/>
          <w:i w:val="0"/>
          <w:color w:val="000000"/>
        </w:rPr>
        <w:t xml:space="preserve"> lost more than two-thirds of its value at only 50 mM, while germination barely changed. Pigment loss of this magnitude at a low salt level usually indicates oxidative injury in the chloroplast (Gill and Tuteja, 2010). A comparable decline in growth and pigments of uninoculated rice seedlings under NaCl was also reported by Asif et al. (2023) and Wang et al. (2025). The parallel fall in carotenoids, which quench excess excitation energy, would have further increased chloroplast vulnerability.</w:t>
      </w:r>
    </w:p>
    <w:p>
      <w:pPr>
        <w:jc w:val="both"/>
      </w:pPr>
      <w:r>
        <w:rPr>
          <w:b/>
          <w:i w:val="0"/>
          <w:color w:val="000000"/>
        </w:rPr>
        <w:t>PASTE – 4.2 (no effect on germination):</w:t>
      </w:r>
    </w:p>
    <w:p>
      <w:pPr>
        <w:jc w:val="both"/>
      </w:pPr>
      <w:r>
        <w:rPr>
          <w:b w:val="0"/>
          <w:i w:val="0"/>
          <w:color w:val="000000"/>
        </w:rPr>
        <w:t xml:space="preserve">The clearest negative result was that no inoculant changed germination significantly. In contrast to Sagar et al. (2020), who reported higher germination of rice and millets bacterized with the halophilic </w:t>
      </w:r>
      <w:r>
        <w:rPr>
          <w:b w:val="0"/>
          <w:i/>
          <w:color w:val="000000"/>
        </w:rPr>
        <w:t>Enterobacter</w:t>
      </w:r>
      <w:r>
        <w:rPr>
          <w:b w:val="0"/>
          <w:i w:val="0"/>
          <w:color w:val="000000"/>
        </w:rPr>
        <w:t xml:space="preserve"> sp. PR14 under salt, and to Ali et al. (2022), who reported improved rice growth with salt-tolerant </w:t>
      </w:r>
      <w:r>
        <w:rPr>
          <w:b w:val="0"/>
          <w:i/>
          <w:color w:val="000000"/>
        </w:rPr>
        <w:t>Bacillus</w:t>
      </w:r>
      <w:r>
        <w:rPr>
          <w:b w:val="0"/>
          <w:i w:val="0"/>
          <w:color w:val="000000"/>
        </w:rPr>
        <w:t xml:space="preserve"> strains, the present inoculants did not alter emergence detectably. The direction of effect for the best inoculants nevertheless agreed with these reports, with IS-06 and C4-5 10–17 percentage points above the control at 150 mM (Fig. 2), although IS-02, IS-03 and C2-3 fell below it. With 30 seeds per treatment, Fisher’s exact test requires a difference of about 27 percentage points to reach significance, so the design could not confirm effects of this size. Germination was also one of the least salt-sensitive traits (SIR 28%, against 52% for root length and 83% for chlorophyll </w:t>
      </w:r>
      <w:r>
        <w:rPr>
          <w:b w:val="0"/>
          <w:i/>
          <w:color w:val="000000"/>
        </w:rPr>
        <w:t>a</w:t>
      </w:r>
      <w:r>
        <w:rPr>
          <w:b w:val="0"/>
          <w:i w:val="0"/>
          <w:color w:val="000000"/>
        </w:rPr>
        <w:t>). Similar to Singh et al. (2021), who identified seedling establishment rather than seed germination as the critical salt-sensitive stage in rice, stand losses in saline paddies are therefore more likely to arise from weak seedlings than from seeds that fail to germinate, and this is where the inoculants were effective. Because salt was applied from 15 DAS, its effect on emergence suggests that saline irrigation reached the seed zone early or that the counts partly reflect seedling survival; future trials should record the two separately.</w:t>
      </w:r>
    </w:p>
    <w:p>
      <w:pPr>
        <w:jc w:val="both"/>
      </w:pPr>
      <w:r>
        <w:rPr>
          <w:b/>
          <w:i w:val="0"/>
          <w:color w:val="000000"/>
        </w:rPr>
        <w:t>PASTE – 4.3, first paragraph (IS-06 the most consistent performer):</w:t>
      </w:r>
    </w:p>
    <w:p>
      <w:pPr>
        <w:jc w:val="both"/>
      </w:pPr>
      <w:r>
        <w:rPr>
          <w:b w:val="0"/>
          <w:i w:val="0"/>
          <w:color w:val="000000"/>
        </w:rPr>
        <w:t xml:space="preserve">IS-06 was the most consistent performer, ranking first among the isolates for chlorophyll </w:t>
      </w:r>
      <w:r>
        <w:rPr>
          <w:b w:val="0"/>
          <w:i/>
          <w:color w:val="000000"/>
        </w:rPr>
        <w:t>a</w:t>
      </w:r>
      <w:r>
        <w:rPr>
          <w:b w:val="0"/>
          <w:i w:val="0"/>
          <w:color w:val="000000"/>
        </w:rPr>
        <w:t xml:space="preserve">, protein, sugars and DPPH activity under salt and first on the CMI at all four salinity levels. Its 240% increase in chlorophyll </w:t>
      </w:r>
      <w:r>
        <w:rPr>
          <w:b w:val="0"/>
          <w:i/>
          <w:color w:val="000000"/>
        </w:rPr>
        <w:t>a</w:t>
      </w:r>
      <w:r>
        <w:rPr>
          <w:b w:val="0"/>
          <w:i w:val="0"/>
          <w:color w:val="000000"/>
        </w:rPr>
        <w:t xml:space="preserve"> at 150 mM is at the upper end of values reported for rice. Similar to Siddika et al. (2024), who reported that </w:t>
      </w:r>
      <w:r>
        <w:rPr>
          <w:b w:val="0"/>
          <w:i/>
          <w:color w:val="000000"/>
        </w:rPr>
        <w:t>Bacillus subtilis</w:t>
      </w:r>
      <w:r>
        <w:rPr>
          <w:b w:val="0"/>
          <w:i w:val="0"/>
          <w:color w:val="000000"/>
        </w:rPr>
        <w:t xml:space="preserve"> and </w:t>
      </w:r>
      <w:r>
        <w:rPr>
          <w:b w:val="0"/>
          <w:i/>
          <w:color w:val="000000"/>
        </w:rPr>
        <w:t>B. aryabhattai</w:t>
      </w:r>
      <w:r>
        <w:rPr>
          <w:b w:val="0"/>
          <w:i w:val="0"/>
          <w:color w:val="000000"/>
        </w:rPr>
        <w:t xml:space="preserve"> restored photosynthetic parameters of salt-stressed rice together with ion homeostasis and antioxidant defence, IS-06 maintained pigment levels close to those of unstressed plants. Asif et al. (2023) likewise reported that halotolerant endophytes improved rice growth under NaCl by regulating ion content, endogenous hormones and ion-transporter gene expression, and Sarkar et al. (2018) reported that an ACC deaminase-producing halotolerant </w:t>
      </w:r>
      <w:r>
        <w:rPr>
          <w:b w:val="0"/>
          <w:i/>
          <w:color w:val="000000"/>
        </w:rPr>
        <w:t>Enterobacter</w:t>
      </w:r>
      <w:r>
        <w:rPr>
          <w:b w:val="0"/>
          <w:i w:val="0"/>
          <w:color w:val="000000"/>
        </w:rPr>
        <w:t xml:space="preserve"> sp. increased rice seedling growth and chlorophyll content under salt stress.</w:t>
      </w:r>
    </w:p>
    <w:p>
      <w:pPr>
        <w:jc w:val="both"/>
      </w:pPr>
      <w:r>
        <w:rPr>
          <w:b/>
          <w:i w:val="0"/>
          <w:color w:val="000000"/>
        </w:rPr>
        <w:t>PASTE – 4.4, first paragraph (consortia vs. single strains):</w:t>
      </w:r>
    </w:p>
    <w:p>
      <w:pPr>
        <w:jc w:val="both"/>
      </w:pPr>
      <w:r>
        <w:rPr>
          <w:b w:val="0"/>
          <w:i w:val="0"/>
          <w:color w:val="000000"/>
        </w:rPr>
        <w:t xml:space="preserve">A meta-analysis of inoculation trials in living soil reported that consortia generally perform better than single strains (Liu et al., 2023); the present results support a more qualified conclusion. On the average CMI, only C4-5 outperformed both of its parent strains, C2-5 ranked between its parents, and C1-3, C1-5 and C2-3 ranked below both. At 150 mM, C4-5 exceeded both parents for protein (181.51 vs. 133.45 and 138.26 µg mL⁻¹), chlorophyll </w:t>
      </w:r>
      <w:r>
        <w:rPr>
          <w:b w:val="0"/>
          <w:i/>
          <w:color w:val="000000"/>
        </w:rPr>
        <w:t>a</w:t>
      </w:r>
      <w:r>
        <w:rPr>
          <w:b w:val="0"/>
          <w:i w:val="0"/>
          <w:color w:val="000000"/>
        </w:rPr>
        <w:t xml:space="preserve"> and SVI, but not for sugars. Similar to M. Y. Khan et al. (2022), who reported that a compatible PGPB consortium improved the growth and yield of wheat under saline conditions, a well-matched pair (C4-5) improved several traits beyond either parent. In contrast to the consistent consortium advantage reported by Liu et al. (2023), however, three of the five pairs were inferior to their parents, and Moronta-Barrios et al. (2018) similarly showed that the members of a simplified rice endophytic community differ in colonization and persistence when inoculated together.</w:t>
      </w:r>
    </w:p>
    <w:p>
      <w:pPr>
        <w:jc w:val="both"/>
      </w:pPr>
      <w:r>
        <w:rPr>
          <w:b/>
          <w:i w:val="0"/>
          <w:color w:val="000000"/>
        </w:rPr>
        <w:t>PASTE – 4.5, first sentences (protein retention in consortia):</w:t>
      </w:r>
    </w:p>
    <w:p>
      <w:pPr>
        <w:jc w:val="both"/>
      </w:pPr>
      <w:r>
        <w:rPr>
          <w:b w:val="0"/>
          <w:i w:val="0"/>
          <w:color w:val="000000"/>
        </w:rPr>
        <w:t>Protein retention was the one trait in which the consortia clearly outperformed the single strains (81% for C4-5 and 75% for C2-5, against 70% for IS-06 and 40% for the control). Salinity lowers soluble protein through reduced nitrogen assimilation and accelerated proteolysis (Parida and Das, 2005), and two partners could plausibly alleviate both. Similar to Neshat et al. (2022), who reported that PGPR inoculation increased soluble protein and antioxidant capacity of salt-stressed plants, and to Gupta et al. (2023), who reported improved biochemical status of rice inoculated with salinity-alleviating bacteria, the consortia preserved leaf protein under 150 mM NaCl.</w:t>
      </w:r>
    </w:p>
    <w:p>
      <w:pPr>
        <w:jc w:val="both"/>
      </w:pPr>
      <w:r>
        <w:rPr>
          <w:b/>
          <w:i w:val="0"/>
          <w:color w:val="000000"/>
        </w:rPr>
        <w:t>PASTE – 4.6 (trait-by-trait ranking, CMI/PCA):</w:t>
      </w:r>
    </w:p>
    <w:p>
      <w:pPr>
        <w:jc w:val="both"/>
      </w:pPr>
      <w:r>
        <w:rPr>
          <w:b w:val="0"/>
          <w:i w:val="0"/>
          <w:color w:val="000000"/>
        </w:rPr>
        <w:t>Ranking trait by trait identified different best treatments: IS-06 for sugars, C4-5 for protein and IS-05 for root length. The CMI and PCA, which weight traits differently, agreed on IS-06 and C4-5 at the top and on C2-3 and C1-3 at the bottom. This agrees with Negrão et al. (2017), who recommended composite and relative indices rather than single traits for evaluating salinity responses, and is similar to Shultana et al. (2020), who reported that salt-tolerant PGPR were selected most reliably when several growth and physiological traits of rice were considered together. PC1 showed that most of the difference between good and poor treatments lay on a single axis of seedling health, whereas PC2 separated the protein-retention response of the consortia from the growth-and-pigment response of IS-06.</w:t>
      </w:r>
    </w:p>
    <w:p>
      <w:pPr>
        <w:jc w:val="both"/>
      </w:pPr>
      <w:r>
        <w:rPr>
          <w:b/>
          <w:i w:val="0"/>
          <w:color w:val="000000"/>
        </w:rPr>
        <w:t>PASTE – 4.7, first sentence (future work: taxonomic identity, PGP traits):</w:t>
      </w:r>
    </w:p>
    <w:p>
      <w:pPr>
        <w:jc w:val="both"/>
      </w:pPr>
      <w:r>
        <w:rPr>
          <w:b w:val="0"/>
          <w:i w:val="0"/>
          <w:color w:val="000000"/>
        </w:rPr>
        <w:t xml:space="preserve">The isolates still require confirmed taxonomic identity and quantified plant growth-promoting traits before they can be compared with published inoculants or registered. Afzal et al. (2019) emphasized that identification and trait characterization are prerequisites for the safe application of endophytes, and Ganie et al. (2021) noted that the benefits of rice endophytes under stress depend strongly on strain identity. Following Sarkar et al. (2018) and Sagar et al. (2020), who linked salt tolerance of rice to quantified ACC deaminase and antioxidant-enzyme activity of identified </w:t>
      </w:r>
      <w:r>
        <w:rPr>
          <w:b w:val="0"/>
          <w:i/>
          <w:color w:val="000000"/>
        </w:rPr>
        <w:t>Enterobacter</w:t>
      </w:r>
      <w:r>
        <w:rPr>
          <w:b w:val="0"/>
          <w:i w:val="0"/>
          <w:color w:val="000000"/>
        </w:rPr>
        <w:t xml:space="preserve"> strains, 16S rRNA gene sequencing and assays of ACC deaminase, IAA, phosphate solubilization and exopolysaccharide production are planned for IS-06, IS-04 and IS-05.</w:t>
      </w:r>
    </w:p>
    <w:p>
      <w:pPr>
        <w:jc w:val="both"/>
      </w:pPr>
      <w:r>
        <w:rPr>
          <w:b/>
          <w:i w:val="0"/>
          <w:color w:val="000000"/>
        </w:rPr>
        <w:t>References used in Section 3 (all already in the manuscript):</w:t>
      </w:r>
    </w:p>
    <w:p>
      <w:pPr>
        <w:jc w:val="both"/>
      </w:pPr>
      <w:r>
        <w:rPr>
          <w:b w:val="0"/>
          <w:i w:val="0"/>
          <w:color w:val="000000"/>
        </w:rPr>
        <w:t xml:space="preserve">Afzal, I., Shinwari, Z. K., Sikandar, S., &amp; Shahzad, S. (2019). Plant beneficial endophytic bacteria: Mechanisms, diversity, host range and genetic determinants. </w:t>
      </w:r>
      <w:r>
        <w:rPr>
          <w:b w:val="0"/>
          <w:i/>
          <w:color w:val="000000"/>
        </w:rPr>
        <w:t>Microbiological Research</w:t>
      </w:r>
      <w:r>
        <w:rPr>
          <w:b w:val="0"/>
          <w:i w:val="0"/>
          <w:color w:val="000000"/>
        </w:rPr>
        <w:t>, 221, 36–49. https://doi.org/10.1016/j.micres.2019.02.001</w:t>
      </w:r>
    </w:p>
    <w:p>
      <w:pPr>
        <w:jc w:val="both"/>
      </w:pPr>
      <w:r>
        <w:rPr>
          <w:b w:val="0"/>
          <w:i w:val="0"/>
          <w:color w:val="000000"/>
        </w:rPr>
        <w:t xml:space="preserve">Ali, Q., Ayaz, M., Mu, G., Hussain, A., Yuanyuan, Q., Yu, C., Xu, Y., Manghwar, H., Gu, Q., Wu, H., &amp; Gao, X. (2022). Revealing plant growth-promoting mechanisms of </w:t>
      </w:r>
      <w:r>
        <w:rPr>
          <w:b w:val="0"/>
          <w:i/>
          <w:color w:val="000000"/>
        </w:rPr>
        <w:t>Bacillus</w:t>
      </w:r>
      <w:r>
        <w:rPr>
          <w:b w:val="0"/>
          <w:i w:val="0"/>
          <w:color w:val="000000"/>
        </w:rPr>
        <w:t xml:space="preserve"> strains in elevating rice growth and its interaction with salt stress. </w:t>
      </w:r>
      <w:r>
        <w:rPr>
          <w:b w:val="0"/>
          <w:i/>
          <w:color w:val="000000"/>
        </w:rPr>
        <w:t>Frontiers in Plant Science</w:t>
      </w:r>
      <w:r>
        <w:rPr>
          <w:b w:val="0"/>
          <w:i w:val="0"/>
          <w:color w:val="000000"/>
        </w:rPr>
        <w:t>, 13, Article 994902. https://doi.org/10.3389/fpls.2022.994902</w:t>
      </w:r>
    </w:p>
    <w:p>
      <w:pPr>
        <w:jc w:val="both"/>
      </w:pPr>
      <w:r>
        <w:rPr>
          <w:b w:val="0"/>
          <w:i w:val="0"/>
          <w:color w:val="000000"/>
        </w:rPr>
        <w:t>Asif, S., Jan, R., Kim, N., Asaf, S., Lubna, Khan, M. A., Kim, E. G., Jang, Y. H., Bhatta, D., Lee, I. J., &amp; Kim, K. M. (2023). Halotolerant endophytic bacteria alleviate salinity stress in rice (</w:t>
      </w:r>
      <w:r>
        <w:rPr>
          <w:b w:val="0"/>
          <w:i/>
          <w:color w:val="000000"/>
        </w:rPr>
        <w:t>Oryza sativa</w:t>
      </w:r>
      <w:r>
        <w:rPr>
          <w:b w:val="0"/>
          <w:i w:val="0"/>
          <w:color w:val="000000"/>
        </w:rPr>
        <w:t xml:space="preserve"> L.) by modulating ion content, endogenous hormones, the antioxidant system and gene expression. </w:t>
      </w:r>
      <w:r>
        <w:rPr>
          <w:b w:val="0"/>
          <w:i/>
          <w:color w:val="000000"/>
        </w:rPr>
        <w:t>BMC Plant Biology</w:t>
      </w:r>
      <w:r>
        <w:rPr>
          <w:b w:val="0"/>
          <w:i w:val="0"/>
          <w:color w:val="000000"/>
        </w:rPr>
        <w:t>, 23(1), Article 494. https://doi.org/10.1186/s12870-023-04517-z</w:t>
      </w:r>
    </w:p>
    <w:p>
      <w:pPr>
        <w:jc w:val="both"/>
      </w:pPr>
      <w:r>
        <w:rPr>
          <w:b w:val="0"/>
          <w:i w:val="0"/>
          <w:color w:val="000000"/>
        </w:rPr>
        <w:t xml:space="preserve">Ganie, S. A., Bhat, J. A., &amp; Devoto, A. (2021). The influence of endophytes on rice fitness under environmental stresses. </w:t>
      </w:r>
      <w:r>
        <w:rPr>
          <w:b w:val="0"/>
          <w:i/>
          <w:color w:val="000000"/>
        </w:rPr>
        <w:t>Plant Molecular Biology</w:t>
      </w:r>
      <w:r>
        <w:rPr>
          <w:b w:val="0"/>
          <w:i w:val="0"/>
          <w:color w:val="000000"/>
        </w:rPr>
        <w:t>, 109(4–5), 447–467. https://doi.org/10.1007/s11103-021-01219-8</w:t>
      </w:r>
    </w:p>
    <w:p>
      <w:pPr>
        <w:jc w:val="both"/>
      </w:pPr>
      <w:r>
        <w:rPr>
          <w:b w:val="0"/>
          <w:i w:val="0"/>
          <w:color w:val="000000"/>
        </w:rPr>
        <w:t>Gupta, A., Tiwari, R. K., Shukla, R., Singh, A. N., &amp; Sahu, P. K. (2023). Salinity alleviator bacteria in rice (</w:t>
      </w:r>
      <w:r>
        <w:rPr>
          <w:b w:val="0"/>
          <w:i/>
          <w:color w:val="000000"/>
        </w:rPr>
        <w:t>Oryza sativa</w:t>
      </w:r>
      <w:r>
        <w:rPr>
          <w:b w:val="0"/>
          <w:i w:val="0"/>
          <w:color w:val="000000"/>
        </w:rPr>
        <w:t xml:space="preserve"> L.), their colonization efficacy, and synergism with melatonin. </w:t>
      </w:r>
      <w:r>
        <w:rPr>
          <w:b w:val="0"/>
          <w:i/>
          <w:color w:val="000000"/>
        </w:rPr>
        <w:t>Frontiers in Plant Science</w:t>
      </w:r>
      <w:r>
        <w:rPr>
          <w:b w:val="0"/>
          <w:i w:val="0"/>
          <w:color w:val="000000"/>
        </w:rPr>
        <w:t>, 13, Article 1060287. https://doi.org/10.3389/fpls.2022.1060287</w:t>
      </w:r>
    </w:p>
    <w:p>
      <w:pPr>
        <w:jc w:val="both"/>
      </w:pPr>
      <w:r>
        <w:rPr>
          <w:b w:val="0"/>
          <w:i w:val="0"/>
          <w:color w:val="000000"/>
        </w:rPr>
        <w:t xml:space="preserve">Khan, M. Y., Nadeem, S. M., Sohaib, M., Waqas, M. R., Alotaibi, F., Ali, L., Zahir, Z. A., &amp; Al-Barakah, F. N. I. (2022). Potential of plant growth promoting bacterial consortium for improving the growth and yield of wheat under saline conditions. </w:t>
      </w:r>
      <w:r>
        <w:rPr>
          <w:b w:val="0"/>
          <w:i/>
          <w:color w:val="000000"/>
        </w:rPr>
        <w:t>Frontiers in Microbiology</w:t>
      </w:r>
      <w:r>
        <w:rPr>
          <w:b w:val="0"/>
          <w:i w:val="0"/>
          <w:color w:val="000000"/>
        </w:rPr>
        <w:t>, 13, Article 958522. https://doi.org/10.3389/fmicb.2022.958522</w:t>
      </w:r>
    </w:p>
    <w:p>
      <w:pPr>
        <w:jc w:val="both"/>
      </w:pPr>
      <w:r>
        <w:rPr>
          <w:b w:val="0"/>
          <w:i w:val="0"/>
          <w:color w:val="000000"/>
        </w:rPr>
        <w:t xml:space="preserve">Liu, X., Mei, S., &amp; Salles, J. F. (2023). Inoculated microbial consortia perform better than single strains in living soil: A meta-analysis. </w:t>
      </w:r>
      <w:r>
        <w:rPr>
          <w:b w:val="0"/>
          <w:i/>
          <w:color w:val="000000"/>
        </w:rPr>
        <w:t>Applied Soil Ecology</w:t>
      </w:r>
      <w:r>
        <w:rPr>
          <w:b w:val="0"/>
          <w:i w:val="0"/>
          <w:color w:val="000000"/>
        </w:rPr>
        <w:t>, 190, Article 105011. https://doi.org/10.1016/j.apsoil.2023.105011</w:t>
      </w:r>
    </w:p>
    <w:p>
      <w:pPr>
        <w:jc w:val="both"/>
      </w:pPr>
      <w:r>
        <w:rPr>
          <w:b w:val="0"/>
          <w:i w:val="0"/>
          <w:color w:val="000000"/>
        </w:rPr>
        <w:t xml:space="preserve">Moronta-Barrios, F., Gionechetti, F., Pallavicini, A., Marys, E., &amp; Venturi, V. (2018). Bacterial microbiota of rice roots: 16S-based taxonomic profiling of endophytic and rhizospheric diversity, endophytes isolation and simplified endophytic community. </w:t>
      </w:r>
      <w:r>
        <w:rPr>
          <w:b w:val="0"/>
          <w:i/>
          <w:color w:val="000000"/>
        </w:rPr>
        <w:t>Microorganisms</w:t>
      </w:r>
      <w:r>
        <w:rPr>
          <w:b w:val="0"/>
          <w:i w:val="0"/>
          <w:color w:val="000000"/>
        </w:rPr>
        <w:t>, 6(1), Article 14. https://doi.org/10.3390/microorganisms6010014</w:t>
      </w:r>
    </w:p>
    <w:p>
      <w:pPr>
        <w:jc w:val="both"/>
      </w:pPr>
      <w:r>
        <w:rPr>
          <w:b w:val="0"/>
          <w:i w:val="0"/>
          <w:color w:val="000000"/>
        </w:rPr>
        <w:t xml:space="preserve">Negrão, S., Schmöckel, S. M., &amp; Tester, M. (2017). Evaluating physiological responses of plants to salinity stress. </w:t>
      </w:r>
      <w:r>
        <w:rPr>
          <w:b w:val="0"/>
          <w:i/>
          <w:color w:val="000000"/>
        </w:rPr>
        <w:t>Annals of Botany</w:t>
      </w:r>
      <w:r>
        <w:rPr>
          <w:b w:val="0"/>
          <w:i w:val="0"/>
          <w:color w:val="000000"/>
        </w:rPr>
        <w:t>, 119(1), 1–11. https://doi.org/10.1093/aob/mcw191</w:t>
      </w:r>
    </w:p>
    <w:p>
      <w:pPr>
        <w:jc w:val="both"/>
      </w:pPr>
      <w:r>
        <w:rPr>
          <w:b w:val="0"/>
          <w:i w:val="0"/>
          <w:color w:val="000000"/>
        </w:rPr>
        <w:t xml:space="preserve">Neshat, M., Abbasi, A., Hosseinzadeh, A., Sarikhani, M. R., Dadashi Chavan, D., &amp; Rasoulnia, A. (2022). Plant growth promoting bacteria (PGPR) induce antioxidant tolerance against salinity stress through biochemical and physiological mechanisms. </w:t>
      </w:r>
      <w:r>
        <w:rPr>
          <w:b w:val="0"/>
          <w:i/>
          <w:color w:val="000000"/>
        </w:rPr>
        <w:t>Physiology and Molecular Biology of Plants</w:t>
      </w:r>
      <w:r>
        <w:rPr>
          <w:b w:val="0"/>
          <w:i w:val="0"/>
          <w:color w:val="000000"/>
        </w:rPr>
        <w:t>, 28(2), 347–361. https://doi.org/10.1007/s12298-022-01128-0</w:t>
      </w:r>
    </w:p>
    <w:p>
      <w:pPr>
        <w:jc w:val="both"/>
      </w:pPr>
      <w:r>
        <w:rPr>
          <w:b w:val="0"/>
          <w:i w:val="0"/>
          <w:color w:val="000000"/>
        </w:rPr>
        <w:t xml:space="preserve">Sagar, A., Sayyed, R. Z., Ramteke, P. W., Sharma, S., Marraiki, N., Elgorban, A. M., &amp; Syed, A. (2020). ACC deaminase and antioxidant enzymes producing halophilic </w:t>
      </w:r>
      <w:r>
        <w:rPr>
          <w:b w:val="0"/>
          <w:i/>
          <w:color w:val="000000"/>
        </w:rPr>
        <w:t>Enterobacter</w:t>
      </w:r>
      <w:r>
        <w:rPr>
          <w:b w:val="0"/>
          <w:i w:val="0"/>
          <w:color w:val="000000"/>
        </w:rPr>
        <w:t xml:space="preserve"> sp. PR14 promotes the growth of rice and millets under salinity stress. </w:t>
      </w:r>
      <w:r>
        <w:rPr>
          <w:b w:val="0"/>
          <w:i/>
          <w:color w:val="000000"/>
        </w:rPr>
        <w:t>Physiology and Molecular Biology of Plants</w:t>
      </w:r>
      <w:r>
        <w:rPr>
          <w:b w:val="0"/>
          <w:i w:val="0"/>
          <w:color w:val="000000"/>
        </w:rPr>
        <w:t>, 26(9), 1847–1854. https://doi.org/10.1007/s12298-020-00852-9</w:t>
      </w:r>
    </w:p>
    <w:p>
      <w:pPr>
        <w:jc w:val="both"/>
      </w:pPr>
      <w:r>
        <w:rPr>
          <w:b w:val="0"/>
          <w:i w:val="0"/>
          <w:color w:val="000000"/>
        </w:rPr>
        <w:t xml:space="preserve">Sarkar, A., Ghosh, P. K., Pramanik, K., Mitra, S., Soren, T., Pandey, S., Mondal, M. H., &amp; Maiti, T. K. (2018). A halotolerant </w:t>
      </w:r>
      <w:r>
        <w:rPr>
          <w:b w:val="0"/>
          <w:i/>
          <w:color w:val="000000"/>
        </w:rPr>
        <w:t>Enterobacter</w:t>
      </w:r>
      <w:r>
        <w:rPr>
          <w:b w:val="0"/>
          <w:i w:val="0"/>
          <w:color w:val="000000"/>
        </w:rPr>
        <w:t xml:space="preserve"> sp. displaying ACC deaminase activity promotes rice seedling growth under salt stress. </w:t>
      </w:r>
      <w:r>
        <w:rPr>
          <w:b w:val="0"/>
          <w:i/>
          <w:color w:val="000000"/>
        </w:rPr>
        <w:t>Research in Microbiology</w:t>
      </w:r>
      <w:r>
        <w:rPr>
          <w:b w:val="0"/>
          <w:i w:val="0"/>
          <w:color w:val="000000"/>
        </w:rPr>
        <w:t>, 169(1), 20–32. https://doi.org/10.1016/j.resmic.2017.08.005</w:t>
      </w:r>
    </w:p>
    <w:p>
      <w:pPr>
        <w:jc w:val="both"/>
      </w:pPr>
      <w:r>
        <w:rPr>
          <w:b w:val="0"/>
          <w:i w:val="0"/>
          <w:color w:val="000000"/>
        </w:rPr>
        <w:t xml:space="preserve">Shultana, R., Kee Zuan, A. T., Yusop, M. R., &amp; Saud, H. M. (2020). Characterization of salt-tolerant plant growth-promoting rhizobacteria and the effect on growth and yield of saline-affected rice. </w:t>
      </w:r>
      <w:r>
        <w:rPr>
          <w:b w:val="0"/>
          <w:i/>
          <w:color w:val="000000"/>
        </w:rPr>
        <w:t>PLOS ONE</w:t>
      </w:r>
      <w:r>
        <w:rPr>
          <w:b w:val="0"/>
          <w:i w:val="0"/>
          <w:color w:val="000000"/>
        </w:rPr>
        <w:t>, 15(9), Article e0238537. https://doi.org/10.1371/journal.pone.0238537</w:t>
      </w:r>
    </w:p>
    <w:p>
      <w:pPr>
        <w:jc w:val="both"/>
      </w:pPr>
      <w:r>
        <w:rPr>
          <w:b w:val="0"/>
          <w:i w:val="0"/>
          <w:color w:val="000000"/>
        </w:rPr>
        <w:t xml:space="preserve">Siddika, A., Rashid, A. A., Khan, S. N., Khatun, A., Karim, M. M., Prasad, P. V. V., &amp; Hasanuzzaman, M. (2024). Harnessing plant growth-promoting rhizobacteria, </w:t>
      </w:r>
      <w:r>
        <w:rPr>
          <w:b w:val="0"/>
          <w:i/>
          <w:color w:val="000000"/>
        </w:rPr>
        <w:t>Bacillus subtilis</w:t>
      </w:r>
      <w:r>
        <w:rPr>
          <w:b w:val="0"/>
          <w:i w:val="0"/>
          <w:color w:val="000000"/>
        </w:rPr>
        <w:t xml:space="preserve"> and </w:t>
      </w:r>
      <w:r>
        <w:rPr>
          <w:b w:val="0"/>
          <w:i/>
          <w:color w:val="000000"/>
        </w:rPr>
        <w:t>B. aryabhattai</w:t>
      </w:r>
      <w:r>
        <w:rPr>
          <w:b w:val="0"/>
          <w:i w:val="0"/>
          <w:color w:val="000000"/>
        </w:rPr>
        <w:t xml:space="preserve"> to combat salt stress in rice: A study on the regulation of antioxidant defense, ion homeostasis, and photosynthetic parameters. </w:t>
      </w:r>
      <w:r>
        <w:rPr>
          <w:b w:val="0"/>
          <w:i/>
          <w:color w:val="000000"/>
        </w:rPr>
        <w:t>Frontiers in Plant Science</w:t>
      </w:r>
      <w:r>
        <w:rPr>
          <w:b w:val="0"/>
          <w:i w:val="0"/>
          <w:color w:val="000000"/>
        </w:rPr>
        <w:t>, 15, Article 1419764. https://doi.org/10.3389/fpls.2024.1419764</w:t>
      </w:r>
    </w:p>
    <w:p>
      <w:pPr>
        <w:jc w:val="both"/>
      </w:pPr>
      <w:r>
        <w:rPr>
          <w:b w:val="0"/>
          <w:i w:val="0"/>
          <w:color w:val="000000"/>
        </w:rPr>
        <w:t xml:space="preserve">Singh, R. K., Kota, S., &amp; Flowers, T. J. (2021). Salt tolerance in rice: Seedling and reproductive stage QTL mapping come of age. </w:t>
      </w:r>
      <w:r>
        <w:rPr>
          <w:b w:val="0"/>
          <w:i/>
          <w:color w:val="000000"/>
        </w:rPr>
        <w:t>Theoretical and Applied Genetics</w:t>
      </w:r>
      <w:r>
        <w:rPr>
          <w:b w:val="0"/>
          <w:i w:val="0"/>
          <w:color w:val="000000"/>
        </w:rPr>
        <w:t>, 134(11), 3495–3533. https://doi.org/10.1007/s00122-021-03890-3</w:t>
      </w:r>
    </w:p>
    <w:p>
      <w:pPr>
        <w:jc w:val="both"/>
      </w:pPr>
      <w:r>
        <w:rPr>
          <w:b w:val="0"/>
          <w:i w:val="0"/>
          <w:color w:val="000000"/>
        </w:rPr>
        <w:t xml:space="preserve">Wang, J., Gao, X., Yang, M., Zhang, Y., &amp; Chen, Y. (2025). Alleviative effects of plant growth-promoting rhizobacteria on salt-stressed rice seedlings: Mechanisms mediated by rhizosphere microbiota and root exudates. </w:t>
      </w:r>
      <w:r>
        <w:rPr>
          <w:b w:val="0"/>
          <w:i/>
          <w:color w:val="000000"/>
        </w:rPr>
        <w:t>Frontiers in Plant Science</w:t>
      </w:r>
      <w:r>
        <w:rPr>
          <w:b w:val="0"/>
          <w:i w:val="0"/>
          <w:color w:val="000000"/>
        </w:rPr>
        <w:t>, 16, Article 1661074. https://doi.org/10.3389/fpls.2025.1661074</w:t>
      </w:r>
    </w:p>
    <w:p>
      <w:pPr>
        <w:jc w:val="both"/>
      </w:pPr>
      <w:r>
        <w:rPr>
          <w:b w:val="0"/>
          <w:i w:val="0"/>
          <w:color w:val="000000"/>
        </w:rPr>
        <w:t>Uncertain references: none. Every DOI above resolves to the stated paper (checked in the previous round). Two statements should still be read in the full text before submission: the germination result in Ali et al. (2022) and the biochemical traits reported by Gupta et al. (2023).</w:t>
      </w:r>
    </w:p>
    <w:p>
      <w:r>
        <w:rPr>
          <w:b/>
          <w:i w:val="0"/>
          <w:color w:val="000000"/>
        </w:rPr>
        <w:t>4. Methods (red-highlighted paragraphs)</w:t>
      </w:r>
    </w:p>
    <w:p>
      <w:pPr>
        <w:jc w:val="both"/>
      </w:pPr>
      <w:r>
        <w:rPr>
          <w:b/>
          <w:i w:val="0"/>
          <w:color w:val="000000"/>
        </w:rPr>
        <w:t>PASTE – 2.1:</w:t>
      </w:r>
    </w:p>
    <w:p>
      <w:pPr>
        <w:jc w:val="both"/>
      </w:pPr>
      <w:r>
        <w:rPr>
          <w:b w:val="0"/>
          <w:i w:val="0"/>
          <w:color w:val="000000"/>
        </w:rPr>
        <w:t>Six endophytic bacterial isolates (IS-01 to IS-06), previously isolated from surface-sterilized tissues of rice plants, were grown separately in nutrient broth at 37 °C to the exponential phase. Five dual-strain consortia were prepared by mixing equal volumes (1:1, v/v) of the partner cultures: C1-3 (IS-01 + IS-03), C1-5 (IS-01 + IS-05), C2-3 (IS-02 + IS-03), C2-5 (IS-02 + IS-05) and C4-5 (IS-04 + IS-05). Compatibility and purity were checked by cross-streaking the partner strains on nutrient agar, and colony morphology, growth density and the presence of any inhibition zone at the junction of the colonies were recorded (Walitang et al., 2017).</w:t>
      </w:r>
    </w:p>
    <w:p>
      <w:pPr>
        <w:jc w:val="both"/>
      </w:pPr>
      <w:r>
        <w:rPr>
          <w:b w:val="0"/>
          <w:i w:val="0"/>
          <w:color w:val="000000"/>
        </w:rPr>
        <w:t>Note: please add the tissue (root/stem/leaf/seed), location and year of isolation in 2.1 if they are in the progress report; reviewers will ask.</w:t>
      </w:r>
    </w:p>
    <w:p>
      <w:pPr>
        <w:jc w:val="both"/>
      </w:pPr>
      <w:r>
        <w:rPr>
          <w:b/>
          <w:i w:val="0"/>
          <w:color w:val="000000"/>
        </w:rPr>
        <w:t>PASTE – 2.2:</w:t>
      </w:r>
    </w:p>
    <w:p>
      <w:pPr>
        <w:jc w:val="both"/>
      </w:pPr>
      <w:r>
        <w:rPr>
          <w:b w:val="0"/>
          <w:i w:val="0"/>
          <w:color w:val="000000"/>
        </w:rPr>
        <w:t xml:space="preserve">Seeds of IR-64, a widely grown but salt-susceptible </w:t>
      </w:r>
      <w:r>
        <w:rPr>
          <w:b w:val="0"/>
          <w:i/>
          <w:color w:val="000000"/>
        </w:rPr>
        <w:t>indica</w:t>
      </w:r>
      <w:r>
        <w:rPr>
          <w:b w:val="0"/>
          <w:i w:val="0"/>
          <w:color w:val="000000"/>
        </w:rPr>
        <w:t xml:space="preserve"> cultivar, were surface-sterilized with 95% (v/v) ethanol for 30–60 s and 5% (v/v) sodium hypochlorite for 5–10 min, rinsed three times in sterile distilled water and soaked in the bacterial suspension (10⁸ CFU mL⁻¹) for 30 min; control seeds were soaked in sterile nutrient broth without bacteria. NaCl solutions of 50, 100 and 150 mM were prepared in sterile distilled water, and distilled water alone served as the 0 mM treatment.</w:t>
      </w:r>
    </w:p>
    <w:p>
      <w:pPr>
        <w:jc w:val="both"/>
      </w:pPr>
      <w:r>
        <w:rPr>
          <w:b w:val="0"/>
          <w:i w:val="0"/>
          <w:color w:val="000000"/>
        </w:rPr>
        <w:t>Note: “soaked in sterile broth” for the control is the standard practice; if control seeds were soaked in sterile distilled water, write that instead.</w:t>
      </w:r>
    </w:p>
    <w:p>
      <w:pPr>
        <w:jc w:val="both"/>
      </w:pPr>
      <w:r>
        <w:rPr>
          <w:b/>
          <w:i w:val="0"/>
          <w:color w:val="000000"/>
        </w:rPr>
        <w:t>PASTE – 2.3:</w:t>
      </w:r>
    </w:p>
    <w:p>
      <w:pPr>
        <w:jc w:val="both"/>
      </w:pPr>
      <w:r>
        <w:rPr>
          <w:b w:val="0"/>
          <w:i w:val="0"/>
          <w:color w:val="000000"/>
        </w:rPr>
        <w:t>Bacterized seeds (25 per treatment) were placed on moist Whatman No. 1 filter paper in Petri dishes, incubated at 25 ± 2 °C and kept moist throughout the assay. A seed was considered germinated when the radicle reached 2 mm in length, and root and shoot lengths were measured at the end of the assay. Isolates and consortia were tested as separate batches, each with its own uninoculated control. The seedling vigour index was calculated as SVI = germination (%) × (root length + shoot length, cm) (Abdul-Baki and Anderson, 1973).</w:t>
      </w:r>
    </w:p>
    <w:p>
      <w:pPr>
        <w:jc w:val="both"/>
      </w:pPr>
      <w:r>
        <w:rPr>
          <w:b w:val="0"/>
          <w:i w:val="0"/>
          <w:color w:val="000000"/>
        </w:rPr>
        <w:t>Note: state the assay duration (e.g. “at 7 days”), which is missing.</w:t>
      </w:r>
    </w:p>
    <w:p>
      <w:pPr>
        <w:jc w:val="both"/>
      </w:pPr>
      <w:r>
        <w:rPr>
          <w:b/>
          <w:i w:val="0"/>
          <w:color w:val="000000"/>
        </w:rPr>
        <w:t>PASTE – 2.4:</w:t>
      </w:r>
    </w:p>
    <w:p>
      <w:pPr>
        <w:jc w:val="both"/>
      </w:pPr>
      <w:r>
        <w:rPr>
          <w:b w:val="0"/>
          <w:i w:val="0"/>
          <w:color w:val="000000"/>
        </w:rPr>
        <w:t>Pots (15 cm × 18 cm) were filled with 2.5 kg of a sterilized soil–cocopeat mixture (1:2, w/w) and arranged in a completely randomized design with three replicate pots per treatment. The isolate experiment comprised seven inoculation treatments (uninoculated control and IS-01 to IS-06) and the consortium experiment six (uninoculated control and five consortia), each combined with four NaCl concentrations (0, 50, 100 and 150 mM). Thirty seeds were sown per treatment, germination was recorded as the percentage of sown seeds that produced a seedling, and seedlings were then thinned to three per pot. Salt stress was imposed from the two- to three-leaf stage (15 days after sowing, DAS) by applying 500 mL of the respective NaCl solution on alternate days for 30 days. Plants were harvested at 45 DAS (see item 6 for the sampling sentence).</w:t>
      </w:r>
    </w:p>
    <w:p>
      <w:pPr>
        <w:jc w:val="both"/>
      </w:pPr>
      <w:r>
        <w:rPr>
          <w:b/>
          <w:i w:val="0"/>
          <w:color w:val="000000"/>
        </w:rPr>
        <w:t>PASTE – 2.5:</w:t>
      </w:r>
    </w:p>
    <w:p>
      <w:pPr>
        <w:jc w:val="both"/>
      </w:pPr>
      <w:r>
        <w:rPr>
          <w:b w:val="0"/>
          <w:i w:val="0"/>
          <w:color w:val="000000"/>
        </w:rPr>
        <w:t xml:space="preserve">For all biochemical assays, 0.5 g of fresh tissue was taken from the youngest fully expanded leaf of each plant. Pigments were extracted with 5 mL of dimethyl sulfoxide at 60 °C for 30 min (Hiscox and Israelstam, 1979), and absorbance was recorded at 663, 645 and 490 nm. Chlorophyll </w:t>
      </w:r>
      <w:r>
        <w:rPr>
          <w:b w:val="0"/>
          <w:i/>
          <w:color w:val="000000"/>
        </w:rPr>
        <w:t>a</w:t>
      </w:r>
      <w:r>
        <w:rPr>
          <w:b w:val="0"/>
          <w:i w:val="0"/>
          <w:color w:val="000000"/>
        </w:rPr>
        <w:t xml:space="preserve"> and </w:t>
      </w:r>
      <w:r>
        <w:rPr>
          <w:b w:val="0"/>
          <w:i/>
          <w:color w:val="000000"/>
        </w:rPr>
        <w:t>b</w:t>
      </w:r>
      <w:r>
        <w:rPr>
          <w:b w:val="0"/>
          <w:i w:val="0"/>
          <w:color w:val="000000"/>
        </w:rPr>
        <w:t xml:space="preserve"> were calculated with the equations of Arnon (1949) (Chl </w:t>
      </w:r>
      <w:r>
        <w:rPr>
          <w:b w:val="0"/>
          <w:i/>
          <w:color w:val="000000"/>
        </w:rPr>
        <w:t>a</w:t>
      </w:r>
      <w:r>
        <w:rPr>
          <w:b w:val="0"/>
          <w:i w:val="0"/>
          <w:color w:val="000000"/>
        </w:rPr>
        <w:t xml:space="preserve"> = 12.7 A₆₆₃ − 2.69 A₆₄₅; Chl </w:t>
      </w:r>
      <w:r>
        <w:rPr>
          <w:b w:val="0"/>
          <w:i/>
          <w:color w:val="000000"/>
        </w:rPr>
        <w:t>b</w:t>
      </w:r>
      <w:r>
        <w:rPr>
          <w:b w:val="0"/>
          <w:i w:val="0"/>
          <w:color w:val="000000"/>
        </w:rPr>
        <w:t xml:space="preserve"> = 22.9 A₆₄₅ − 4.68 A₆₆₃), and total chlorophyll as their sum. Carotenoids were calculated according to Lichtenthaler (1987). Total phenolics were determined with Folin–Ciocalteu reagent at 765 nm against a gallic acid standard curve (y = 0.009x + 0.005, R² = 0.9998) (Singleton and Rossi, 1965). Soluble protein was determined by the Lowry method at 660 nm against bovine serum albumin (Lowry et al., 1951), and soluble sugars with anthrone reagent at 620 nm against glucose (Yemm and Willis, 1954). Antioxidant activity was assayed as DPPH radical scavenging at 517 nm after 30 min of incubation in the dark, with ascorbic acid as the reference standard, and calculated as [(A₀ − A₁)/A₀] × 100, where A₀ and A₁ are the absorbances of the control and the sample (Brand-Williams et al., 1995; Gülçin, 2020). Because every extract was prepared from the same tissue mass in the same volume of solvent, all biochemical values are expressed per volume of extract (mg L⁻¹ or µg mL⁻¹) and are directly comparable between treatments. Isolate and consortium extracts were assayed in separate batches.</w:t>
      </w:r>
    </w:p>
    <w:p>
      <w:pPr>
        <w:jc w:val="both"/>
      </w:pPr>
      <w:r>
        <w:rPr>
          <w:b/>
          <w:i w:val="0"/>
          <w:color w:val="000000"/>
        </w:rPr>
        <w:t>Check before pasting:</w:t>
      </w:r>
      <w:r>
        <w:rPr>
          <w:b w:val="0"/>
          <w:i w:val="0"/>
          <w:color w:val="000000"/>
        </w:rPr>
        <w:t xml:space="preserve"> Lichtenthaler (1987) carotenoid equations use 470 nm, not 490 nm. Please check the wavelength in the lab notebook. If 470 nm was read, change “490” to “470”. If 480 nm was read (common for DMSO extracts), cite Wellburn (1994) instead (</w:t>
      </w:r>
      <w:r>
        <w:rPr>
          <w:b w:val="0"/>
          <w:i/>
          <w:color w:val="000000"/>
        </w:rPr>
        <w:t>Journal of Plant Physiology</w:t>
      </w:r>
      <w:r>
        <w:rPr>
          <w:b w:val="0"/>
          <w:i w:val="0"/>
          <w:color w:val="000000"/>
        </w:rPr>
        <w:t>, 144(3), 307–313, https://doi.org/10.1016/S0176-1617(11)81192-2). No value was changed.</w:t>
      </w:r>
    </w:p>
    <w:p>
      <w:pPr>
        <w:jc w:val="both"/>
      </w:pPr>
      <w:r>
        <w:rPr>
          <w:b/>
          <w:i w:val="0"/>
          <w:color w:val="000000"/>
        </w:rPr>
        <w:t>PASTE – 2.6:</w:t>
      </w:r>
    </w:p>
    <w:p>
      <w:pPr>
        <w:jc w:val="both"/>
      </w:pPr>
      <w:r>
        <w:rPr>
          <w:b w:val="0"/>
          <w:i w:val="0"/>
          <w:color w:val="000000"/>
        </w:rPr>
        <w:t xml:space="preserve">The salinity-induced reduction in uninoculated plants was calculated as SIR (%) = (X₀ − X_S)/X₀ × 100, where X₀ and X_S are the values at 0 mM and at salinity level S, respectively. Inoculation-mediated mitigation was calculated relative to the uninoculated control at the same salinity level as IMM (%) = (X_i,S − X_c,S)/X_c,S × 100, where X_i,S and X_c,S are the values of inoculant i and the control at level S. The retention index was calculated as RI (%) = X_i,150/X_i,0 × 100. Relative indices were used because treatments differed in their unstressed values (Negrão et al., 2017). A composite membership index (CMI) was obtained by rescaling nine traits (germination, root length, shoot length, SVI, chlorophyll </w:t>
      </w:r>
      <w:r>
        <w:rPr>
          <w:b w:val="0"/>
          <w:i/>
          <w:color w:val="000000"/>
        </w:rPr>
        <w:t>a</w:t>
      </w:r>
      <w:r>
        <w:rPr>
          <w:b w:val="0"/>
          <w:i w:val="0"/>
          <w:color w:val="000000"/>
        </w:rPr>
        <w:t xml:space="preserve">, carotenoids, soluble protein, soluble sugars and DPPH scavenging) to a 0–1 scale across all 48 treatment combinations as (X − X_min)/(X_max − X_min) and averaging the rescaled values. Phenolics (incomplete for the isolates) and chlorophyll </w:t>
      </w:r>
      <w:r>
        <w:rPr>
          <w:b w:val="0"/>
          <w:i/>
          <w:color w:val="000000"/>
        </w:rPr>
        <w:t>b</w:t>
      </w:r>
      <w:r>
        <w:rPr>
          <w:b w:val="0"/>
          <w:i w:val="0"/>
          <w:color w:val="000000"/>
        </w:rPr>
        <w:t xml:space="preserve"> (batch-dependent; Section 3.3) were excluded.</w:t>
      </w:r>
    </w:p>
    <w:p>
      <w:pPr>
        <w:jc w:val="both"/>
      </w:pPr>
      <w:r>
        <w:rPr>
          <w:b/>
          <w:i w:val="0"/>
          <w:color w:val="000000"/>
        </w:rPr>
        <w:t>PASTE – 2.7:</w:t>
      </w:r>
    </w:p>
    <w:p>
      <w:pPr>
        <w:jc w:val="both"/>
      </w:pPr>
      <w:r>
        <w:rPr>
          <w:b w:val="0"/>
          <w:i w:val="0"/>
          <w:color w:val="000000"/>
        </w:rPr>
        <w:t>Laboratory germination was compared within each batch by a χ² test of independence, and the best-performing inoculant was compared with the control by Fisher’s exact test. Pot germination was analysed with a binomial generalized linear model (logit link; factors inoculant and NaCl), and effects were tested by likelihood-ratio (LR) χ² tests between nested models. Continuous traits were analysed by two-way ANOVA (inoculant × NaCl) computed from treatment means and SDs (n = 3) (Larson, 1992), with partial eta-squared (η_p²) as the effect size and Tukey’s HSD test at α = 0.05 (Tukey, 1949); traits without recorded replicate SDs (consortium sugars and DPPH activity) are presented descriptively. Pearson correlations among the nine CMI traits were computed across the 48 treatment means (|r| ≥ 0.285 for p &lt; 0.05), and principal component analysis (PCA) was performed on the standardized (z-scored) trait matrix (Jolliffe and Cadima, 2016). Analyses were performed with SciPy (Virtanen et al., 2020) and statsmodels (Seabold and Perktold, 2010). Values are presented as means ± SD of three replicates.</w:t>
      </w:r>
    </w:p>
    <w:p>
      <w:pPr>
        <w:jc w:val="both"/>
      </w:pPr>
      <w:r>
        <w:rPr>
          <w:b w:val="0"/>
          <w:i w:val="0"/>
          <w:color w:val="000000"/>
        </w:rPr>
        <w:t>Citation check: every method in 2.1–2.7 has a source citation (Walitang 2017; Abdul-Baki &amp; Anderson 1973; Hiscox &amp; Israelstam 1979; Arnon 1949; Lichtenthaler 1987; Singleton &amp; Rossi 1965; Lowry 1951; Yemm &amp; Willis 1954; Brand-Williams 1995; Gülçin 2020; Negrão 2017; Larson 1992; Tukey 1949; Jolliffe &amp; Cadima 2016; Virtanen 2020; Seabold &amp; Perktold 2010). Missing: none, except the optional Wellburn (1994) noted above. The seed-sterilization and pot design steps are standard and usually need no citation.</w:t>
      </w:r>
    </w:p>
    <w:p>
      <w:r>
        <w:rPr>
          <w:b/>
          <w:i w:val="0"/>
          <w:color w:val="000000"/>
        </w:rPr>
        <w:t>5. Introduction: “(Reference)” placeholder</w:t>
      </w:r>
    </w:p>
    <w:p>
      <w:pPr>
        <w:jc w:val="both"/>
      </w:pPr>
      <w:r>
        <w:rPr>
          <w:b/>
          <w:i w:val="0"/>
          <w:color w:val="000000"/>
        </w:rPr>
        <w:t>PASTE – replace the last sentence of the consortium paragraph:</w:t>
      </w:r>
    </w:p>
    <w:p>
      <w:pPr>
        <w:jc w:val="both"/>
      </w:pPr>
      <w:r>
        <w:rPr>
          <w:b w:val="0"/>
          <w:i w:val="0"/>
          <w:color w:val="000000"/>
        </w:rPr>
        <w:t>Consequently, the effectiveness of a consortium must be established experimentally rather than inferred from the individual performance of its constituent strains (Compant et al., 2019; Liu et al., 2023).</w:t>
      </w:r>
    </w:p>
    <w:p>
      <w:pPr>
        <w:jc w:val="both"/>
      </w:pPr>
      <w:r>
        <w:rPr>
          <w:b w:val="0"/>
          <w:i w:val="0"/>
          <w:color w:val="000000"/>
        </w:rPr>
        <w:t>Both references are already in the list: Compant et al. (2019) review how co-inoculated strains interact and compete in the plant microbiome, and Liu et al. (2023) show in a meta-analysis that consortium benefits vary widely among studies. No new reference is added.</w:t>
      </w:r>
    </w:p>
    <w:p>
      <w:r>
        <w:rPr>
          <w:b/>
          <w:i w:val="0"/>
          <w:color w:val="000000"/>
        </w:rPr>
        <w:t>6. Sampling sentence (root, shoot and leaf)</w:t>
      </w:r>
    </w:p>
    <w:p>
      <w:pPr>
        <w:jc w:val="both"/>
      </w:pPr>
      <w:r>
        <w:rPr>
          <w:b/>
          <w:i w:val="0"/>
          <w:color w:val="000000"/>
        </w:rPr>
        <w:t>PASTE – option A (keep all three tissues):</w:t>
      </w:r>
      <w:r>
        <w:rPr>
          <w:b w:val="0"/>
          <w:i w:val="0"/>
          <w:color w:val="000000"/>
        </w:rPr>
        <w:t xml:space="preserve"> add at the end of 2.4:</w:t>
      </w:r>
    </w:p>
    <w:p>
      <w:pPr>
        <w:jc w:val="both"/>
      </w:pPr>
      <w:r>
        <w:rPr>
          <w:b w:val="0"/>
          <w:i w:val="0"/>
          <w:color w:val="000000"/>
        </w:rPr>
        <w:t>At 45 DAS, plants were uprooted, and the root and shoot of each plant were used for length measurements, while fresh leaves were sampled for all biochemical assays (Section 2.5).</w:t>
      </w:r>
    </w:p>
    <w:p>
      <w:pPr>
        <w:jc w:val="both"/>
      </w:pPr>
      <w:r>
        <w:rPr>
          <w:b/>
          <w:i w:val="0"/>
          <w:color w:val="000000"/>
        </w:rPr>
        <w:t>Option B (if only leaf data are reported and you do not want to mention roots and shoots as samples):</w:t>
      </w:r>
    </w:p>
    <w:p>
      <w:pPr>
        <w:jc w:val="both"/>
      </w:pPr>
      <w:r>
        <w:rPr>
          <w:b w:val="0"/>
          <w:i w:val="0"/>
          <w:color w:val="000000"/>
        </w:rPr>
        <w:t>At 45 DAS, root and shoot lengths were measured on intact plants, and fresh leaf samples were collected for the biochemical assays (Section 2.5).</w:t>
      </w:r>
    </w:p>
    <w:p>
      <w:pPr>
        <w:jc w:val="both"/>
      </w:pPr>
      <w:r>
        <w:rPr>
          <w:b w:val="0"/>
          <w:i w:val="0"/>
          <w:color w:val="000000"/>
        </w:rPr>
        <w:t>Either sentence answers the comment: root and shoot were harvested because root and shoot lengths (and SVI) are reported, whereas only leaves were used for biochemistry.</w:t>
      </w:r>
    </w:p>
    <w:p>
      <w:r>
        <w:rPr>
          <w:b/>
          <w:i w:val="0"/>
          <w:color w:val="000000"/>
        </w:rPr>
        <w:t>Checklist for reply to the professor</w:t>
      </w:r>
    </w:p>
    <w:p>
      <w:pPr>
        <w:jc w:val="both"/>
      </w:pPr>
      <w:r>
        <w:rPr>
          <w:b w:val="0"/>
          <w:i w:val="0"/>
          <w:color w:val="000000"/>
        </w:rPr>
        <w:t>☐ Fig. 3: SDs checked from the data; error bars were present but hidden by the symbols. Redrawn at 600 dpi with visible error bars and the SD range in each panel; caption corrected (consortium sugars have no SD).</w:t>
      </w:r>
    </w:p>
    <w:p>
      <w:pPr>
        <w:jc w:val="both"/>
      </w:pPr>
      <w:r>
        <w:rPr>
          <w:b w:val="0"/>
          <w:i w:val="0"/>
          <w:color w:val="000000"/>
        </w:rPr>
        <w:t>☐ Fig. 3: noted that protein and sugar SDs are identical (±0.15) at every point; to be recomputed from individual replicates if available, otherwise kept disclosed.</w:t>
      </w:r>
    </w:p>
    <w:p>
      <w:pPr>
        <w:jc w:val="both"/>
      </w:pPr>
      <w:r>
        <w:rPr>
          <w:b w:val="0"/>
          <w:i w:val="0"/>
          <w:color w:val="000000"/>
        </w:rPr>
        <w:t>☐ Table 2: all red germination and SVI values checked against the raw counts and lengths; all correct. Control SVI differs slightly between batches; footnote updated.</w:t>
      </w:r>
    </w:p>
    <w:p>
      <w:pPr>
        <w:jc w:val="both"/>
      </w:pPr>
      <w:r>
        <w:rPr>
          <w:b w:val="0"/>
          <w:i w:val="0"/>
          <w:color w:val="000000"/>
        </w:rPr>
        <w:t>☐ Table 2: consortia were not higher than isolates or the control at 0 mM; under 150 mM, four of five consortia exceeded the control but none exceeded IS-06. Reported honestly in Section 3.2; no values changed. Professor’s note removed from caption.</w:t>
      </w:r>
    </w:p>
    <w:p>
      <w:pPr>
        <w:jc w:val="both"/>
      </w:pPr>
      <w:r>
        <w:rPr>
          <w:b w:val="0"/>
          <w:i w:val="0"/>
          <w:color w:val="000000"/>
        </w:rPr>
        <w:t>☐ Discussion: 4.1, 4.2, 4.3, 4.4, 4.5, 4.6 and 4.7 now compare the results with 2–3 published studies each (“similar to… / in contrast to…”); all cited papers already verified in the reference list.</w:t>
      </w:r>
    </w:p>
    <w:p>
      <w:pPr>
        <w:jc w:val="both"/>
      </w:pPr>
      <w:r>
        <w:rPr>
          <w:b w:val="0"/>
          <w:i w:val="0"/>
          <w:color w:val="000000"/>
        </w:rPr>
        <w:t>☐ Methods 2.1–2.7 polished; incomplete sentence in 2.5 completed; SIR, IMM and RI formulas defined; every method cited. To confirm: carotenoid wavelength (470/480/490 nm), germination assay duration, isolate source tissue.</w:t>
      </w:r>
    </w:p>
    <w:p>
      <w:pPr>
        <w:jc w:val="both"/>
      </w:pPr>
      <w:r>
        <w:rPr>
          <w:b w:val="0"/>
          <w:i w:val="0"/>
          <w:color w:val="000000"/>
        </w:rPr>
        <w:t>☐ Introduction: “(Reference)” replaced with Compant et al. (2019) and Liu et al. (2023).</w:t>
      </w:r>
    </w:p>
    <w:p>
      <w:pPr>
        <w:jc w:val="both"/>
      </w:pPr>
      <w:r>
        <w:rPr>
          <w:b w:val="0"/>
          <w:i w:val="0"/>
          <w:color w:val="000000"/>
        </w:rPr>
        <w:t>☐ Sampling: sentence added to explain that roots and shoots were used for length measurements and leaves for biochemistry.</w:t>
      </w:r>
    </w:p>
    <w:p>
      <w:pPr>
        <w:jc w:val="both"/>
      </w:pPr>
      <w:r>
        <w:rPr>
          <w:b w:val="0"/>
          <w:i w:val="0"/>
          <w:color w:val="000000"/>
        </w:rPr>
        <w:t>☐ First-person words: none in the manuscript or the new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