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Phase 1 - UI Policy Creation</w:t>
      </w:r>
    </w:p>
    <w:p>
      <w:pPr>
        <w:pStyle w:val="Heading1"/>
      </w:pPr>
      <w:r>
        <w:t>Task 1: Create UI Policy on Incident</w:t>
      </w:r>
    </w:p>
    <w:p>
      <w:r>
        <w:t>The project begins by creating a UI Policy on the Incident table. Log in to the ServiceNow instance with administrative or configuration access and navigate to System UI → UI Policies. Click New and configure the policy with the following details: Name: High Impact Control; Table: Incident; Active: true.</w:t>
      </w:r>
    </w:p>
    <w:p>
      <w:pPr>
        <w:pStyle w:val="Heading1"/>
      </w:pPr>
      <w:r>
        <w:t>Activity 1: Create UI Policy</w:t>
      </w:r>
    </w:p>
    <w:p>
      <w:r>
        <w:t>Configure the condition as Field: Impact, Operator: is, Value: 1 – High. This ensures that the UI Policy is triggered only when the Incident impact is set to High. Add the UI Policy Action for Assignment Group and check Mandatory. Set Reverse if false to true so that when the condition is not met, field changes applied by the policy are automatically reverted. Review the configuration and click Submit.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