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2 - UI Policy Action Configuration</w:t>
      </w:r>
    </w:p>
    <w:p>
      <w:pPr>
        <w:pStyle w:val="Heading1"/>
      </w:pPr>
      <w:r>
        <w:t>Task 2: Create UI Policy Action – Urgency</w:t>
      </w:r>
    </w:p>
    <w:p>
      <w:r>
        <w:t>Open the High Impact Control UI Policy and scroll to the UI Policy Actions related list. Click New to create a UI Policy Action. Configure Field name as Urgency and Read-only as true. Leave Visible unchanged. Submit the action so it is linked to the High Impact Control policy.</w:t>
      </w:r>
    </w:p>
    <w:p>
      <w:pPr>
        <w:pStyle w:val="Heading1"/>
      </w:pPr>
      <w:r>
        <w:t>Activity 1: Configure the Urgency Field</w:t>
      </w:r>
    </w:p>
    <w:p>
      <w:r>
        <w:t>When Impact is High, the Urgency field remains visible but cannot be changed by the user. Optional verification is to open an Incident, set Impact to High, confirm that Urgency becomes read-only, and then change Impact to another value to confirm that the field reverts when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