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6 - Testing Configuration</w:t>
      </w:r>
    </w:p>
    <w:p>
      <w:pPr>
        <w:pStyle w:val="Heading1"/>
      </w:pPr>
      <w:r>
        <w:t>Task 6: Testing the Configuration</w:t>
      </w:r>
    </w:p>
    <w:p>
      <w:r>
        <w:t>The configuration is tested through five activities covering mandatory enforcement, successful save, reverse condition behavior, list-edit blocking, and form-based State updates.</w:t>
      </w:r>
    </w:p>
    <w:p>
      <w:pPr>
        <w:pStyle w:val="Heading1"/>
      </w:pPr>
      <w:r>
        <w:t>Activity 1: Test Mandatory Enforcement</w:t>
      </w:r>
    </w:p>
    <w:p>
      <w:r>
        <w:t>Navigate to Incident → Create New. Set Impact to High, leave Assigned To empty, and click Submit. The Incident should not be saved because Assigned To is required when Impact is High. An error message should appear, and UI Policy actions such as read-only fields and automated Urgency updates should work as expected.</w:t>
      </w:r>
    </w:p>
    <w:p>
      <w:pPr>
        <w:pStyle w:val="Heading1"/>
      </w:pPr>
      <w:r>
        <w:t>Activity 2: Test Successful Save</w:t>
      </w:r>
    </w:p>
    <w:p>
      <w:r>
        <w:t>Fill the Assigned To field, click Submit, and verify that the Incident saves successfully. Confirm Urgency auto-setting, read-only fields, and State restrictions are functioning as expected.</w:t>
      </w:r>
    </w:p>
    <w:p>
      <w:pPr>
        <w:pStyle w:val="Heading1"/>
      </w:pPr>
      <w:r>
        <w:t>Activity 3: Reverse Condition Test</w:t>
      </w:r>
    </w:p>
    <w:p>
      <w:r>
        <w:t>Open an existing Incident where Impact is High and change Impact from High to Medium. Assigned To should no longer be mandatory and Urgency should become editable. Save the record and confirm that it saves successfully.</w:t>
      </w:r>
    </w:p>
    <w:p>
      <w:pPr>
        <w:pStyle w:val="Heading1"/>
      </w:pPr>
      <w:r>
        <w:t>Activity 4: Test List Edit Blocking</w:t>
      </w:r>
    </w:p>
    <w:p>
      <w:r>
        <w:t>Go to Incident → All, locate an Incident, and double-click the State field. An alert should appear indicating that direct State changes are not allowed, and the State value should remain unchanged.</w:t>
      </w:r>
    </w:p>
    <w:p>
      <w:pPr>
        <w:pStyle w:val="Heading1"/>
      </w:pPr>
      <w:r>
        <w:t>Activity 5: Test Form-Based Update</w:t>
      </w:r>
    </w:p>
    <w:p>
      <w:r>
        <w:t>Open the same Incident record through the Incident form and change the State field. Click Update. The State change should save successfully, while Assigned To and Urgency continue to follow the configured UI Policy and Client Script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