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7 - Conclusion</w:t>
      </w:r>
    </w:p>
    <w:p>
      <w:pPr>
        <w:pStyle w:val="Heading1"/>
      </w:pPr>
      <w:r>
        <w:t>Conclusion</w:t>
      </w:r>
    </w:p>
    <w:p>
      <w:r>
        <w:t>The Implement Client Script &amp; UI Policy (Incident) micro project demonstrates how UI Policies and Client Scripts work together to enforce dynamic field behavior, automate updates, and prevent incorrect data submission on Incident forms. The project uses onChange, onSubmit, and onCellEdit scripts alongside UI Policy actions to ensure fields such as Assigned To and Urgency respond appropriately to changes in Impact. The solution enforces mandatory fields and controls user interactions while remaining lightweight, efficient, and suitable for a short-duration micro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