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1C7293"/>
          <w:sz w:val="30"/>
          <w:szCs w:val="30"/>
        </w:rPr>
        <w:t xml:space="preserve">CONNEXA EVENTS</w:t>
      </w:r>
    </w:p>
    <w:p>
      <w:pPr>
        <w:spacing w:after="100" w:before="200"/>
        <w:jc w:val="center"/>
      </w:pPr>
      <w:r>
        <w:rPr>
          <w:b/>
          <w:bCs/>
          <w:color w:val="1B2A4A"/>
          <w:sz w:val="52"/>
          <w:szCs w:val="52"/>
        </w:rPr>
        <w:t xml:space="preserve">Multi-Client &amp; SaaS Transition Proposal</w:t>
      </w:r>
    </w:p>
    <w:p>
      <w:pPr>
        <w:spacing w:after="400"/>
        <w:jc w:val="center"/>
      </w:pPr>
      <w:r>
        <w:rPr>
          <w:i/>
          <w:iCs/>
          <w:color w:val="5B6472"/>
          <w:sz w:val="24"/>
          <w:szCs w:val="24"/>
        </w:rPr>
        <w:t xml:space="preserve">From single-tenant forks to a platform that scales</w:t>
      </w:r>
    </w:p>
    <w:p>
      <w:pPr>
        <w:spacing w:after="1200"/>
      </w:pPr>
    </w:p>
    <w:p>
      <w:pPr>
        <w:jc w:val="center"/>
      </w:pPr>
      <w:r>
        <w:rPr>
          <w:b/>
          <w:bCs/>
          <w:color w:val="C0392B"/>
          <w:sz w:val="18"/>
          <w:szCs w:val="18"/>
        </w:rPr>
        <w:t xml:space="preserve">INTERNAL USE — CONFIDENTIAL</w:t>
      </w:r>
    </w:p>
    <w:p>
      <w:pPr>
        <w:spacing w:before="80"/>
        <w:jc w:val="center"/>
      </w:pPr>
      <w:r>
        <w:rPr>
          <w:color w:val="5B6472"/>
          <w:sz w:val="18"/>
          <w:szCs w:val="18"/>
        </w:rPr>
        <w:t xml:space="preserve">Prepared August 2026 · Companion to the Client Onboarding &amp; Deployment Guide</w:t>
      </w:r>
    </w:p>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t xml:space="preserve">Connexa Events today is a single, well-built Apps Script application — atomic seat allocation, a full events/registrations/milestones/budget/communications domain model, and a themeable UI already exist and work. The constraint isn't the product logic; it's the deployment model. Every client is a hand-cloned copy of the source: its own Google Sheet, its own Apps Script project, its own hardcoded SPREADSHEET_ID and BRANDING constants edited by hand before each clasp push. The Client Onboarding &amp; Deployment Guide documents this clearly and does a good job of making a manual process repeatable — but it is still manual, and it does not scale past a small number of white-glove clients.</w:t>
      </w:r>
    </w:p>
    <w:p>
      <w:pPr>
        <w:spacing w:after="160" w:line="276"/>
      </w:pPr>
      <w:r>
        <w:t xml:space="preserve">This proposal answers two related but distinct questions:</w:t>
      </w:r>
    </w:p>
    <w:p>
      <w:pPr>
        <w:pStyle w:val="ListParagraph"/>
        <w:numPr>
          <w:ilvl w:val="0"/>
          <w:numId w:val="1"/>
        </w:numPr>
        <w:spacing w:after="80" w:line="264"/>
      </w:pPr>
      <w:r>
        <w:rPr>
          <w:b/>
          <w:bCs/>
        </w:rPr>
        <w:t xml:space="preserve">1) Multi-client, same codebase — </w:t>
      </w:r>
      <w:r>
        <w:t xml:space="preserve">how do we stop forking the source for every client, so a bug fix or new feature ships to every client at once instead of N times?</w:t>
      </w:r>
    </w:p>
    <w:p>
      <w:pPr>
        <w:pStyle w:val="ListParagraph"/>
        <w:numPr>
          <w:ilvl w:val="0"/>
          <w:numId w:val="1"/>
        </w:numPr>
        <w:spacing w:after="80" w:line="264"/>
      </w:pPr>
      <w:r>
        <w:rPr>
          <w:b/>
          <w:bCs/>
        </w:rPr>
        <w:t xml:space="preserve">2) A proper SaaS platform — </w:t>
      </w:r>
      <w:r>
        <w:t xml:space="preserve">how do we get to self-serve signup, subscription billing, custom domains, and infrastructure that isn't bounded by one Google account's email/execution quotas?</w:t>
      </w:r>
    </w:p>
    <w:p>
      <w:pPr>
        <w:spacing w:after="160" w:line="276"/>
      </w:pPr>
      <w:r>
        <w:t xml:space="preserve">The recommendation is a three-phase path, not a single rewrite. Phase 1 fixes the "same codebase" problem inside the current Apps Script architecture (low risk, ships in weeks, immediately reduces onboarding effort and eliminates code drift between client forks). Phase 2 is a proof-of-concept internal Tenant Console that provisions new clients through that shared codebase via a form instead of manual clasp commands. Phase 3 is the SaaS rebuild — a real multi-tenant backend, database, billing, and self-serve onboarding — into which existing clients are migrated one at a time. Phases 1–2 are not throwaway work: the config-driven branding/taxonomy model built in Phase 1 is the same model Phase 3's tenant system reuses.</w:t>
      </w:r>
    </w:p>
    <w:tbl>
      <w:tblPr>
        <w:tblW w:type="pct" w:w="100%"/>
        <w:tblBorders>
          <w:top w:val="single" w:color="1C7293" w:sz="4"/>
          <w:left w:val="single" w:color="1C7293" w:sz="24"/>
          <w:bottom w:val="single" w:color="1C7293" w:sz="4"/>
          <w:right w:val="single" w:color="1C7293" w:sz="4"/>
          <w:insideH w:val="single" w:color="auto" w:sz="4"/>
          <w:insideV w:val="single" w:color="auto" w:sz="4"/>
        </w:tblBorders>
      </w:tblPr>
      <w:tblGrid>
        <w:gridCol w:w="100"/>
      </w:tblGrid>
      <w:tr>
        <w:tc>
          <w:tcPr>
            <w:shd w:fill="F4F6F8" w:val="clear"/>
            <w:tcMar>
              <w:top w:type="dxa" w:w="160"/>
              <w:left w:type="dxa" w:w="220"/>
              <w:bottom w:type="dxa" w:w="160"/>
              <w:right w:type="dxa" w:w="220"/>
            </w:tcMar>
          </w:tcPr>
          <w:p>
            <w:pPr>
              <w:spacing w:after="60"/>
            </w:pPr>
            <w:r>
              <w:rPr>
                <w:b/>
                <w:bCs/>
                <w:color w:val="1C7293"/>
              </w:rPr>
              <w:t xml:space="preserve">Bottom line</w:t>
            </w:r>
          </w:p>
          <w:p>
            <w:pPr>
              <w:spacing w:after="0"/>
            </w:pPr>
            <w:r>
              <w:rPr>
                <w:color w:val="333333"/>
              </w:rPr>
              <w:t xml:space="preserve">Don't multi-tenant the Apps Script deployment itself (one script serving all clients) — Apps Script's execution, trigger, and email quotas are shared per Google account, so one client's spike degrades every other client on that account. Keep per-tenant isolation, but stop hand-forking the code to get it. That's Phase 1.</w:t>
            </w:r>
          </w:p>
        </w:tc>
      </w:tr>
    </w:tbl>
    <w:p>
      <w:pPr>
        <w:pStyle w:val="Heading1"/>
        <w:spacing w:after="200" w:before="400"/>
      </w:pPr>
      <w:r>
        <w:t xml:space="preserve">2. Current State Assessment</w:t>
      </w:r>
    </w:p>
    <w:p>
      <w:pPr>
        <w:spacing w:after="160" w:line="276"/>
      </w:pPr>
      <w:r>
        <w:t xml:space="preserve">Grounded in the current codebase (Code.js, appsscript.json, .clasp.json) and the existing onboarding guide:</w:t>
      </w:r>
    </w:p>
    <w:p>
      <w:pPr>
        <w:pStyle w:val="Heading2"/>
        <w:spacing w:after="140" w:before="280"/>
      </w:pPr>
      <w:r>
        <w:t xml:space="preserve">2.1 Deployment model</w:t>
      </w:r>
    </w:p>
    <w:p>
      <w:pPr>
        <w:pStyle w:val="ListParagraph"/>
        <w:numPr>
          <w:ilvl w:val="0"/>
          <w:numId w:val="1"/>
        </w:numPr>
        <w:spacing w:after="80" w:line="264"/>
      </w:pPr>
      <w:r>
        <w:t xml:space="preserve">One Apps Script project + one Google Sheet per client, created by copying the source directory and running clasp create — a brand-new scriptId every time (.clasp.json is literally overwritten per client).</w:t>
      </w:r>
    </w:p>
    <w:p>
      <w:pPr>
        <w:pStyle w:val="ListParagraph"/>
        <w:numPr>
          <w:ilvl w:val="0"/>
          <w:numId w:val="1"/>
        </w:numPr>
        <w:spacing w:after="80" w:line="264"/>
      </w:pPr>
      <w:r>
        <w:t xml:space="preserve">Two constants make every client's copy diverge from the shared source: SPREADSHEET_ID (Code.js:223) and BRANDING (Code.js:368–384) — both hand-edited in the client's fork, never read from configuration.</w:t>
      </w:r>
    </w:p>
    <w:p>
      <w:pPr>
        <w:pStyle w:val="ListParagraph"/>
        <w:numPr>
          <w:ilvl w:val="0"/>
          <w:numId w:val="1"/>
        </w:numPr>
        <w:spacing w:after="80" w:line="264"/>
      </w:pPr>
      <w:r>
        <w:t xml:space="preserve">appsscript.json sets executeAs: USER_DEPLOYING and access: ANYONE_ANONYMOUS — whichever Google account clicks Deploy owns that client's email sending quota, Drive storage, and execution identity for the life of the deployment.</w:t>
      </w:r>
    </w:p>
    <w:p>
      <w:pPr>
        <w:pStyle w:val="ListParagraph"/>
        <w:numPr>
          <w:ilvl w:val="0"/>
          <w:numId w:val="1"/>
        </w:numPr>
        <w:spacing w:after="80" w:line="264"/>
      </w:pPr>
      <w:r>
        <w:t xml:space="preserve">No custom domain support — every deployment is served from script.google.com/macros/s/.../exec.</w:t>
      </w:r>
    </w:p>
    <w:p>
      <w:pPr>
        <w:pStyle w:val="Heading2"/>
        <w:spacing w:after="140" w:before="280"/>
      </w:pPr>
      <w:r>
        <w:t xml:space="preserve">2.2 What already works well (and should be preserved)</w:t>
      </w:r>
    </w:p>
    <w:p>
      <w:pPr>
        <w:pStyle w:val="ListParagraph"/>
        <w:numPr>
          <w:ilvl w:val="0"/>
          <w:numId w:val="1"/>
        </w:numPr>
        <w:spacing w:after="80" w:line="264"/>
      </w:pPr>
      <w:r>
        <w:t xml:space="preserve">A real domain model: Events (with Umbrella/sub-event hierarchy), ranked-choice allocation with LockService for atomic, race-safe seat/booth assignment, Milestones, Orders/Budget, and a full Communications engine (templates, campaigns, automations, opt-outs, unsubscribe compliance).</w:t>
      </w:r>
    </w:p>
    <w:p>
      <w:pPr>
        <w:pStyle w:val="ListParagraph"/>
        <w:numPr>
          <w:ilvl w:val="0"/>
          <w:numId w:val="1"/>
        </w:numPr>
        <w:spacing w:after="80" w:line="264"/>
      </w:pPr>
      <w:r>
        <w:t xml:space="preserve">A token-driven theme system — BRANDING already flows into every HTML surface (Portal, AdminPortal, AdminFloorPlan, Dashboard, AdminResetPassword) via CSS custom properties, so white-labeling per client is a data problem, not a UI rewrite.</w:t>
      </w:r>
    </w:p>
    <w:p>
      <w:pPr>
        <w:pStyle w:val="ListParagraph"/>
        <w:numPr>
          <w:ilvl w:val="0"/>
          <w:numId w:val="1"/>
        </w:numPr>
        <w:spacing w:after="80" w:line="264"/>
      </w:pPr>
      <w:r>
        <w:t xml:space="preserve">An execution-scoped read cache (_rawDataCache_) and a cached spreadsheet handle already exist to work around Apps Script's slow per-call Sheets API latency — this performance-engineering effort is portable to a real database and shouldn't be discarded.</w:t>
      </w:r>
    </w:p>
    <w:p>
      <w:pPr>
        <w:pStyle w:val="Heading2"/>
        <w:spacing w:after="140" w:before="280"/>
      </w:pPr>
      <w:r>
        <w:t xml:space="preserve">2.3 Constraints that block scaling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800"/>
        <w:gridCol w:w="4200"/>
      </w:tblGrid>
      <w:tr>
        <w:trPr>
          <w:tblHeader/>
        </w:trPr>
        <w:tc>
          <w:tcPr>
            <w:tcW w:type="dxa" w:w="5800"/>
            <w:shd w:fill="1B2A4A" w:val="clear"/>
            <w:tcMar>
              <w:top w:type="dxa" w:w="100"/>
              <w:left w:type="dxa" w:w="120"/>
              <w:bottom w:type="dxa" w:w="100"/>
              <w:right w:type="dxa" w:w="120"/>
            </w:tcMar>
          </w:tcPr>
          <w:p>
            <w:pPr>
              <w:jc w:val="left"/>
            </w:pPr>
            <w:r>
              <w:rPr>
                <w:b/>
                <w:bCs/>
                <w:color w:val="FFFFFF"/>
                <w:sz w:val="19"/>
                <w:szCs w:val="19"/>
              </w:rPr>
              <w:t xml:space="preserve">Constraint</w:t>
            </w:r>
          </w:p>
        </w:tc>
        <w:tc>
          <w:tcPr>
            <w:tcW w:type="dxa" w:w="4200"/>
            <w:shd w:fill="1B2A4A" w:val="clear"/>
            <w:tcMar>
              <w:top w:type="dxa" w:w="100"/>
              <w:left w:type="dxa" w:w="120"/>
              <w:bottom w:type="dxa" w:w="100"/>
              <w:right w:type="dxa" w:w="120"/>
            </w:tcMar>
          </w:tcPr>
          <w:p>
            <w:pPr>
              <w:jc w:val="left"/>
            </w:pPr>
            <w:r>
              <w:rPr>
                <w:b/>
                <w:bCs/>
                <w:color w:val="FFFFFF"/>
                <w:sz w:val="19"/>
                <w:szCs w:val="19"/>
              </w:rPr>
              <w:t xml:space="preserve">Why it matters</w:t>
            </w:r>
          </w:p>
        </w:tc>
      </w:tr>
      <w:tr>
        <w:tc>
          <w:tcPr>
            <w:tcW w:type="dxa" w:w="5800"/>
            <w:tcMar>
              <w:top w:type="dxa" w:w="100"/>
              <w:left w:type="dxa" w:w="120"/>
              <w:bottom w:type="dxa" w:w="100"/>
              <w:right w:type="dxa" w:w="120"/>
            </w:tcMar>
          </w:tcPr>
          <w:p>
            <w:pPr>
              <w:jc w:val="left"/>
            </w:pPr>
            <w:r>
              <w:rPr>
                <w:b w:val="false"/>
                <w:bCs w:val="false"/>
                <w:color w:val="222222"/>
                <w:sz w:val="20"/>
                <w:szCs w:val="20"/>
              </w:rPr>
              <w:t xml:space="preserve">Google Sheets as the database</w:t>
            </w:r>
          </w:p>
        </w:tc>
        <w:tc>
          <w:tcPr>
            <w:tcW w:type="dxa" w:w="4200"/>
            <w:tcMar>
              <w:top w:type="dxa" w:w="100"/>
              <w:left w:type="dxa" w:w="120"/>
              <w:bottom w:type="dxa" w:w="100"/>
              <w:right w:type="dxa" w:w="120"/>
            </w:tcMar>
          </w:tcPr>
          <w:p>
            <w:pPr>
              <w:jc w:val="left"/>
            </w:pPr>
            <w:r>
              <w:rPr>
                <w:b w:val="false"/>
                <w:bCs w:val="false"/>
                <w:color w:val="222222"/>
                <w:sz w:val="20"/>
                <w:szCs w:val="20"/>
              </w:rPr>
              <w:t xml:space="preserve">Row-scan reads/writes, no real transactions beyond LockService-guarded critical sections, and a practical ceiling on rows/sheet before UI and script performance degrade.</w:t>
            </w:r>
          </w:p>
        </w:tc>
      </w:tr>
      <w:tr>
        <w:tc>
          <w:tcPr>
            <w:tcW w:type="dxa" w:w="5800"/>
            <w:shd w:fill="F7F9FA" w:val="clear"/>
            <w:tcMar>
              <w:top w:type="dxa" w:w="100"/>
              <w:left w:type="dxa" w:w="120"/>
              <w:bottom w:type="dxa" w:w="100"/>
              <w:right w:type="dxa" w:w="120"/>
            </w:tcMar>
          </w:tcPr>
          <w:p>
            <w:pPr>
              <w:jc w:val="left"/>
            </w:pPr>
            <w:r>
              <w:rPr>
                <w:b w:val="false"/>
                <w:bCs w:val="false"/>
                <w:color w:val="222222"/>
                <w:sz w:val="20"/>
                <w:szCs w:val="20"/>
              </w:rPr>
              <w:t xml:space="preserve">Per-account email quota</w:t>
            </w:r>
          </w:p>
        </w:tc>
        <w:tc>
          <w:tcPr>
            <w:tcW w:type="dxa" w:w="4200"/>
            <w:shd w:fill="F7F9FA" w:val="clear"/>
            <w:tcMar>
              <w:top w:type="dxa" w:w="100"/>
              <w:left w:type="dxa" w:w="120"/>
              <w:bottom w:type="dxa" w:w="100"/>
              <w:right w:type="dxa" w:w="120"/>
            </w:tcMar>
          </w:tcPr>
          <w:p>
            <w:pPr>
              <w:jc w:val="left"/>
            </w:pPr>
            <w:r>
              <w:rPr>
                <w:b w:val="false"/>
                <w:bCs w:val="false"/>
                <w:color w:val="222222"/>
                <w:sz w:val="20"/>
                <w:szCs w:val="20"/>
              </w:rPr>
              <w:t xml:space="preserve">100/day on consumer Gmail, ~1,500/day on Workspace — shared across confirmations, reminders, and campaign sends for every client on that account if agency-hosted.</w:t>
            </w:r>
          </w:p>
        </w:tc>
      </w:tr>
      <w:tr>
        <w:tc>
          <w:tcPr>
            <w:tcW w:type="dxa" w:w="5800"/>
            <w:tcMar>
              <w:top w:type="dxa" w:w="100"/>
              <w:left w:type="dxa" w:w="120"/>
              <w:bottom w:type="dxa" w:w="100"/>
              <w:right w:type="dxa" w:w="120"/>
            </w:tcMar>
          </w:tcPr>
          <w:p>
            <w:pPr>
              <w:jc w:val="left"/>
            </w:pPr>
            <w:r>
              <w:rPr>
                <w:b w:val="false"/>
                <w:bCs w:val="false"/>
                <w:color w:val="222222"/>
                <w:sz w:val="20"/>
                <w:szCs w:val="20"/>
              </w:rPr>
              <w:t xml:space="preserve">6-minute execution limit</w:t>
            </w:r>
          </w:p>
        </w:tc>
        <w:tc>
          <w:tcPr>
            <w:tcW w:type="dxa" w:w="4200"/>
            <w:tcMar>
              <w:top w:type="dxa" w:w="100"/>
              <w:left w:type="dxa" w:w="120"/>
              <w:bottom w:type="dxa" w:w="100"/>
              <w:right w:type="dxa" w:w="120"/>
            </w:tcMar>
          </w:tcPr>
          <w:p>
            <w:pPr>
              <w:jc w:val="left"/>
            </w:pPr>
            <w:r>
              <w:rPr>
                <w:b w:val="false"/>
                <w:bCs w:val="false"/>
                <w:color w:val="222222"/>
                <w:sz w:val="20"/>
                <w:szCs w:val="20"/>
              </w:rPr>
              <w:t xml:space="preserve">Caps any single request or trigger-driven batch job (e.g. a large communications send) regardless of client size.</w:t>
            </w:r>
          </w:p>
        </w:tc>
      </w:tr>
      <w:tr>
        <w:tc>
          <w:tcPr>
            <w:tcW w:type="dxa" w:w="5800"/>
            <w:shd w:fill="F7F9FA" w:val="clear"/>
            <w:tcMar>
              <w:top w:type="dxa" w:w="100"/>
              <w:left w:type="dxa" w:w="120"/>
              <w:bottom w:type="dxa" w:w="100"/>
              <w:right w:type="dxa" w:w="120"/>
            </w:tcMar>
          </w:tcPr>
          <w:p>
            <w:pPr>
              <w:jc w:val="left"/>
            </w:pPr>
            <w:r>
              <w:rPr>
                <w:b w:val="false"/>
                <w:bCs w:val="false"/>
                <w:color w:val="222222"/>
                <w:sz w:val="20"/>
                <w:szCs w:val="20"/>
              </w:rPr>
              <w:t xml:space="preserve">Manual, hand-edited onboarding</w:t>
            </w:r>
          </w:p>
        </w:tc>
        <w:tc>
          <w:tcPr>
            <w:tcW w:type="dxa" w:w="4200"/>
            <w:shd w:fill="F7F9FA" w:val="clear"/>
            <w:tcMar>
              <w:top w:type="dxa" w:w="100"/>
              <w:left w:type="dxa" w:w="120"/>
              <w:bottom w:type="dxa" w:w="100"/>
              <w:right w:type="dxa" w:w="120"/>
            </w:tcMar>
          </w:tcPr>
          <w:p>
            <w:pPr>
              <w:jc w:val="left"/>
            </w:pPr>
            <w:r>
              <w:rPr>
                <w:b w:val="false"/>
                <w:bCs w:val="false"/>
                <w:color w:val="222222"/>
                <w:sz w:val="20"/>
                <w:szCs w:val="20"/>
              </w:rPr>
              <w:t xml:space="preserve">SPREADSHEET_ID/BRANDING/taxonomy are edited by a person in a text editor, per client, per the multi-page Deployment Guide — the guide's own "most common source of onboarding delay" section is evidence of this.</w:t>
            </w:r>
          </w:p>
        </w:tc>
      </w:tr>
      <w:tr>
        <w:tc>
          <w:tcPr>
            <w:tcW w:type="dxa" w:w="5800"/>
            <w:tcMar>
              <w:top w:type="dxa" w:w="100"/>
              <w:left w:type="dxa" w:w="120"/>
              <w:bottom w:type="dxa" w:w="100"/>
              <w:right w:type="dxa" w:w="120"/>
            </w:tcMar>
          </w:tcPr>
          <w:p>
            <w:pPr>
              <w:jc w:val="left"/>
            </w:pPr>
            <w:r>
              <w:rPr>
                <w:b w:val="false"/>
                <w:bCs w:val="false"/>
                <w:color w:val="222222"/>
                <w:sz w:val="20"/>
                <w:szCs w:val="20"/>
              </w:rPr>
              <w:t xml:space="preserve">No billing, no self-serve signup</w:t>
            </w:r>
          </w:p>
        </w:tc>
        <w:tc>
          <w:tcPr>
            <w:tcW w:type="dxa" w:w="4200"/>
            <w:tcMar>
              <w:top w:type="dxa" w:w="100"/>
              <w:left w:type="dxa" w:w="120"/>
              <w:bottom w:type="dxa" w:w="100"/>
              <w:right w:type="dxa" w:w="120"/>
            </w:tcMar>
          </w:tcPr>
          <w:p>
            <w:pPr>
              <w:jc w:val="left"/>
            </w:pPr>
            <w:r>
              <w:rPr>
                <w:b w:val="false"/>
                <w:bCs w:val="false"/>
                <w:color w:val="222222"/>
                <w:sz w:val="20"/>
                <w:szCs w:val="20"/>
              </w:rPr>
              <w:t xml:space="preserve">Every client relationship starts with an internal implementation project, not a checkout flow.</w:t>
            </w:r>
          </w:p>
        </w:tc>
      </w:tr>
      <w:tr>
        <w:tc>
          <w:tcPr>
            <w:tcW w:type="dxa" w:w="5800"/>
            <w:shd w:fill="F7F9FA" w:val="clear"/>
            <w:tcMar>
              <w:top w:type="dxa" w:w="100"/>
              <w:left w:type="dxa" w:w="120"/>
              <w:bottom w:type="dxa" w:w="100"/>
              <w:right w:type="dxa" w:w="120"/>
            </w:tcMar>
          </w:tcPr>
          <w:p>
            <w:pPr>
              <w:jc w:val="left"/>
            </w:pPr>
            <w:r>
              <w:rPr>
                <w:b w:val="false"/>
                <w:bCs w:val="false"/>
                <w:color w:val="222222"/>
                <w:sz w:val="20"/>
                <w:szCs w:val="20"/>
              </w:rPr>
              <w:t xml:space="preserve">Code drift risk</w:t>
            </w:r>
          </w:p>
        </w:tc>
        <w:tc>
          <w:tcPr>
            <w:tcW w:type="dxa" w:w="4200"/>
            <w:shd w:fill="F7F9FA" w:val="clear"/>
            <w:tcMar>
              <w:top w:type="dxa" w:w="100"/>
              <w:left w:type="dxa" w:w="120"/>
              <w:bottom w:type="dxa" w:w="100"/>
              <w:right w:type="dxa" w:w="120"/>
            </w:tcMar>
          </w:tcPr>
          <w:p>
            <w:pPr>
              <w:jc w:val="left"/>
            </w:pPr>
            <w:r>
              <w:rPr>
                <w:b w:val="false"/>
                <w:bCs w:val="false"/>
                <w:color w:val="222222"/>
                <w:sz w:val="20"/>
                <w:szCs w:val="20"/>
              </w:rPr>
              <w:t xml:space="preserve">N independent forks mean a bug fix or feature must be manually re-applied N times, or clients silently diverge from the current codebase.</w:t>
            </w:r>
          </w:p>
        </w:tc>
      </w:tr>
    </w:tbl>
    <w:p>
      <w:pPr>
        <w:pStyle w:val="Heading1"/>
        <w:spacing w:after="200" w:before="400"/>
      </w:pPr>
      <w:r>
        <w:t xml:space="preserve">3. Framing the Two Goals</w:t>
      </w:r>
    </w:p>
    <w:p>
      <w:pPr>
        <w:spacing w:after="160" w:line="276"/>
      </w:pPr>
      <w:r>
        <w:t xml:space="preserve">"Multiple clients, same codebase" and "a proper SaaS platform" are often treated as one project, but they have different risk profiles and different timelines. Conflating them is the most common way this kind of initiative stalls.</w:t>
      </w:r>
    </w:p>
    <w:p>
      <w:pPr>
        <w:pStyle w:val="Heading3"/>
        <w:spacing w:after="100" w:before="200"/>
      </w:pPr>
      <w:r>
        <w:t xml:space="preserve">Goal 1 — Multiple clients, one codebase</w:t>
      </w:r>
    </w:p>
    <w:p>
      <w:pPr>
        <w:spacing w:after="160" w:line="276"/>
      </w:pPr>
      <w:r>
        <w:t xml:space="preserve">This is a software-engineering and process problem, solvable inside the current Apps Script architecture. It does not require new infrastructure, a new stack, or a rewrite of the domain logic already proven in production. It requires replacing hand-edited constants with configuration, and replacing manual clasp commands with a small provisioning tool.</w:t>
      </w:r>
    </w:p>
    <w:p>
      <w:pPr>
        <w:pStyle w:val="Heading3"/>
        <w:spacing w:after="100" w:before="200"/>
      </w:pPr>
      <w:r>
        <w:t xml:space="preserve">Goal 2 — A proper SaaS platform</w:t>
      </w:r>
    </w:p>
    <w:p>
      <w:pPr>
        <w:spacing w:after="160" w:line="276"/>
      </w:pPr>
      <w:r>
        <w:t xml:space="preserve">This is a platform and business-model change: self-serve signup, subscription billing, tenant isolation enforced by a real backend and database instead of separate Google projects, custom domains, and infrastructure that scales independently of any single Google account's quotas. It is a larger, longer initiative, and it is where Connexa should end up — but it should be built on top of the config-driven model from Goal 1, not in parallel with hand-forked clients.</w:t>
      </w:r>
    </w:p>
    <w:p>
      <w:pPr>
        <w:pStyle w:val="Heading1"/>
        <w:spacing w:after="200" w:before="400"/>
      </w:pPr>
      <w:r>
        <w:t xml:space="preserve">4. Architecture Options for Goal 1</w:t>
      </w:r>
    </w:p>
    <w:p>
      <w:pPr>
        <w:spacing w:after="160" w:line="276"/>
      </w:pPr>
      <w:r>
        <w:t xml:space="preserve">Three options were weighed for "multiple clients, same codebase" within (or adjacent to) the current Apps Script stack:</w:t>
      </w:r>
    </w:p>
    <w:p>
      <w:pPr>
        <w:pStyle w:val="Heading2"/>
        <w:spacing w:after="140" w:before="280"/>
      </w:pPr>
      <w:r>
        <w:t xml:space="preserve">4.1 Option A — Single shared Apps Script deployment, all tenants</w:t>
      </w:r>
    </w:p>
    <w:p>
      <w:pPr>
        <w:spacing w:after="160" w:line="276"/>
      </w:pPr>
      <w:r>
        <w:t xml:space="preserve">One script, one deployment URL, a Tenants registry (sheet or Properties) mapping a tenant key to that client's spreadsheet ID and branding; doGet() resolves the tenant from a query param or path segment and loads config dynamically instead of from hardcoded constants.</w:t>
      </w:r>
    </w:p>
    <w:p>
      <w:pPr>
        <w:pStyle w:val="ListParagraph"/>
        <w:numPr>
          <w:ilvl w:val="0"/>
          <w:numId w:val="1"/>
        </w:numPr>
        <w:spacing w:after="80" w:line="264"/>
      </w:pPr>
      <w:r>
        <w:rPr>
          <w:b/>
          <w:bCs/>
        </w:rPr>
        <w:t xml:space="preserve">Pros: </w:t>
      </w:r>
      <w:r>
        <w:t xml:space="preserve">one URL, one deploy, zero code drift by construction, cheapest to build first.</w:t>
      </w:r>
    </w:p>
    <w:p>
      <w:pPr>
        <w:pStyle w:val="ListParagraph"/>
        <w:numPr>
          <w:ilvl w:val="0"/>
          <w:numId w:val="1"/>
        </w:numPr>
        <w:spacing w:after="80" w:line="264"/>
      </w:pPr>
      <w:r>
        <w:rPr>
          <w:b/>
          <w:bCs/>
        </w:rPr>
        <w:t xml:space="preserve">Cons: </w:t>
      </w:r>
      <w:r>
        <w:t xml:space="preserve">execution quota, trigger quota, and email quota are shared across every tenant on that one Google account — a large client's traffic or a runaway communications send degrades every other tenant. No data-layer isolation beyond "which spreadsheet ID did we open." Not recommended beyond an internal pilot/demo tenant.</w:t>
      </w:r>
    </w:p>
    <w:p>
      <w:pPr>
        <w:pStyle w:val="Heading2"/>
        <w:spacing w:after="140" w:before="280"/>
      </w:pPr>
      <w:r>
        <w:t xml:space="preserve">4.2 Option B — Automated per-tenant instances from one shared source (recommended for Phase 1)</w:t>
      </w:r>
    </w:p>
    <w:p>
      <w:pPr>
        <w:spacing w:after="160" w:line="276"/>
      </w:pPr>
      <w:r>
        <w:t xml:space="preserve">Keep today's isolation model — one Apps Script project and one Sheet per client — but stop hand-forking the code. A single source repository stays the source of truth; a small provisioning script (or a Tenant Console UI, see Phase 2) reads a per-client config record and runs clasp create + a templated Sheet copy + a scripted constants injection + clasp push automatically. Client code is never edited by hand again; BRANDING/taxonomy come from a config file or a Tenants row consumed at push time or at runtime via PropertiesService.</w:t>
      </w:r>
    </w:p>
    <w:p>
      <w:pPr>
        <w:pStyle w:val="ListParagraph"/>
        <w:numPr>
          <w:ilvl w:val="0"/>
          <w:numId w:val="1"/>
        </w:numPr>
        <w:spacing w:after="80" w:line="264"/>
      </w:pPr>
      <w:r>
        <w:rPr>
          <w:b/>
          <w:bCs/>
        </w:rPr>
        <w:t xml:space="preserve">Pros: </w:t>
      </w:r>
      <w:r>
        <w:t xml:space="preserve">preserves per-client quota and data isolation (today's biggest safety property), directly automates the existing, already-documented onboarding process, ships in weeks, low risk to current clients.</w:t>
      </w:r>
    </w:p>
    <w:p>
      <w:pPr>
        <w:pStyle w:val="ListParagraph"/>
        <w:numPr>
          <w:ilvl w:val="0"/>
          <w:numId w:val="1"/>
        </w:numPr>
        <w:spacing w:after="80" w:line="264"/>
      </w:pPr>
      <w:r>
        <w:rPr>
          <w:b/>
          <w:bCs/>
        </w:rPr>
        <w:t xml:space="preserve">Cons: </w:t>
      </w:r>
      <w:r>
        <w:t xml:space="preserve">still N Apps Script projects to operate; still bounded by Apps Script's ceilings per client, just no longer by manual editing.</w:t>
      </w:r>
    </w:p>
    <w:p>
      <w:pPr>
        <w:pStyle w:val="Heading2"/>
        <w:spacing w:after="140" w:before="280"/>
      </w:pPr>
      <w:r>
        <w:t xml:space="preserve">4.3 Option C — Skip straight to the SaaS rebuild</w:t>
      </w:r>
    </w:p>
    <w:p>
      <w:pPr>
        <w:spacing w:after="160" w:line="276"/>
      </w:pPr>
      <w:r>
        <w:t xml:space="preserve">Go directly to Phase 3's real backend/database and migrate all clients at once.</w:t>
      </w:r>
    </w:p>
    <w:p>
      <w:pPr>
        <w:pStyle w:val="ListParagraph"/>
        <w:numPr>
          <w:ilvl w:val="0"/>
          <w:numId w:val="1"/>
        </w:numPr>
        <w:spacing w:after="80" w:line="264"/>
      </w:pPr>
      <w:r>
        <w:rPr>
          <w:b/>
          <w:bCs/>
        </w:rPr>
        <w:t xml:space="preserve">Pros: </w:t>
      </w:r>
      <w:r>
        <w:t xml:space="preserve">no intermediate step to later retire.</w:t>
      </w:r>
    </w:p>
    <w:p>
      <w:pPr>
        <w:pStyle w:val="ListParagraph"/>
        <w:numPr>
          <w:ilvl w:val="0"/>
          <w:numId w:val="1"/>
        </w:numPr>
        <w:spacing w:after="80" w:line="264"/>
      </w:pPr>
      <w:r>
        <w:rPr>
          <w:b/>
          <w:bCs/>
        </w:rPr>
        <w:t xml:space="preserve">Cons: </w:t>
      </w:r>
      <w:r>
        <w:t xml:space="preserve">months of build time before any onboarding improvement ships; high-risk big-bang migration for existing clients; no incremental validation of the multi-tenant data model with real usage.</w:t>
      </w:r>
    </w:p>
    <w:tbl>
      <w:tblPr>
        <w:tblW w:type="pct" w:w="100%"/>
        <w:tblBorders>
          <w:top w:val="single" w:color="1C7293" w:sz="4"/>
          <w:left w:val="single" w:color="1C7293" w:sz="24"/>
          <w:bottom w:val="single" w:color="1C7293" w:sz="4"/>
          <w:right w:val="single" w:color="1C7293" w:sz="4"/>
          <w:insideH w:val="single" w:color="auto" w:sz="4"/>
          <w:insideV w:val="single" w:color="auto" w:sz="4"/>
        </w:tblBorders>
      </w:tblPr>
      <w:tblGrid>
        <w:gridCol w:w="100"/>
      </w:tblGrid>
      <w:tr>
        <w:tc>
          <w:tcPr>
            <w:shd w:fill="F4F6F8" w:val="clear"/>
            <w:tcMar>
              <w:top w:type="dxa" w:w="160"/>
              <w:left w:type="dxa" w:w="220"/>
              <w:bottom w:type="dxa" w:w="160"/>
              <w:right w:type="dxa" w:w="220"/>
            </w:tcMar>
          </w:tcPr>
          <w:p>
            <w:pPr>
              <w:spacing w:after="60"/>
            </w:pPr>
            <w:r>
              <w:rPr>
                <w:b/>
                <w:bCs/>
                <w:color w:val="1C7293"/>
              </w:rPr>
              <w:t xml:space="preserve">Recommendation</w:t>
            </w:r>
          </w:p>
          <w:p>
            <w:pPr>
              <w:spacing w:after="0"/>
            </w:pPr>
            <w:r>
              <w:rPr>
                <w:color w:val="333333"/>
              </w:rPr>
              <w:t xml:space="preserve">Option B for Phase 1. It is the fastest path to "same codebase, multiple clients," it's a natural extension of the process already documented in the Deployment Guide, and the config-driven branding/taxonomy layer it introduces becomes the tenant model Phase 3 reuses. Treat Option A only as an optional low-stakes track for free trials/demos, never for paying production clients.</w:t>
            </w:r>
          </w:p>
        </w:tc>
      </w:tr>
    </w:tbl>
    <w:p>
      <w:r>
        <w:br w:type="page"/>
      </w:r>
    </w:p>
    <w:p>
      <w:pPr>
        <w:pStyle w:val="Heading1"/>
        <w:spacing w:after="200" w:before="400"/>
      </w:pPr>
      <w:r>
        <w:t xml:space="preserve">5. Protecting the Codebase</w:t>
      </w:r>
    </w:p>
    <w:p>
      <w:pPr>
        <w:spacing w:after="160" w:line="276"/>
      </w:pPr>
      <w:r>
        <w:t xml:space="preserve">Option B (Section 4.2) automates today's per-client-fork model — it does not, on its own, change who can see the source. That's a separate question worth answering explicitly before Phase 1 scales up onboarding: under the current "client-owned hosting" option from the Deployment Guide, the client can read every line of Code.js and every HTML file.</w:t>
      </w:r>
    </w:p>
    <w:p>
      <w:pPr>
        <w:pStyle w:val="Heading2"/>
        <w:spacing w:after="140" w:before="280"/>
      </w:pPr>
      <w:r>
        <w:t xml:space="preserve">5.1 The exposure: client-owned hosting means client-visible code</w:t>
      </w:r>
    </w:p>
    <w:p>
      <w:pPr>
        <w:spacing w:after="160" w:line="276"/>
      </w:pPr>
      <w:r>
        <w:t xml:space="preserve">Apps Script has no compiled or view-only deployment mode — the executeAs setting in appsscript.json only decides whose quota a run consumes, not who can see the source. If the script project lives in the client's Drive/Workspace, anyone the client grants editor access to that project — and that client's Workspace domain admin, always, regardless of sharing settings — can open the Apps Script editor and read Code.js and every HTML file in plaintext. This is the direct cost of the "client-owned" row in the Deployment Guide's hosting table (Section 1): it was chosen to solve email quota and data-ownership, but it also hands over the source as a side effect.</w:t>
      </w:r>
    </w:p>
    <w:p>
      <w:pPr>
        <w:pStyle w:val="Heading2"/>
        <w:spacing w:after="140" w:before="280"/>
      </w:pPr>
      <w:r>
        <w:t xml:space="preserve">5.2 Decouple code custody from data custody</w:t>
      </w:r>
    </w:p>
    <w:p>
      <w:pPr>
        <w:spacing w:after="160" w:line="276"/>
      </w:pPr>
      <w:r>
        <w:t xml:space="preserve">The two reasons the guide gives for client-owned hosting — email quota and data ownership — don't actually require giving up code custody:</w:t>
      </w:r>
    </w:p>
    <w:p>
      <w:pPr>
        <w:pStyle w:val="ListParagraph"/>
        <w:numPr>
          <w:ilvl w:val="0"/>
          <w:numId w:val="1"/>
        </w:numPr>
        <w:spacing w:after="80" w:line="264"/>
      </w:pPr>
      <w:r>
        <w:rPr>
          <w:b/>
          <w:bCs/>
        </w:rPr>
        <w:t xml:space="preserve">Data ownership without code exposure: </w:t>
      </w:r>
      <w:r>
        <w:t xml:space="preserve">the Spreadsheet (data) can live in the client's own Drive while the Apps Script project (code) stays owned by the agency's account. SpreadsheetApp.openById() works across accounts as long as the executing identity has been shared access to that specific file — the client keeps their data from day one without ever being able to open the script project.</w:t>
      </w:r>
    </w:p>
    <w:p>
      <w:pPr>
        <w:pStyle w:val="ListParagraph"/>
        <w:numPr>
          <w:ilvl w:val="0"/>
          <w:numId w:val="1"/>
        </w:numPr>
        <w:spacing w:after="80" w:line="264"/>
      </w:pPr>
      <w:r>
        <w:rPr>
          <w:b/>
          <w:bCs/>
        </w:rPr>
        <w:t xml:space="preserve">Email quota without a personal Gmail ceiling: </w:t>
      </w:r>
      <w:r>
        <w:t xml:space="preserve">replace MailApp/GmailApp calls with a transactional email API (Postmark/SendGrid/SES) invoked via UrlFetchApp. This removes the 100–1,500/day ceiling entirely instead of working around it by borrowing the client's Workspace quota — and it's the same direction Phase 3 already takes, so building it now is reusable, not throwaway.</w:t>
      </w:r>
    </w:p>
    <w:p>
      <w:pPr>
        <w:spacing w:after="160" w:line="276"/>
      </w:pPr>
      <w:r>
        <w:t xml:space="preserve">Together, these two changes let every client be hosted under agency-owned Apps Script projects — protecting the code — without reintroducing the shared-quota problem that agency-hosting causes today (Section 1 of the Deployment Guide, "Agency-hosted" column).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900"/>
        <w:gridCol w:w="1700"/>
      </w:tblGrid>
      <w:tr>
        <w:trPr>
          <w:tblHeader/>
        </w:trPr>
        <w:tc>
          <w:tcPr>
            <w:tcW w:type="dxa" w:w="3200"/>
            <w:shd w:fill="1B2A4A" w:val="clear"/>
            <w:tcMar>
              <w:top w:type="dxa" w:w="100"/>
              <w:left w:type="dxa" w:w="120"/>
              <w:bottom w:type="dxa" w:w="100"/>
              <w:right w:type="dxa" w:w="120"/>
            </w:tcMar>
          </w:tcPr>
          <w:p>
            <w:pPr>
              <w:jc w:val="left"/>
            </w:pPr>
            <w:r>
              <w:rPr>
                <w:b/>
                <w:bCs/>
                <w:color w:val="FFFFFF"/>
                <w:sz w:val="19"/>
                <w:szCs w:val="19"/>
              </w:rPr>
              <w:t xml:space="preserve">Hosting model</w:t>
            </w:r>
          </w:p>
        </w:tc>
        <w:tc>
          <w:tcPr>
            <w:tcW w:type="dxa" w:w="2200"/>
            <w:shd w:fill="1B2A4A" w:val="clear"/>
            <w:tcMar>
              <w:top w:type="dxa" w:w="100"/>
              <w:left w:type="dxa" w:w="120"/>
              <w:bottom w:type="dxa" w:w="100"/>
              <w:right w:type="dxa" w:w="120"/>
            </w:tcMar>
          </w:tcPr>
          <w:p>
            <w:pPr>
              <w:jc w:val="left"/>
            </w:pPr>
            <w:r>
              <w:rPr>
                <w:b/>
                <w:bCs/>
                <w:color w:val="FFFFFF"/>
                <w:sz w:val="19"/>
                <w:szCs w:val="19"/>
              </w:rPr>
              <w:t xml:space="preserve">Code visible to client?</w:t>
            </w:r>
          </w:p>
        </w:tc>
        <w:tc>
          <w:tcPr>
            <w:tcW w:type="dxa" w:w="2900"/>
            <w:shd w:fill="1B2A4A" w:val="clear"/>
            <w:tcMar>
              <w:top w:type="dxa" w:w="100"/>
              <w:left w:type="dxa" w:w="120"/>
              <w:bottom w:type="dxa" w:w="100"/>
              <w:right w:type="dxa" w:w="120"/>
            </w:tcMar>
          </w:tcPr>
          <w:p>
            <w:pPr>
              <w:jc w:val="left"/>
            </w:pPr>
            <w:r>
              <w:rPr>
                <w:b/>
                <w:bCs/>
                <w:color w:val="FFFFFF"/>
                <w:sz w:val="19"/>
                <w:szCs w:val="19"/>
              </w:rPr>
              <w:t xml:space="preserve">Email quota source</w:t>
            </w:r>
          </w:p>
        </w:tc>
        <w:tc>
          <w:tcPr>
            <w:tcW w:type="dxa" w:w="1700"/>
            <w:shd w:fill="1B2A4A" w:val="clear"/>
            <w:tcMar>
              <w:top w:type="dxa" w:w="100"/>
              <w:left w:type="dxa" w:w="120"/>
              <w:bottom w:type="dxa" w:w="100"/>
              <w:right w:type="dxa" w:w="120"/>
            </w:tcMar>
          </w:tcPr>
          <w:p>
            <w:pPr>
              <w:jc w:val="left"/>
            </w:pPr>
            <w:r>
              <w:rPr>
                <w:b/>
                <w:bCs/>
                <w:color w:val="FFFFFF"/>
                <w:sz w:val="19"/>
                <w:szCs w:val="19"/>
              </w:rPr>
              <w:t xml:space="preserve">Data ownership</w:t>
            </w:r>
          </w:p>
        </w:tc>
      </w:tr>
      <w:tr>
        <w:tc>
          <w:tcPr>
            <w:tcW w:type="dxa" w:w="3200"/>
            <w:tcMar>
              <w:top w:type="dxa" w:w="100"/>
              <w:left w:type="dxa" w:w="120"/>
              <w:bottom w:type="dxa" w:w="100"/>
              <w:right w:type="dxa" w:w="120"/>
            </w:tcMar>
          </w:tcPr>
          <w:p>
            <w:pPr>
              <w:jc w:val="left"/>
            </w:pPr>
            <w:r>
              <w:rPr>
                <w:b w:val="false"/>
                <w:bCs w:val="false"/>
                <w:color w:val="222222"/>
                <w:sz w:val="20"/>
                <w:szCs w:val="20"/>
              </w:rPr>
              <w:t xml:space="preserve">Client-owned (today's default)</w:t>
            </w:r>
          </w:p>
        </w:tc>
        <w:tc>
          <w:tcPr>
            <w:tcW w:type="dxa" w:w="2200"/>
            <w:tcMar>
              <w:top w:type="dxa" w:w="100"/>
              <w:left w:type="dxa" w:w="120"/>
              <w:bottom w:type="dxa" w:w="100"/>
              <w:right w:type="dxa" w:w="120"/>
            </w:tcMar>
          </w:tcPr>
          <w:p>
            <w:pPr>
              <w:jc w:val="left"/>
            </w:pPr>
            <w:r>
              <w:rPr>
                <w:b w:val="false"/>
                <w:bCs w:val="false"/>
                <w:color w:val="222222"/>
                <w:sz w:val="20"/>
                <w:szCs w:val="20"/>
              </w:rPr>
              <w:t xml:space="preserve">Yes — full editor access to every file</w:t>
            </w:r>
          </w:p>
        </w:tc>
        <w:tc>
          <w:tcPr>
            <w:tcW w:type="dxa" w:w="2900"/>
            <w:tcMar>
              <w:top w:type="dxa" w:w="100"/>
              <w:left w:type="dxa" w:w="120"/>
              <w:bottom w:type="dxa" w:w="100"/>
              <w:right w:type="dxa" w:w="120"/>
            </w:tcMar>
          </w:tcPr>
          <w:p>
            <w:pPr>
              <w:jc w:val="left"/>
            </w:pPr>
            <w:r>
              <w:rPr>
                <w:b w:val="false"/>
                <w:bCs w:val="false"/>
                <w:color w:val="222222"/>
                <w:sz w:val="20"/>
                <w:szCs w:val="20"/>
              </w:rPr>
              <w:t xml:space="preserve">Client's own Gmail/Workspace (100–1,500/day)</w:t>
            </w:r>
          </w:p>
        </w:tc>
        <w:tc>
          <w:tcPr>
            <w:tcW w:type="dxa" w:w="1700"/>
            <w:tcMar>
              <w:top w:type="dxa" w:w="100"/>
              <w:left w:type="dxa" w:w="120"/>
              <w:bottom w:type="dxa" w:w="100"/>
              <w:right w:type="dxa" w:w="120"/>
            </w:tcMar>
          </w:tcPr>
          <w:p>
            <w:pPr>
              <w:jc w:val="left"/>
            </w:pPr>
            <w:r>
              <w:rPr>
                <w:b w:val="false"/>
                <w:bCs w:val="false"/>
                <w:color w:val="222222"/>
                <w:sz w:val="20"/>
                <w:szCs w:val="20"/>
              </w:rPr>
              <w:t xml:space="preserve">Client's Drive from day one</w:t>
            </w:r>
          </w:p>
        </w:tc>
      </w:tr>
      <w:tr>
        <w:tc>
          <w:tcPr>
            <w:tcW w:type="dxa" w:w="3200"/>
            <w:shd w:fill="F7F9FA" w:val="clear"/>
            <w:tcMar>
              <w:top w:type="dxa" w:w="100"/>
              <w:left w:type="dxa" w:w="120"/>
              <w:bottom w:type="dxa" w:w="100"/>
              <w:right w:type="dxa" w:w="120"/>
            </w:tcMar>
          </w:tcPr>
          <w:p>
            <w:pPr>
              <w:jc w:val="left"/>
            </w:pPr>
            <w:r>
              <w:rPr>
                <w:b w:val="false"/>
                <w:bCs w:val="false"/>
                <w:color w:val="222222"/>
                <w:sz w:val="20"/>
                <w:szCs w:val="20"/>
              </w:rPr>
              <w:t xml:space="preserve">Agency-hosted (today's alternative)</w:t>
            </w:r>
          </w:p>
        </w:tc>
        <w:tc>
          <w:tcPr>
            <w:tcW w:type="dxa" w:w="2200"/>
            <w:shd w:fill="F7F9FA" w:val="clear"/>
            <w:tcMar>
              <w:top w:type="dxa" w:w="100"/>
              <w:left w:type="dxa" w:w="120"/>
              <w:bottom w:type="dxa" w:w="100"/>
              <w:right w:type="dxa" w:w="120"/>
            </w:tcMar>
          </w:tcPr>
          <w:p>
            <w:pPr>
              <w:jc w:val="left"/>
            </w:pPr>
            <w:r>
              <w:rPr>
                <w:b w:val="false"/>
                <w:bCs w:val="false"/>
                <w:color w:val="222222"/>
                <w:sz w:val="20"/>
                <w:szCs w:val="20"/>
              </w:rPr>
              <w:t xml:space="preserve">No</w:t>
            </w:r>
          </w:p>
        </w:tc>
        <w:tc>
          <w:tcPr>
            <w:tcW w:type="dxa" w:w="2900"/>
            <w:shd w:fill="F7F9FA" w:val="clear"/>
            <w:tcMar>
              <w:top w:type="dxa" w:w="100"/>
              <w:left w:type="dxa" w:w="120"/>
              <w:bottom w:type="dxa" w:w="100"/>
              <w:right w:type="dxa" w:w="120"/>
            </w:tcMar>
          </w:tcPr>
          <w:p>
            <w:pPr>
              <w:jc w:val="left"/>
            </w:pPr>
            <w:r>
              <w:rPr>
                <w:b w:val="false"/>
                <w:bCs w:val="false"/>
                <w:color w:val="222222"/>
                <w:sz w:val="20"/>
                <w:szCs w:val="20"/>
              </w:rPr>
              <w:t xml:space="preserve">Shared across every agency-hosted client on one account</w:t>
            </w:r>
          </w:p>
        </w:tc>
        <w:tc>
          <w:tcPr>
            <w:tcW w:type="dxa" w:w="1700"/>
            <w:shd w:fill="F7F9FA" w:val="clear"/>
            <w:tcMar>
              <w:top w:type="dxa" w:w="100"/>
              <w:left w:type="dxa" w:w="120"/>
              <w:bottom w:type="dxa" w:w="100"/>
              <w:right w:type="dxa" w:w="120"/>
            </w:tcMar>
          </w:tcPr>
          <w:p>
            <w:pPr>
              <w:jc w:val="left"/>
            </w:pPr>
            <w:r>
              <w:rPr>
                <w:b w:val="false"/>
                <w:bCs w:val="false"/>
                <w:color w:val="222222"/>
                <w:sz w:val="20"/>
                <w:szCs w:val="20"/>
              </w:rPr>
              <w:t xml:space="preserve">Agency's Drive until a handover is done</w:t>
            </w:r>
          </w:p>
        </w:tc>
      </w:tr>
      <w:tr>
        <w:tc>
          <w:tcPr>
            <w:tcW w:type="dxa" w:w="3200"/>
            <w:tcMar>
              <w:top w:type="dxa" w:w="100"/>
              <w:left w:type="dxa" w:w="120"/>
              <w:bottom w:type="dxa" w:w="100"/>
              <w:right w:type="dxa" w:w="120"/>
            </w:tcMar>
          </w:tcPr>
          <w:p>
            <w:pPr>
              <w:jc w:val="left"/>
            </w:pPr>
            <w:r>
              <w:rPr>
                <w:b w:val="false"/>
                <w:bCs w:val="false"/>
                <w:color w:val="222222"/>
                <w:sz w:val="20"/>
                <w:szCs w:val="20"/>
              </w:rPr>
              <w:t xml:space="preserve">Agency-hosted + decoupled Sheet + email API (recommended)</w:t>
            </w:r>
          </w:p>
        </w:tc>
        <w:tc>
          <w:tcPr>
            <w:tcW w:type="dxa" w:w="2200"/>
            <w:tcMar>
              <w:top w:type="dxa" w:w="100"/>
              <w:left w:type="dxa" w:w="120"/>
              <w:bottom w:type="dxa" w:w="100"/>
              <w:right w:type="dxa" w:w="120"/>
            </w:tcMar>
          </w:tcPr>
          <w:p>
            <w:pPr>
              <w:jc w:val="left"/>
            </w:pPr>
            <w:r>
              <w:rPr>
                <w:b w:val="false"/>
                <w:bCs w:val="false"/>
                <w:color w:val="222222"/>
                <w:sz w:val="20"/>
                <w:szCs w:val="20"/>
              </w:rPr>
              <w:t xml:space="preserve">No</w:t>
            </w:r>
          </w:p>
        </w:tc>
        <w:tc>
          <w:tcPr>
            <w:tcW w:type="dxa" w:w="2900"/>
            <w:tcMar>
              <w:top w:type="dxa" w:w="100"/>
              <w:left w:type="dxa" w:w="120"/>
              <w:bottom w:type="dxa" w:w="100"/>
              <w:right w:type="dxa" w:w="120"/>
            </w:tcMar>
          </w:tcPr>
          <w:p>
            <w:pPr>
              <w:jc w:val="left"/>
            </w:pPr>
            <w:r>
              <w:rPr>
                <w:b w:val="false"/>
                <w:bCs w:val="false"/>
                <w:color w:val="222222"/>
                <w:sz w:val="20"/>
                <w:szCs w:val="20"/>
              </w:rPr>
              <w:t xml:space="preserve">Transactional email API — no per-account ceiling, nothing shared across clients</w:t>
            </w:r>
          </w:p>
        </w:tc>
        <w:tc>
          <w:tcPr>
            <w:tcW w:type="dxa" w:w="1700"/>
            <w:tcMar>
              <w:top w:type="dxa" w:w="100"/>
              <w:left w:type="dxa" w:w="120"/>
              <w:bottom w:type="dxa" w:w="100"/>
              <w:right w:type="dxa" w:w="120"/>
            </w:tcMar>
          </w:tcPr>
          <w:p>
            <w:pPr>
              <w:jc w:val="left"/>
            </w:pPr>
            <w:r>
              <w:rPr>
                <w:b w:val="false"/>
                <w:bCs w:val="false"/>
                <w:color w:val="222222"/>
                <w:sz w:val="20"/>
                <w:szCs w:val="20"/>
              </w:rPr>
              <w:t xml:space="preserve">Client's Drive (Sheet shared to the script's identity) — same as client-owned today</w:t>
            </w:r>
          </w:p>
        </w:tc>
      </w:tr>
    </w:tbl>
    <w:p>
      <w:pPr>
        <w:pStyle w:val="Heading2"/>
        <w:spacing w:after="140" w:before="280"/>
      </w:pPr>
      <w:r>
        <w:t xml:space="preserve">5.3 If client-owned hosting is contractually required anyway</w:t>
      </w:r>
    </w:p>
    <w:p>
      <w:pPr>
        <w:spacing w:after="160" w:line="276"/>
      </w:pPr>
      <w:r>
        <w:t xml:space="preserve">Some clients may insist the entire project — code included — sit inside their own Workspace. In that case, move the proprietary business logic (allocation, pricing, matching rules) into a private Apps Script Library that the agency owns and never shares edit access to. The client's container-bound script becomes a thin wrapper — it can call into the library's published functions but cannot open its source. The wrapper and the HTML templates remain visible to the client either way, so this protects the logic, not the UI — in practice the logic is what has competitive value.</w:t>
      </w:r>
    </w:p>
    <w:p>
      <w:pPr>
        <w:pStyle w:val="Heading2"/>
        <w:spacing w:after="140" w:before="280"/>
      </w:pPr>
      <w:r>
        <w:t xml:space="preserve">5.4 Legal backstop</w:t>
      </w:r>
    </w:p>
    <w:p>
      <w:pPr>
        <w:spacing w:after="160" w:line="276"/>
      </w:pPr>
      <w:r>
        <w:t xml:space="preserve">No technical control fully defeats a Workspace domain admin's access to their own tenant. Whatever hosting model is used, client agreements should carry explicit IP, confidentiality, and no-reverse-engineering terms as the last line of defense — this is true today and stays true through every phase of this plan.</w:t>
      </w:r>
    </w:p>
    <w:tbl>
      <w:tblPr>
        <w:tblW w:type="pct" w:w="100%"/>
        <w:tblBorders>
          <w:top w:val="single" w:color="1C7293" w:sz="4"/>
          <w:left w:val="single" w:color="1C7293" w:sz="24"/>
          <w:bottom w:val="single" w:color="1C7293" w:sz="4"/>
          <w:right w:val="single" w:color="1C7293" w:sz="4"/>
          <w:insideH w:val="single" w:color="auto" w:sz="4"/>
          <w:insideV w:val="single" w:color="auto" w:sz="4"/>
        </w:tblBorders>
      </w:tblPr>
      <w:tblGrid>
        <w:gridCol w:w="100"/>
      </w:tblGrid>
      <w:tr>
        <w:tc>
          <w:tcPr>
            <w:shd w:fill="F4F6F8" w:val="clear"/>
            <w:tcMar>
              <w:top w:type="dxa" w:w="160"/>
              <w:left w:type="dxa" w:w="220"/>
              <w:bottom w:type="dxa" w:w="160"/>
              <w:right w:type="dxa" w:w="220"/>
            </w:tcMar>
          </w:tcPr>
          <w:p>
            <w:pPr>
              <w:spacing w:after="60"/>
            </w:pPr>
            <w:r>
              <w:rPr>
                <w:b/>
                <w:bCs/>
                <w:color w:val="1C7293"/>
              </w:rPr>
              <w:t xml:space="preserve">Recommendation</w:t>
            </w:r>
          </w:p>
          <w:p>
            <w:pPr>
              <w:spacing w:after="0"/>
            </w:pPr>
            <w:r>
              <w:rPr>
                <w:color w:val="333333"/>
              </w:rPr>
              <w:t xml:space="preserve">Adopt Section 5.2's decoupled model (agency-owned script, client-owned Sheet, transactional email API) as the default for all new onboarding under Phase 1 — it closes the code-exposure gap without reopening the shared-quota problem, and it's a direct precursor to Phase 3's email infrastructure. Reserve the Section 5.3 Library pattern for clients who contractually require full in-Workspace hosting, and keep IP terms in every client contract regardless.</w:t>
            </w:r>
          </w:p>
        </w:tc>
      </w:tr>
    </w:tbl>
    <w:p>
      <w:r>
        <w:br w:type="page"/>
      </w:r>
    </w:p>
    <w:p>
      <w:pPr>
        <w:pStyle w:val="Heading1"/>
        <w:spacing w:after="200" w:before="400"/>
      </w:pPr>
      <w:r>
        <w:t xml:space="preserve">6. Target SaaS Architecture (Phase 3)</w:t>
      </w:r>
    </w:p>
    <w:p>
      <w:pPr>
        <w:spacing w:after="160" w:line="276"/>
      </w:pPr>
      <w:r>
        <w:t xml:space="preserve">The end state: one multi-tenant application, one database, self-serve onboarding, subscription billing, and infrastructure that scales independently of Google account quotas.</w:t>
      </w:r>
    </w:p>
    <w:p>
      <w:pPr>
        <w:pStyle w:val="Heading2"/>
        <w:spacing w:after="140" w:before="280"/>
      </w:pPr>
      <w:r>
        <w:t xml:space="preserve">6.1 Proposed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700"/>
      </w:tblGrid>
      <w:tr>
        <w:trPr>
          <w:tblHeader/>
        </w:trPr>
        <w:tc>
          <w:tcPr>
            <w:tcW w:type="dxa" w:w="2400"/>
            <w:shd w:fill="1B2A4A" w:val="clear"/>
            <w:tcMar>
              <w:top w:type="dxa" w:w="100"/>
              <w:left w:type="dxa" w:w="120"/>
              <w:bottom w:type="dxa" w:w="100"/>
              <w:right w:type="dxa" w:w="120"/>
            </w:tcMar>
          </w:tcPr>
          <w:p>
            <w:pPr>
              <w:jc w:val="left"/>
            </w:pPr>
            <w:r>
              <w:rPr>
                <w:b/>
                <w:bCs/>
                <w:color w:val="FFFFFF"/>
                <w:sz w:val="19"/>
                <w:szCs w:val="19"/>
              </w:rPr>
              <w:t xml:space="preserve">Layer</w:t>
            </w:r>
          </w:p>
        </w:tc>
        <w:tc>
          <w:tcPr>
            <w:tcW w:type="dxa" w:w="3900"/>
            <w:shd w:fill="1B2A4A" w:val="clear"/>
            <w:tcMar>
              <w:top w:type="dxa" w:w="100"/>
              <w:left w:type="dxa" w:w="120"/>
              <w:bottom w:type="dxa" w:w="100"/>
              <w:right w:type="dxa" w:w="120"/>
            </w:tcMar>
          </w:tcPr>
          <w:p>
            <w:pPr>
              <w:jc w:val="left"/>
            </w:pPr>
            <w:r>
              <w:rPr>
                <w:b/>
                <w:bCs/>
                <w:color w:val="FFFFFF"/>
                <w:sz w:val="19"/>
                <w:szCs w:val="19"/>
              </w:rPr>
              <w:t xml:space="preserve">Recommendation</w:t>
            </w:r>
          </w:p>
        </w:tc>
        <w:tc>
          <w:tcPr>
            <w:tcW w:type="dxa" w:w="3700"/>
            <w:shd w:fill="1B2A4A" w:val="clear"/>
            <w:tcMar>
              <w:top w:type="dxa" w:w="100"/>
              <w:left w:type="dxa" w:w="120"/>
              <w:bottom w:type="dxa" w:w="100"/>
              <w:right w:type="dxa" w:w="120"/>
            </w:tcMar>
          </w:tcPr>
          <w:p>
            <w:pPr>
              <w:jc w:val="left"/>
            </w:pPr>
            <w:r>
              <w:rPr>
                <w:b/>
                <w:bCs/>
                <w:color w:val="FFFFFF"/>
                <w:sz w:val="19"/>
                <w:szCs w:val="19"/>
              </w:rPr>
              <w:t xml:space="preserve">Why</w:t>
            </w:r>
          </w:p>
        </w:tc>
      </w:tr>
      <w:tr>
        <w:tc>
          <w:tcPr>
            <w:tcW w:type="dxa" w:w="2400"/>
            <w:tcMar>
              <w:top w:type="dxa" w:w="100"/>
              <w:left w:type="dxa" w:w="120"/>
              <w:bottom w:type="dxa" w:w="100"/>
              <w:right w:type="dxa" w:w="120"/>
            </w:tcMar>
          </w:tcPr>
          <w:p>
            <w:pPr>
              <w:jc w:val="left"/>
            </w:pPr>
            <w:r>
              <w:rPr>
                <w:b w:val="false"/>
                <w:bCs w:val="false"/>
                <w:color w:val="222222"/>
                <w:sz w:val="20"/>
                <w:szCs w:val="20"/>
              </w:rPr>
              <w:t xml:space="preserve">Backend/API</w:t>
            </w:r>
          </w:p>
        </w:tc>
        <w:tc>
          <w:tcPr>
            <w:tcW w:type="dxa" w:w="3900"/>
            <w:tcMar>
              <w:top w:type="dxa" w:w="100"/>
              <w:left w:type="dxa" w:w="120"/>
              <w:bottom w:type="dxa" w:w="100"/>
              <w:right w:type="dxa" w:w="120"/>
            </w:tcMar>
          </w:tcPr>
          <w:p>
            <w:pPr>
              <w:jc w:val="left"/>
            </w:pPr>
            <w:r>
              <w:rPr>
                <w:b w:val="false"/>
                <w:bCs w:val="false"/>
                <w:color w:val="222222"/>
                <w:sz w:val="20"/>
                <w:szCs w:val="20"/>
              </w:rPr>
              <w:t xml:space="preserve">Node.js (TypeScript) — e.g. Next.js or a dedicated API service</w:t>
            </w:r>
          </w:p>
        </w:tc>
        <w:tc>
          <w:tcPr>
            <w:tcW w:type="dxa" w:w="3700"/>
            <w:tcMar>
              <w:top w:type="dxa" w:w="100"/>
              <w:left w:type="dxa" w:w="120"/>
              <w:bottom w:type="dxa" w:w="100"/>
              <w:right w:type="dxa" w:w="120"/>
            </w:tcMar>
          </w:tcPr>
          <w:p>
            <w:pPr>
              <w:jc w:val="left"/>
            </w:pPr>
            <w:r>
              <w:rPr>
                <w:b w:val="false"/>
                <w:bCs w:val="false"/>
                <w:color w:val="222222"/>
                <w:sz w:val="20"/>
                <w:szCs w:val="20"/>
              </w:rPr>
              <w:t xml:space="preserve">Reuses the team's existing JavaScript domain logic and mental model from Code.js; large ecosystem for the billing/auth/email pieces below.</w:t>
            </w:r>
          </w:p>
        </w:tc>
      </w:tr>
      <w:tr>
        <w:tc>
          <w:tcPr>
            <w:tcW w:type="dxa" w:w="2400"/>
            <w:shd w:fill="F7F9FA" w:val="clear"/>
            <w:tcMar>
              <w:top w:type="dxa" w:w="100"/>
              <w:left w:type="dxa" w:w="120"/>
              <w:bottom w:type="dxa" w:w="100"/>
              <w:right w:type="dxa" w:w="120"/>
            </w:tcMar>
          </w:tcPr>
          <w:p>
            <w:pPr>
              <w:jc w:val="left"/>
            </w:pPr>
            <w:r>
              <w:rPr>
                <w:b w:val="false"/>
                <w:bCs w:val="false"/>
                <w:color w:val="222222"/>
                <w:sz w:val="20"/>
                <w:szCs w:val="20"/>
              </w:rPr>
              <w:t xml:space="preserve">Database</w:t>
            </w:r>
          </w:p>
        </w:tc>
        <w:tc>
          <w:tcPr>
            <w:tcW w:type="dxa" w:w="3900"/>
            <w:shd w:fill="F7F9FA" w:val="clear"/>
            <w:tcMar>
              <w:top w:type="dxa" w:w="100"/>
              <w:left w:type="dxa" w:w="120"/>
              <w:bottom w:type="dxa" w:w="100"/>
              <w:right w:type="dxa" w:w="120"/>
            </w:tcMar>
          </w:tcPr>
          <w:p>
            <w:pPr>
              <w:jc w:val="left"/>
            </w:pPr>
            <w:r>
              <w:rPr>
                <w:b w:val="false"/>
                <w:bCs w:val="false"/>
                <w:color w:val="222222"/>
                <w:sz w:val="20"/>
                <w:szCs w:val="20"/>
              </w:rPr>
              <w:t xml:space="preserve">PostgreSQL, tenant_id column on every table + row-level security</w:t>
            </w:r>
          </w:p>
        </w:tc>
        <w:tc>
          <w:tcPr>
            <w:tcW w:type="dxa" w:w="3700"/>
            <w:shd w:fill="F7F9FA" w:val="clear"/>
            <w:tcMar>
              <w:top w:type="dxa" w:w="100"/>
              <w:left w:type="dxa" w:w="120"/>
              <w:bottom w:type="dxa" w:w="100"/>
              <w:right w:type="dxa" w:w="120"/>
            </w:tcMar>
          </w:tcPr>
          <w:p>
            <w:pPr>
              <w:jc w:val="left"/>
            </w:pPr>
            <w:r>
              <w:rPr>
                <w:b w:val="false"/>
                <w:bCs w:val="false"/>
                <w:color w:val="222222"/>
                <w:sz w:val="20"/>
                <w:szCs w:val="20"/>
              </w:rPr>
              <w:t xml:space="preserve">Real transactions (replacing LockService-guarded sections), proper indexing at scale, mature migration tooling; row-level tenant scoping is simpler to operate than schema-per-tenant at this size.</w:t>
            </w:r>
          </w:p>
        </w:tc>
      </w:tr>
      <w:tr>
        <w:tc>
          <w:tcPr>
            <w:tcW w:type="dxa" w:w="2400"/>
            <w:tcMar>
              <w:top w:type="dxa" w:w="100"/>
              <w:left w:type="dxa" w:w="120"/>
              <w:bottom w:type="dxa" w:w="100"/>
              <w:right w:type="dxa" w:w="120"/>
            </w:tcMar>
          </w:tcPr>
          <w:p>
            <w:pPr>
              <w:jc w:val="left"/>
            </w:pPr>
            <w:r>
              <w:rPr>
                <w:b w:val="false"/>
                <w:bCs w:val="false"/>
                <w:color w:val="222222"/>
                <w:sz w:val="20"/>
                <w:szCs w:val="20"/>
              </w:rPr>
              <w:t xml:space="preserve">Auth</w:t>
            </w:r>
          </w:p>
        </w:tc>
        <w:tc>
          <w:tcPr>
            <w:tcW w:type="dxa" w:w="3900"/>
            <w:tcMar>
              <w:top w:type="dxa" w:w="100"/>
              <w:left w:type="dxa" w:w="120"/>
              <w:bottom w:type="dxa" w:w="100"/>
              <w:right w:type="dxa" w:w="120"/>
            </w:tcMar>
          </w:tcPr>
          <w:p>
            <w:pPr>
              <w:jc w:val="left"/>
            </w:pPr>
            <w:r>
              <w:rPr>
                <w:b w:val="false"/>
                <w:bCs w:val="false"/>
                <w:color w:val="222222"/>
                <w:sz w:val="20"/>
                <w:szCs w:val="20"/>
              </w:rPr>
              <w:t xml:space="preserve">Managed auth provider (e.g. Auth0/Clerk) for admins; magic-link or lightweight session auth for attendees</w:t>
            </w:r>
          </w:p>
        </w:tc>
        <w:tc>
          <w:tcPr>
            <w:tcW w:type="dxa" w:w="3700"/>
            <w:tcMar>
              <w:top w:type="dxa" w:w="100"/>
              <w:left w:type="dxa" w:w="120"/>
              <w:bottom w:type="dxa" w:w="100"/>
              <w:right w:type="dxa" w:w="120"/>
            </w:tcMar>
          </w:tcPr>
          <w:p>
            <w:pPr>
              <w:jc w:val="left"/>
            </w:pPr>
            <w:r>
              <w:rPr>
                <w:b w:val="false"/>
                <w:bCs w:val="false"/>
                <w:color w:val="222222"/>
                <w:sz w:val="20"/>
                <w:szCs w:val="20"/>
              </w:rPr>
              <w:t xml:space="preserve">Avoids re-building password reset/session-token plumbing (AdminResetPassword.html, validateAdminToken_) by hand a second time.</w:t>
            </w:r>
          </w:p>
        </w:tc>
      </w:tr>
      <w:tr>
        <w:tc>
          <w:tcPr>
            <w:tcW w:type="dxa" w:w="2400"/>
            <w:shd w:fill="F7F9FA" w:val="clear"/>
            <w:tcMar>
              <w:top w:type="dxa" w:w="100"/>
              <w:left w:type="dxa" w:w="120"/>
              <w:bottom w:type="dxa" w:w="100"/>
              <w:right w:type="dxa" w:w="120"/>
            </w:tcMar>
          </w:tcPr>
          <w:p>
            <w:pPr>
              <w:jc w:val="left"/>
            </w:pPr>
            <w:r>
              <w:rPr>
                <w:b w:val="false"/>
                <w:bCs w:val="false"/>
                <w:color w:val="222222"/>
                <w:sz w:val="20"/>
                <w:szCs w:val="20"/>
              </w:rPr>
              <w:t xml:space="preserve">Hosting</w:t>
            </w:r>
          </w:p>
        </w:tc>
        <w:tc>
          <w:tcPr>
            <w:tcW w:type="dxa" w:w="3900"/>
            <w:shd w:fill="F7F9FA" w:val="clear"/>
            <w:tcMar>
              <w:top w:type="dxa" w:w="100"/>
              <w:left w:type="dxa" w:w="120"/>
              <w:bottom w:type="dxa" w:w="100"/>
              <w:right w:type="dxa" w:w="120"/>
            </w:tcMar>
          </w:tcPr>
          <w:p>
            <w:pPr>
              <w:jc w:val="left"/>
            </w:pPr>
            <w:r>
              <w:rPr>
                <w:b w:val="false"/>
                <w:bCs w:val="false"/>
                <w:color w:val="222222"/>
                <w:sz w:val="20"/>
                <w:szCs w:val="20"/>
              </w:rPr>
              <w:t xml:space="preserve">Vercel, Render, or Cloud Run</w:t>
            </w:r>
          </w:p>
        </w:tc>
        <w:tc>
          <w:tcPr>
            <w:tcW w:type="dxa" w:w="3700"/>
            <w:shd w:fill="F7F9FA" w:val="clear"/>
            <w:tcMar>
              <w:top w:type="dxa" w:w="100"/>
              <w:left w:type="dxa" w:w="120"/>
              <w:bottom w:type="dxa" w:w="100"/>
              <w:right w:type="dxa" w:w="120"/>
            </w:tcMar>
          </w:tcPr>
          <w:p>
            <w:pPr>
              <w:jc w:val="left"/>
            </w:pPr>
            <w:r>
              <w:rPr>
                <w:b w:val="false"/>
                <w:bCs w:val="false"/>
                <w:color w:val="222222"/>
                <w:sz w:val="20"/>
                <w:szCs w:val="20"/>
              </w:rPr>
              <w:t xml:space="preserve">Horizontal scaling and background workers independent of any single Google account.</w:t>
            </w:r>
          </w:p>
        </w:tc>
      </w:tr>
      <w:tr>
        <w:tc>
          <w:tcPr>
            <w:tcW w:type="dxa" w:w="2400"/>
            <w:tcMar>
              <w:top w:type="dxa" w:w="100"/>
              <w:left w:type="dxa" w:w="120"/>
              <w:bottom w:type="dxa" w:w="100"/>
              <w:right w:type="dxa" w:w="120"/>
            </w:tcMar>
          </w:tcPr>
          <w:p>
            <w:pPr>
              <w:jc w:val="left"/>
            </w:pPr>
            <w:r>
              <w:rPr>
                <w:b w:val="false"/>
                <w:bCs w:val="false"/>
                <w:color w:val="222222"/>
                <w:sz w:val="20"/>
                <w:szCs w:val="20"/>
              </w:rPr>
              <w:t xml:space="preserve">Email</w:t>
            </w:r>
          </w:p>
        </w:tc>
        <w:tc>
          <w:tcPr>
            <w:tcW w:type="dxa" w:w="3900"/>
            <w:tcMar>
              <w:top w:type="dxa" w:w="100"/>
              <w:left w:type="dxa" w:w="120"/>
              <w:bottom w:type="dxa" w:w="100"/>
              <w:right w:type="dxa" w:w="120"/>
            </w:tcMar>
          </w:tcPr>
          <w:p>
            <w:pPr>
              <w:jc w:val="left"/>
            </w:pPr>
            <w:r>
              <w:rPr>
                <w:b w:val="false"/>
                <w:bCs w:val="false"/>
                <w:color w:val="222222"/>
                <w:sz w:val="20"/>
                <w:szCs w:val="20"/>
              </w:rPr>
              <w:t xml:space="preserve">Transactional email provider (e.g. Postmark/SendGrid/SES)</w:t>
            </w:r>
          </w:p>
        </w:tc>
        <w:tc>
          <w:tcPr>
            <w:tcW w:type="dxa" w:w="3700"/>
            <w:tcMar>
              <w:top w:type="dxa" w:w="100"/>
              <w:left w:type="dxa" w:w="120"/>
              <w:bottom w:type="dxa" w:w="100"/>
              <w:right w:type="dxa" w:w="120"/>
            </w:tcMar>
          </w:tcPr>
          <w:p>
            <w:pPr>
              <w:jc w:val="left"/>
            </w:pPr>
            <w:r>
              <w:rPr>
                <w:b w:val="false"/>
                <w:bCs w:val="false"/>
                <w:color w:val="222222"/>
                <w:sz w:val="20"/>
                <w:szCs w:val="20"/>
              </w:rPr>
              <w:t xml:space="preserve">Removes the 100–1,500/day Gmail-account ceiling entirely; per-tenant sender identity via verified domains instead of a shared inbox.</w:t>
            </w:r>
          </w:p>
        </w:tc>
      </w:tr>
      <w:tr>
        <w:tc>
          <w:tcPr>
            <w:tcW w:type="dxa" w:w="2400"/>
            <w:shd w:fill="F7F9FA" w:val="clear"/>
            <w:tcMar>
              <w:top w:type="dxa" w:w="100"/>
              <w:left w:type="dxa" w:w="120"/>
              <w:bottom w:type="dxa" w:w="100"/>
              <w:right w:type="dxa" w:w="120"/>
            </w:tcMar>
          </w:tcPr>
          <w:p>
            <w:pPr>
              <w:jc w:val="left"/>
            </w:pPr>
            <w:r>
              <w:rPr>
                <w:b w:val="false"/>
                <w:bCs w:val="false"/>
                <w:color w:val="222222"/>
                <w:sz w:val="20"/>
                <w:szCs w:val="20"/>
              </w:rPr>
              <w:t xml:space="preserve">Background jobs</w:t>
            </w:r>
          </w:p>
        </w:tc>
        <w:tc>
          <w:tcPr>
            <w:tcW w:type="dxa" w:w="3900"/>
            <w:shd w:fill="F7F9FA" w:val="clear"/>
            <w:tcMar>
              <w:top w:type="dxa" w:w="100"/>
              <w:left w:type="dxa" w:w="120"/>
              <w:bottom w:type="dxa" w:w="100"/>
              <w:right w:type="dxa" w:w="120"/>
            </w:tcMar>
          </w:tcPr>
          <w:p>
            <w:pPr>
              <w:jc w:val="left"/>
            </w:pPr>
            <w:r>
              <w:rPr>
                <w:b w:val="false"/>
                <w:bCs w:val="false"/>
                <w:color w:val="222222"/>
                <w:sz w:val="20"/>
                <w:szCs w:val="20"/>
              </w:rPr>
              <w:t xml:space="preserve">Queue/worker (e.g. a managed queue + worker dynos)</w:t>
            </w:r>
          </w:p>
        </w:tc>
        <w:tc>
          <w:tcPr>
            <w:tcW w:type="dxa" w:w="3700"/>
            <w:shd w:fill="F7F9FA" w:val="clear"/>
            <w:tcMar>
              <w:top w:type="dxa" w:w="100"/>
              <w:left w:type="dxa" w:w="120"/>
              <w:bottom w:type="dxa" w:w="100"/>
              <w:right w:type="dxa" w:w="120"/>
            </w:tcMar>
          </w:tcPr>
          <w:p>
            <w:pPr>
              <w:jc w:val="left"/>
            </w:pPr>
            <w:r>
              <w:rPr>
                <w:b w:val="false"/>
                <w:bCs w:val="false"/>
                <w:color w:val="222222"/>
                <w:sz w:val="20"/>
                <w:szCs w:val="20"/>
              </w:rPr>
              <w:t xml:space="preserve">Removes the 6-minute Apps Script execution ceiling for large communications sends and scheduled reminders.</w:t>
            </w:r>
          </w:p>
        </w:tc>
      </w:tr>
      <w:tr>
        <w:tc>
          <w:tcPr>
            <w:tcW w:type="dxa" w:w="2400"/>
            <w:tcMar>
              <w:top w:type="dxa" w:w="100"/>
              <w:left w:type="dxa" w:w="120"/>
              <w:bottom w:type="dxa" w:w="100"/>
              <w:right w:type="dxa" w:w="120"/>
            </w:tcMar>
          </w:tcPr>
          <w:p>
            <w:pPr>
              <w:jc w:val="left"/>
            </w:pPr>
            <w:r>
              <w:rPr>
                <w:b w:val="false"/>
                <w:bCs w:val="false"/>
                <w:color w:val="222222"/>
                <w:sz w:val="20"/>
                <w:szCs w:val="20"/>
              </w:rPr>
              <w:t xml:space="preserve">Billing</w:t>
            </w:r>
          </w:p>
        </w:tc>
        <w:tc>
          <w:tcPr>
            <w:tcW w:type="dxa" w:w="3900"/>
            <w:tcMar>
              <w:top w:type="dxa" w:w="100"/>
              <w:left w:type="dxa" w:w="120"/>
              <w:bottom w:type="dxa" w:w="100"/>
              <w:right w:type="dxa" w:w="120"/>
            </w:tcMar>
          </w:tcPr>
          <w:p>
            <w:pPr>
              <w:jc w:val="left"/>
            </w:pPr>
            <w:r>
              <w:rPr>
                <w:b w:val="false"/>
                <w:bCs w:val="false"/>
                <w:color w:val="222222"/>
                <w:sz w:val="20"/>
                <w:szCs w:val="20"/>
              </w:rPr>
              <w:t xml:space="preserve">Stripe Billing (subscriptions + metered add-ons if needed)</w:t>
            </w:r>
          </w:p>
        </w:tc>
        <w:tc>
          <w:tcPr>
            <w:tcW w:type="dxa" w:w="3700"/>
            <w:tcMar>
              <w:top w:type="dxa" w:w="100"/>
              <w:left w:type="dxa" w:w="120"/>
              <w:bottom w:type="dxa" w:w="100"/>
              <w:right w:type="dxa" w:w="120"/>
            </w:tcMar>
          </w:tcPr>
          <w:p>
            <w:pPr>
              <w:jc w:val="left"/>
            </w:pPr>
            <w:r>
              <w:rPr>
                <w:b w:val="false"/>
                <w:bCs w:val="false"/>
                <w:color w:val="222222"/>
                <w:sz w:val="20"/>
                <w:szCs w:val="20"/>
              </w:rPr>
              <w:t xml:space="preserve">Standard, well-documented, supports self-serve checkout and dunning out of the box.</w:t>
            </w:r>
          </w:p>
        </w:tc>
      </w:tr>
      <w:tr>
        <w:tc>
          <w:tcPr>
            <w:tcW w:type="dxa" w:w="2400"/>
            <w:shd w:fill="F7F9FA" w:val="clear"/>
            <w:tcMar>
              <w:top w:type="dxa" w:w="100"/>
              <w:left w:type="dxa" w:w="120"/>
              <w:bottom w:type="dxa" w:w="100"/>
              <w:right w:type="dxa" w:w="120"/>
            </w:tcMar>
          </w:tcPr>
          <w:p>
            <w:pPr>
              <w:jc w:val="left"/>
            </w:pPr>
            <w:r>
              <w:rPr>
                <w:b w:val="false"/>
                <w:bCs w:val="false"/>
                <w:color w:val="222222"/>
                <w:sz w:val="20"/>
                <w:szCs w:val="20"/>
              </w:rPr>
              <w:t xml:space="preserve">Custom domains</w:t>
            </w:r>
          </w:p>
        </w:tc>
        <w:tc>
          <w:tcPr>
            <w:tcW w:type="dxa" w:w="3900"/>
            <w:shd w:fill="F7F9FA" w:val="clear"/>
            <w:tcMar>
              <w:top w:type="dxa" w:w="100"/>
              <w:left w:type="dxa" w:w="120"/>
              <w:bottom w:type="dxa" w:w="100"/>
              <w:right w:type="dxa" w:w="120"/>
            </w:tcMar>
          </w:tcPr>
          <w:p>
            <w:pPr>
              <w:jc w:val="left"/>
            </w:pPr>
            <w:r>
              <w:rPr>
                <w:b w:val="false"/>
                <w:bCs w:val="false"/>
                <w:color w:val="222222"/>
                <w:sz w:val="20"/>
                <w:szCs w:val="20"/>
              </w:rPr>
              <w:t xml:space="preserve">Per-tenant CNAME support (e.g. events.clientdomain.com)</w:t>
            </w:r>
          </w:p>
        </w:tc>
        <w:tc>
          <w:tcPr>
            <w:tcW w:type="dxa" w:w="3700"/>
            <w:shd w:fill="F7F9FA" w:val="clear"/>
            <w:tcMar>
              <w:top w:type="dxa" w:w="100"/>
              <w:left w:type="dxa" w:w="120"/>
              <w:bottom w:type="dxa" w:w="100"/>
              <w:right w:type="dxa" w:w="120"/>
            </w:tcMar>
          </w:tcPr>
          <w:p>
            <w:pPr>
              <w:jc w:val="left"/>
            </w:pPr>
            <w:r>
              <w:rPr>
                <w:b w:val="false"/>
                <w:bCs w:val="false"/>
                <w:color w:val="222222"/>
                <w:sz w:val="20"/>
                <w:szCs w:val="20"/>
              </w:rPr>
              <w:t xml:space="preserve">Directly resolves the Deployment Guide's flagged gap — Apps Script has no vanity-URL support.</w:t>
            </w:r>
          </w:p>
        </w:tc>
      </w:tr>
    </w:tbl>
    <w:p>
      <w:pPr>
        <w:pStyle w:val="Heading2"/>
        <w:spacing w:after="140" w:before="280"/>
      </w:pPr>
      <w:r>
        <w:t xml:space="preserve">6.2 Tenant model</w:t>
      </w:r>
    </w:p>
    <w:p>
      <w:pPr>
        <w:pStyle w:val="ListParagraph"/>
        <w:numPr>
          <w:ilvl w:val="0"/>
          <w:numId w:val="1"/>
        </w:numPr>
        <w:spacing w:after="80" w:line="264"/>
      </w:pPr>
      <w:r>
        <w:t xml:space="preserve">Every table gains a tenant_id; a request-scoped middleware resolves the tenant (from subdomain or custom domain) once and scopes every query — the same role the Tenants registry plays in Phase 1/2, generalized.</w:t>
      </w:r>
    </w:p>
    <w:p>
      <w:pPr>
        <w:pStyle w:val="ListParagraph"/>
        <w:numPr>
          <w:ilvl w:val="0"/>
          <w:numId w:val="1"/>
        </w:numPr>
        <w:spacing w:after="80" w:line="264"/>
      </w:pPr>
      <w:r>
        <w:t xml:space="preserve">The existing sheet-per-concept model (Events, Registrations, SubEventRegistrations, Milestones, Orders, BudgetLines, Communications*) maps close to 1:1 onto relational tables — this is a schema translation exercise, not a domain redesign; the EventType/allocation/currency/capacity rules documented in Code.js's architecture comment become the schema's constraints and application-layer validation.</w:t>
      </w:r>
    </w:p>
    <w:p>
      <w:pPr>
        <w:pStyle w:val="ListParagraph"/>
        <w:numPr>
          <w:ilvl w:val="0"/>
          <w:numId w:val="1"/>
        </w:numPr>
        <w:spacing w:after="80" w:line="264"/>
      </w:pPr>
      <w:r>
        <w:t xml:space="preserve">BRANDING becomes a tenants.branding JSON/config column, and ClientOnboarding's taxonomy becomes tenant-scoped lookup tables — both already config-shaped today, not hardcoded-shaped, once Phase 1 lands.</w:t>
      </w:r>
    </w:p>
    <w:p>
      <w:pPr>
        <w:pStyle w:val="Heading2"/>
        <w:spacing w:after="140" w:before="280"/>
      </w:pPr>
      <w:r>
        <w:t xml:space="preserve">6.3 Self-serve onboarding</w:t>
      </w:r>
    </w:p>
    <w:p>
      <w:pPr>
        <w:spacing w:after="160" w:line="276"/>
      </w:pPr>
      <w:r>
        <w:t xml:space="preserve">Replaces the manual, docx-driven checklist with a guided in-product flow: sign up → choose subscription plan → enter branding + taxonomy → invite admin users → go live. The Client Dependencies Checklist in the current Deployment Guide becomes the literal field list for this wizard's forms.</w:t>
      </w:r>
    </w:p>
    <w:p>
      <w:pPr>
        <w:pStyle w:val="Heading2"/>
        <w:spacing w:after="140" w:before="280"/>
      </w:pPr>
      <w:r>
        <w:t xml:space="preserve">6.4 Migration path for existing clients</w:t>
      </w:r>
    </w:p>
    <w:p>
      <w:pPr>
        <w:pStyle w:val="ListParagraph"/>
        <w:numPr>
          <w:ilvl w:val="0"/>
          <w:numId w:val="1"/>
        </w:numPr>
        <w:spacing w:after="80" w:line="264"/>
      </w:pPr>
      <w:r>
        <w:t xml:space="preserve">Build a one-time import tool that reads a client's live Google Sheet (using the same sheet-reading helpers already in Code.js as a reference) and writes it into the new Postgres schema under that client's tenant_id.</w:t>
      </w:r>
    </w:p>
    <w:p>
      <w:pPr>
        <w:pStyle w:val="ListParagraph"/>
        <w:numPr>
          <w:ilvl w:val="0"/>
          <w:numId w:val="1"/>
        </w:numPr>
        <w:spacing w:after="80" w:line="264"/>
      </w:pPr>
      <w:r>
        <w:t xml:space="preserve">Migrate clients in small waves, starting with the lowest-traffic/lowest-risk client, running the legacy Apps Script deployment and the new platform in parallel per client until sign-off, then cut over DNS/links and decommission that client's Apps Script project.</w:t>
      </w:r>
    </w:p>
    <w:p>
      <w:r>
        <w:br w:type="page"/>
      </w:r>
    </w:p>
    <w:p>
      <w:pPr>
        <w:pStyle w:val="Heading1"/>
        <w:spacing w:after="200" w:before="400"/>
      </w:pPr>
      <w:r>
        <w:t xml:space="preserve">7. Deployment Plan</w:t>
      </w:r>
    </w:p>
    <w:p>
      <w:pPr>
        <w:spacing w:after="160" w:line="276"/>
      </w:pPr>
      <w:r>
        <w:t xml:space="preserve">A phased rollout. Timeframes assume roughly one focused engineer (or equivalent agency capacity); compress or extend based on actual team size — the sequencing and dependencies matter more than the exact week counts.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4300"/>
        <w:gridCol w:w="2300"/>
      </w:tblGrid>
      <w:tr>
        <w:trPr>
          <w:tblHeader/>
        </w:trPr>
        <w:tc>
          <w:tcPr>
            <w:tcW w:type="dxa" w:w="1700"/>
            <w:shd w:fill="1B2A4A" w:val="clear"/>
            <w:tcMar>
              <w:top w:type="dxa" w:w="100"/>
              <w:left w:type="dxa" w:w="120"/>
              <w:bottom w:type="dxa" w:w="100"/>
              <w:right w:type="dxa" w:w="120"/>
            </w:tcMar>
          </w:tcPr>
          <w:p>
            <w:pPr>
              <w:jc w:val="left"/>
            </w:pPr>
            <w:r>
              <w:rPr>
                <w:b/>
                <w:bCs/>
                <w:color w:val="FFFFFF"/>
                <w:sz w:val="19"/>
                <w:szCs w:val="19"/>
              </w:rPr>
              <w:t xml:space="preserve">Phase</w:t>
            </w:r>
          </w:p>
        </w:tc>
        <w:tc>
          <w:tcPr>
            <w:tcW w:type="dxa" w:w="1700"/>
            <w:shd w:fill="1B2A4A" w:val="clear"/>
            <w:tcMar>
              <w:top w:type="dxa" w:w="100"/>
              <w:left w:type="dxa" w:w="120"/>
              <w:bottom w:type="dxa" w:w="100"/>
              <w:right w:type="dxa" w:w="120"/>
            </w:tcMar>
          </w:tcPr>
          <w:p>
            <w:pPr>
              <w:jc w:val="left"/>
            </w:pPr>
            <w:r>
              <w:rPr>
                <w:b/>
                <w:bCs/>
                <w:color w:val="FFFFFF"/>
                <w:sz w:val="19"/>
                <w:szCs w:val="19"/>
              </w:rPr>
              <w:t xml:space="preserve">Timeframe</w:t>
            </w:r>
          </w:p>
        </w:tc>
        <w:tc>
          <w:tcPr>
            <w:tcW w:type="dxa" w:w="4300"/>
            <w:shd w:fill="1B2A4A" w:val="clear"/>
            <w:tcMar>
              <w:top w:type="dxa" w:w="100"/>
              <w:left w:type="dxa" w:w="120"/>
              <w:bottom w:type="dxa" w:w="100"/>
              <w:right w:type="dxa" w:w="120"/>
            </w:tcMar>
          </w:tcPr>
          <w:p>
            <w:pPr>
              <w:jc w:val="left"/>
            </w:pPr>
            <w:r>
              <w:rPr>
                <w:b/>
                <w:bCs/>
                <w:color w:val="FFFFFF"/>
                <w:sz w:val="19"/>
                <w:szCs w:val="19"/>
              </w:rPr>
              <w:t xml:space="preserve">Scope</w:t>
            </w:r>
          </w:p>
        </w:tc>
        <w:tc>
          <w:tcPr>
            <w:tcW w:type="dxa" w:w="2300"/>
            <w:shd w:fill="1B2A4A" w:val="clear"/>
            <w:tcMar>
              <w:top w:type="dxa" w:w="100"/>
              <w:left w:type="dxa" w:w="120"/>
              <w:bottom w:type="dxa" w:w="100"/>
              <w:right w:type="dxa" w:w="120"/>
            </w:tcMar>
          </w:tcPr>
          <w:p>
            <w:pPr>
              <w:jc w:val="left"/>
            </w:pPr>
            <w:r>
              <w:rPr>
                <w:b/>
                <w:bCs/>
                <w:color w:val="FFFFFF"/>
                <w:sz w:val="19"/>
                <w:szCs w:val="19"/>
              </w:rPr>
              <w:t xml:space="preserve">Exit criteria</w:t>
            </w:r>
          </w:p>
        </w:tc>
      </w:tr>
      <w:tr>
        <w:tc>
          <w:tcPr>
            <w:tcW w:type="dxa" w:w="1700"/>
            <w:tcMar>
              <w:top w:type="dxa" w:w="100"/>
              <w:left w:type="dxa" w:w="120"/>
              <w:bottom w:type="dxa" w:w="100"/>
              <w:right w:type="dxa" w:w="120"/>
            </w:tcMar>
          </w:tcPr>
          <w:p>
            <w:pPr>
              <w:jc w:val="left"/>
            </w:pPr>
            <w:r>
              <w:rPr>
                <w:b w:val="false"/>
                <w:bCs w:val="false"/>
                <w:color w:val="222222"/>
                <w:sz w:val="20"/>
                <w:szCs w:val="20"/>
              </w:rPr>
              <w:t xml:space="preserve">0 — Baseline (today)</w:t>
            </w:r>
          </w:p>
        </w:tc>
        <w:tc>
          <w:tcPr>
            <w:tcW w:type="dxa" w:w="1700"/>
            <w:tcMar>
              <w:top w:type="dxa" w:w="100"/>
              <w:left w:type="dxa" w:w="120"/>
              <w:bottom w:type="dxa" w:w="100"/>
              <w:right w:type="dxa" w:w="120"/>
            </w:tcMar>
          </w:tcPr>
          <w:p>
            <w:pPr>
              <w:jc w:val="left"/>
            </w:pPr>
            <w:r>
              <w:rPr>
                <w:b w:val="false"/>
                <w:bCs w:val="false"/>
                <w:color w:val="222222"/>
                <w:sz w:val="20"/>
                <w:szCs w:val="20"/>
              </w:rPr>
              <w:t xml:space="preserve">—</w:t>
            </w:r>
          </w:p>
        </w:tc>
        <w:tc>
          <w:tcPr>
            <w:tcW w:type="dxa" w:w="4300"/>
            <w:tcMar>
              <w:top w:type="dxa" w:w="100"/>
              <w:left w:type="dxa" w:w="120"/>
              <w:bottom w:type="dxa" w:w="100"/>
              <w:right w:type="dxa" w:w="120"/>
            </w:tcMar>
          </w:tcPr>
          <w:p>
            <w:pPr>
              <w:jc w:val="left"/>
            </w:pPr>
            <w:r>
              <w:rPr>
                <w:b w:val="false"/>
                <w:bCs w:val="false"/>
                <w:color w:val="222222"/>
                <w:sz w:val="20"/>
                <w:szCs w:val="20"/>
              </w:rPr>
              <w:t xml:space="preserve">Per-client fork: manual clasp create, hand-edited SPREADSHEET_ID/BRANDING, guide-driven onboarding.</w:t>
            </w:r>
          </w:p>
        </w:tc>
        <w:tc>
          <w:tcPr>
            <w:tcW w:type="dxa" w:w="2300"/>
            <w:tcMar>
              <w:top w:type="dxa" w:w="100"/>
              <w:left w:type="dxa" w:w="120"/>
              <w:bottom w:type="dxa" w:w="100"/>
              <w:right w:type="dxa" w:w="120"/>
            </w:tcMar>
          </w:tcPr>
          <w:p>
            <w:pPr>
              <w:jc w:val="left"/>
            </w:pPr>
            <w:r>
              <w:rPr>
                <w:b w:val="false"/>
                <w:bCs w:val="false"/>
                <w:color w:val="222222"/>
                <w:sz w:val="20"/>
                <w:szCs w:val="20"/>
              </w:rPr>
              <w:t xml:space="preserve">n/a — current state</w:t>
            </w:r>
          </w:p>
        </w:tc>
      </w:tr>
      <w:tr>
        <w:tc>
          <w:tcPr>
            <w:tcW w:type="dxa" w:w="1700"/>
            <w:shd w:fill="F7F9FA" w:val="clear"/>
            <w:tcMar>
              <w:top w:type="dxa" w:w="100"/>
              <w:left w:type="dxa" w:w="120"/>
              <w:bottom w:type="dxa" w:w="100"/>
              <w:right w:type="dxa" w:w="120"/>
            </w:tcMar>
          </w:tcPr>
          <w:p>
            <w:pPr>
              <w:jc w:val="left"/>
            </w:pPr>
            <w:r>
              <w:rPr>
                <w:b w:val="false"/>
                <w:bCs w:val="false"/>
                <w:color w:val="222222"/>
                <w:sz w:val="20"/>
                <w:szCs w:val="20"/>
              </w:rPr>
              <w:t xml:space="preserve">1 — Config-driven codebase</w:t>
            </w:r>
          </w:p>
        </w:tc>
        <w:tc>
          <w:tcPr>
            <w:tcW w:type="dxa" w:w="1700"/>
            <w:shd w:fill="F7F9FA" w:val="clear"/>
            <w:tcMar>
              <w:top w:type="dxa" w:w="100"/>
              <w:left w:type="dxa" w:w="120"/>
              <w:bottom w:type="dxa" w:w="100"/>
              <w:right w:type="dxa" w:w="120"/>
            </w:tcMar>
          </w:tcPr>
          <w:p>
            <w:pPr>
              <w:jc w:val="left"/>
            </w:pPr>
            <w:r>
              <w:rPr>
                <w:b w:val="false"/>
                <w:bCs w:val="false"/>
                <w:color w:val="222222"/>
                <w:sz w:val="20"/>
                <w:szCs w:val="20"/>
              </w:rPr>
              <w:t xml:space="preserve">Weeks 1–4</w:t>
            </w:r>
          </w:p>
        </w:tc>
        <w:tc>
          <w:tcPr>
            <w:tcW w:type="dxa" w:w="4300"/>
            <w:shd w:fill="F7F9FA" w:val="clear"/>
            <w:tcMar>
              <w:top w:type="dxa" w:w="100"/>
              <w:left w:type="dxa" w:w="120"/>
              <w:bottom w:type="dxa" w:w="100"/>
              <w:right w:type="dxa" w:w="120"/>
            </w:tcMar>
          </w:tcPr>
          <w:p>
            <w:pPr>
              <w:jc w:val="left"/>
            </w:pPr>
            <w:r>
              <w:rPr>
                <w:b w:val="false"/>
                <w:bCs w:val="false"/>
                <w:color w:val="222222"/>
                <w:sz w:val="20"/>
                <w:szCs w:val="20"/>
              </w:rPr>
              <w:t xml:space="preserve">Move SPREADSHEET_ID, BRANDING, and taxonomy out of hardcoded constants into a per-client config record (Properties or a config file consumed at deploy time). Build a provisioning script that automates clasp create + templated Sheet copy + config injection + clasp push. Add a lightweight CI check that flags any client fork that has drifted from the shared source.</w:t>
            </w:r>
          </w:p>
        </w:tc>
        <w:tc>
          <w:tcPr>
            <w:tcW w:type="dxa" w:w="2300"/>
            <w:shd w:fill="F7F9FA" w:val="clear"/>
            <w:tcMar>
              <w:top w:type="dxa" w:w="100"/>
              <w:left w:type="dxa" w:w="120"/>
              <w:bottom w:type="dxa" w:w="100"/>
              <w:right w:type="dxa" w:w="120"/>
            </w:tcMar>
          </w:tcPr>
          <w:p>
            <w:pPr>
              <w:jc w:val="left"/>
            </w:pPr>
            <w:r>
              <w:rPr>
                <w:b w:val="false"/>
                <w:bCs w:val="false"/>
                <w:color w:val="222222"/>
                <w:sz w:val="20"/>
                <w:szCs w:val="20"/>
              </w:rPr>
              <w:t xml:space="preserve">A brand-new client can be provisioned by running one script against a filled-in config, with zero hand-edits to Code.js. Existing clients re-platformed onto the config model without behavior change.</w:t>
            </w:r>
          </w:p>
        </w:tc>
      </w:tr>
      <w:tr>
        <w:tc>
          <w:tcPr>
            <w:tcW w:type="dxa" w:w="1700"/>
            <w:tcMar>
              <w:top w:type="dxa" w:w="100"/>
              <w:left w:type="dxa" w:w="120"/>
              <w:bottom w:type="dxa" w:w="100"/>
              <w:right w:type="dxa" w:w="120"/>
            </w:tcMar>
          </w:tcPr>
          <w:p>
            <w:pPr>
              <w:jc w:val="left"/>
            </w:pPr>
            <w:r>
              <w:rPr>
                <w:b w:val="false"/>
                <w:bCs w:val="false"/>
                <w:color w:val="222222"/>
                <w:sz w:val="20"/>
                <w:szCs w:val="20"/>
              </w:rPr>
              <w:t xml:space="preserve">2 — Internal Tenant Console</w:t>
            </w:r>
          </w:p>
        </w:tc>
        <w:tc>
          <w:tcPr>
            <w:tcW w:type="dxa" w:w="1700"/>
            <w:tcMar>
              <w:top w:type="dxa" w:w="100"/>
              <w:left w:type="dxa" w:w="120"/>
              <w:bottom w:type="dxa" w:w="100"/>
              <w:right w:type="dxa" w:w="120"/>
            </w:tcMar>
          </w:tcPr>
          <w:p>
            <w:pPr>
              <w:jc w:val="left"/>
            </w:pPr>
            <w:r>
              <w:rPr>
                <w:b w:val="false"/>
                <w:bCs w:val="false"/>
                <w:color w:val="222222"/>
                <w:sz w:val="20"/>
                <w:szCs w:val="20"/>
              </w:rPr>
              <w:t xml:space="preserve">Weeks 4–8 (overlaps Phase 1 tail)</w:t>
            </w:r>
          </w:p>
        </w:tc>
        <w:tc>
          <w:tcPr>
            <w:tcW w:type="dxa" w:w="4300"/>
            <w:tcMar>
              <w:top w:type="dxa" w:w="100"/>
              <w:left w:type="dxa" w:w="120"/>
              <w:bottom w:type="dxa" w:w="100"/>
              <w:right w:type="dxa" w:w="120"/>
            </w:tcMar>
          </w:tcPr>
          <w:p>
            <w:pPr>
              <w:jc w:val="left"/>
            </w:pPr>
            <w:r>
              <w:rPr>
                <w:b w:val="false"/>
                <w:bCs w:val="false"/>
                <w:color w:val="222222"/>
                <w:sz w:val="20"/>
                <w:szCs w:val="20"/>
              </w:rPr>
              <w:t xml:space="preserve">Small internal admin tool (can itself be an Apps Script or a simple internal web app) wrapping Phase 1's provisioning script behind a form: client name, branding, taxonomy, admin list, hosting choice. Produces the same artifacts Phase 1 automated, now via UI instead of CLI.</w:t>
            </w:r>
          </w:p>
        </w:tc>
        <w:tc>
          <w:tcPr>
            <w:tcW w:type="dxa" w:w="2300"/>
            <w:tcMar>
              <w:top w:type="dxa" w:w="100"/>
              <w:left w:type="dxa" w:w="120"/>
              <w:bottom w:type="dxa" w:w="100"/>
              <w:right w:type="dxa" w:w="120"/>
            </w:tcMar>
          </w:tcPr>
          <w:p>
            <w:pPr>
              <w:jc w:val="left"/>
            </w:pPr>
            <w:r>
              <w:rPr>
                <w:b w:val="false"/>
                <w:bCs w:val="false"/>
                <w:color w:val="222222"/>
                <w:sz w:val="20"/>
                <w:szCs w:val="20"/>
              </w:rPr>
              <w:t xml:space="preserve">Non-engineering staff can onboard a new client end-to-end without touching a terminal or the Deployment Guide's manual steps.</w:t>
            </w:r>
          </w:p>
        </w:tc>
      </w:tr>
      <w:tr>
        <w:tc>
          <w:tcPr>
            <w:tcW w:type="dxa" w:w="1700"/>
            <w:shd w:fill="F7F9FA" w:val="clear"/>
            <w:tcMar>
              <w:top w:type="dxa" w:w="100"/>
              <w:left w:type="dxa" w:w="120"/>
              <w:bottom w:type="dxa" w:w="100"/>
              <w:right w:type="dxa" w:w="120"/>
            </w:tcMar>
          </w:tcPr>
          <w:p>
            <w:pPr>
              <w:jc w:val="left"/>
            </w:pPr>
            <w:r>
              <w:rPr>
                <w:b w:val="false"/>
                <w:bCs w:val="false"/>
                <w:color w:val="222222"/>
                <w:sz w:val="20"/>
                <w:szCs w:val="20"/>
              </w:rPr>
              <w:t xml:space="preserve">3 — SaaS platform build</w:t>
            </w:r>
          </w:p>
        </w:tc>
        <w:tc>
          <w:tcPr>
            <w:tcW w:type="dxa" w:w="1700"/>
            <w:shd w:fill="F7F9FA" w:val="clear"/>
            <w:tcMar>
              <w:top w:type="dxa" w:w="100"/>
              <w:left w:type="dxa" w:w="120"/>
              <w:bottom w:type="dxa" w:w="100"/>
              <w:right w:type="dxa" w:w="120"/>
            </w:tcMar>
          </w:tcPr>
          <w:p>
            <w:pPr>
              <w:jc w:val="left"/>
            </w:pPr>
            <w:r>
              <w:rPr>
                <w:b w:val="false"/>
                <w:bCs w:val="false"/>
                <w:color w:val="222222"/>
                <w:sz w:val="20"/>
                <w:szCs w:val="20"/>
              </w:rPr>
              <w:t xml:space="preserve">Months 2–7 (parallel track, starts once Phase 1's config model is validated)</w:t>
            </w:r>
          </w:p>
        </w:tc>
        <w:tc>
          <w:tcPr>
            <w:tcW w:type="dxa" w:w="4300"/>
            <w:shd w:fill="F7F9FA" w:val="clear"/>
            <w:tcMar>
              <w:top w:type="dxa" w:w="100"/>
              <w:left w:type="dxa" w:w="120"/>
              <w:bottom w:type="dxa" w:w="100"/>
              <w:right w:type="dxa" w:w="120"/>
            </w:tcMar>
          </w:tcPr>
          <w:p>
            <w:pPr>
              <w:jc w:val="left"/>
            </w:pPr>
            <w:r>
              <w:rPr>
                <w:b w:val="false"/>
                <w:bCs w:val="false"/>
                <w:color w:val="222222"/>
                <w:sz w:val="20"/>
                <w:szCs w:val="20"/>
              </w:rPr>
              <w:t xml:space="preserve">Build the Section 6 stack: multi-tenant backend, Postgres schema, auth, Stripe billing, custom domains, transactional email, background jobs, and the self-serve onboarding wizard. Rebuild Portal/AdminPortal UI reusing the proven BRANDING token system.</w:t>
            </w:r>
          </w:p>
        </w:tc>
        <w:tc>
          <w:tcPr>
            <w:tcW w:type="dxa" w:w="2300"/>
            <w:shd w:fill="F7F9FA" w:val="clear"/>
            <w:tcMar>
              <w:top w:type="dxa" w:w="100"/>
              <w:left w:type="dxa" w:w="120"/>
              <w:bottom w:type="dxa" w:w="100"/>
              <w:right w:type="dxa" w:w="120"/>
            </w:tcMar>
          </w:tcPr>
          <w:p>
            <w:pPr>
              <w:jc w:val="left"/>
            </w:pPr>
            <w:r>
              <w:rPr>
                <w:b w:val="false"/>
                <w:bCs w:val="false"/>
                <w:color w:val="222222"/>
                <w:sz w:val="20"/>
                <w:szCs w:val="20"/>
              </w:rPr>
              <w:t xml:space="preserve">A new pilot client can sign up, pay, brand, and go live entirely self-serve on the new platform, with feature parity on registration, allocation, milestones, and communications.</w:t>
            </w:r>
          </w:p>
        </w:tc>
      </w:tr>
      <w:tr>
        <w:tc>
          <w:tcPr>
            <w:tcW w:type="dxa" w:w="1700"/>
            <w:tcMar>
              <w:top w:type="dxa" w:w="100"/>
              <w:left w:type="dxa" w:w="120"/>
              <w:bottom w:type="dxa" w:w="100"/>
              <w:right w:type="dxa" w:w="120"/>
            </w:tcMar>
          </w:tcPr>
          <w:p>
            <w:pPr>
              <w:jc w:val="left"/>
            </w:pPr>
            <w:r>
              <w:rPr>
                <w:b w:val="false"/>
                <w:bCs w:val="false"/>
                <w:color w:val="222222"/>
                <w:sz w:val="20"/>
                <w:szCs w:val="20"/>
              </w:rPr>
              <w:t xml:space="preserve">4 — Client migration</w:t>
            </w:r>
          </w:p>
        </w:tc>
        <w:tc>
          <w:tcPr>
            <w:tcW w:type="dxa" w:w="1700"/>
            <w:tcMar>
              <w:top w:type="dxa" w:w="100"/>
              <w:left w:type="dxa" w:w="120"/>
              <w:bottom w:type="dxa" w:w="100"/>
              <w:right w:type="dxa" w:w="120"/>
            </w:tcMar>
          </w:tcPr>
          <w:p>
            <w:pPr>
              <w:jc w:val="left"/>
            </w:pPr>
            <w:r>
              <w:rPr>
                <w:b w:val="false"/>
                <w:bCs w:val="false"/>
                <w:color w:val="222222"/>
                <w:sz w:val="20"/>
                <w:szCs w:val="20"/>
              </w:rPr>
              <w:t xml:space="preserve">Months 6–12, one wave at a time</w:t>
            </w:r>
          </w:p>
        </w:tc>
        <w:tc>
          <w:tcPr>
            <w:tcW w:type="dxa" w:w="4300"/>
            <w:tcMar>
              <w:top w:type="dxa" w:w="100"/>
              <w:left w:type="dxa" w:w="120"/>
              <w:bottom w:type="dxa" w:w="100"/>
              <w:right w:type="dxa" w:w="120"/>
            </w:tcMar>
          </w:tcPr>
          <w:p>
            <w:pPr>
              <w:jc w:val="left"/>
            </w:pPr>
            <w:r>
              <w:rPr>
                <w:b w:val="false"/>
                <w:bCs w:val="false"/>
                <w:color w:val="222222"/>
                <w:sz w:val="20"/>
                <w:szCs w:val="20"/>
              </w:rPr>
              <w:t xml:space="preserve">Build the Sheets-to-Postgres import tool; migrate existing clients in ascending order of risk, running old and new in parallel per client until sign-off; decommission each client's Apps Script project after cutover.</w:t>
            </w:r>
          </w:p>
        </w:tc>
        <w:tc>
          <w:tcPr>
            <w:tcW w:type="dxa" w:w="2300"/>
            <w:tcMar>
              <w:top w:type="dxa" w:w="100"/>
              <w:left w:type="dxa" w:w="120"/>
              <w:bottom w:type="dxa" w:w="100"/>
              <w:right w:type="dxa" w:w="120"/>
            </w:tcMar>
          </w:tcPr>
          <w:p>
            <w:pPr>
              <w:jc w:val="left"/>
            </w:pPr>
            <w:r>
              <w:rPr>
                <w:b w:val="false"/>
                <w:bCs w:val="false"/>
                <w:color w:val="222222"/>
                <w:sz w:val="20"/>
                <w:szCs w:val="20"/>
              </w:rPr>
              <w:t xml:space="preserve">All active clients running on the SaaS platform; legacy Apps Script fleet fully decommissioned (or deliberately kept only as a free-trial track, per the Phase 1/2 decision).</w:t>
            </w:r>
          </w:p>
        </w:tc>
      </w:tr>
    </w:tbl>
    <w:p>
      <w:pPr>
        <w:pStyle w:val="Heading2"/>
        <w:spacing w:after="140" w:before="280"/>
      </w:pPr>
      <w:r>
        <w:t xml:space="preserve">7.1 Sequencing rationale</w:t>
      </w:r>
    </w:p>
    <w:p>
      <w:pPr>
        <w:pStyle w:val="ListParagraph"/>
        <w:numPr>
          <w:ilvl w:val="0"/>
          <w:numId w:val="1"/>
        </w:numPr>
        <w:spacing w:after="80" w:line="264"/>
      </w:pPr>
      <w:r>
        <w:t xml:space="preserve">Phase 1 ships value in weeks and de-risks everything after it: the config model it introduces is exercised on every existing client before Phase 3's schema is designed around it.</w:t>
      </w:r>
    </w:p>
    <w:p>
      <w:pPr>
        <w:pStyle w:val="ListParagraph"/>
        <w:numPr>
          <w:ilvl w:val="0"/>
          <w:numId w:val="1"/>
        </w:numPr>
        <w:spacing w:after="80" w:line="264"/>
      </w:pPr>
      <w:r>
        <w:t xml:space="preserve">Phase 3 starting only once Phase 1 is validated avoids designing a multi-tenant schema against a domain model that's still being discovered — Phase 1/2 usage will surface edge cases in the config approach cheaply, before they're baked into a database schema.</w:t>
      </w:r>
    </w:p>
    <w:p>
      <w:pPr>
        <w:pStyle w:val="ListParagraph"/>
        <w:numPr>
          <w:ilvl w:val="0"/>
          <w:numId w:val="1"/>
        </w:numPr>
        <w:spacing w:after="80" w:line="264"/>
      </w:pPr>
      <w:r>
        <w:t xml:space="preserve">Phase 4 is deliberately incremental (one client at a time) rather than a cutover of all clients on one date, because each client's registration data is live and the current allocation logic (LockService-guarded, race-sensitive) must be re-verified under the new backend before that client's attendees depend on it.</w:t>
      </w:r>
    </w:p>
    <w:p>
      <w:pPr>
        <w:pStyle w:val="Heading1"/>
        <w:spacing w:after="200" w:before="400"/>
      </w:pPr>
      <w:r>
        <w:t xml:space="preserve">8.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900"/>
        <w:gridCol w:w="5100"/>
      </w:tblGrid>
      <w:tr>
        <w:trPr>
          <w:tblHeader/>
        </w:trPr>
        <w:tc>
          <w:tcPr>
            <w:tcW w:type="dxa" w:w="4900"/>
            <w:shd w:fill="1B2A4A" w:val="clear"/>
            <w:tcMar>
              <w:top w:type="dxa" w:w="100"/>
              <w:left w:type="dxa" w:w="120"/>
              <w:bottom w:type="dxa" w:w="100"/>
              <w:right w:type="dxa" w:w="120"/>
            </w:tcMar>
          </w:tcPr>
          <w:p>
            <w:pPr>
              <w:jc w:val="left"/>
            </w:pPr>
            <w:r>
              <w:rPr>
                <w:b/>
                <w:bCs/>
                <w:color w:val="FFFFFF"/>
                <w:sz w:val="19"/>
                <w:szCs w:val="19"/>
              </w:rPr>
              <w:t xml:space="preserve">Risk</w:t>
            </w:r>
          </w:p>
        </w:tc>
        <w:tc>
          <w:tcPr>
            <w:tcW w:type="dxa" w:w="5100"/>
            <w:shd w:fill="1B2A4A" w:val="clear"/>
            <w:tcMar>
              <w:top w:type="dxa" w:w="100"/>
              <w:left w:type="dxa" w:w="120"/>
              <w:bottom w:type="dxa" w:w="100"/>
              <w:right w:type="dxa" w:w="120"/>
            </w:tcMar>
          </w:tcPr>
          <w:p>
            <w:pPr>
              <w:jc w:val="left"/>
            </w:pPr>
            <w:r>
              <w:rPr>
                <w:b/>
                <w:bCs/>
                <w:color w:val="FFFFFF"/>
                <w:sz w:val="19"/>
                <w:szCs w:val="19"/>
              </w:rPr>
              <w:t xml:space="preserve">Mitigation</w:t>
            </w:r>
          </w:p>
        </w:tc>
      </w:tr>
      <w:tr>
        <w:tc>
          <w:tcPr>
            <w:tcW w:type="dxa" w:w="4900"/>
            <w:tcMar>
              <w:top w:type="dxa" w:w="100"/>
              <w:left w:type="dxa" w:w="120"/>
              <w:bottom w:type="dxa" w:w="100"/>
              <w:right w:type="dxa" w:w="120"/>
            </w:tcMar>
          </w:tcPr>
          <w:p>
            <w:pPr>
              <w:jc w:val="left"/>
            </w:pPr>
            <w:r>
              <w:rPr>
                <w:b w:val="false"/>
                <w:bCs w:val="false"/>
                <w:color w:val="222222"/>
                <w:sz w:val="20"/>
                <w:szCs w:val="20"/>
              </w:rPr>
              <w:t xml:space="preserve">Phase 1 config migration silently breaks a live client mid-event season.</w:t>
            </w:r>
          </w:p>
        </w:tc>
        <w:tc>
          <w:tcPr>
            <w:tcW w:type="dxa" w:w="5100"/>
            <w:tcMar>
              <w:top w:type="dxa" w:w="100"/>
              <w:left w:type="dxa" w:w="120"/>
              <w:bottom w:type="dxa" w:w="100"/>
              <w:right w:type="dxa" w:w="120"/>
            </w:tcMar>
          </w:tcPr>
          <w:p>
            <w:pPr>
              <w:jc w:val="left"/>
            </w:pPr>
            <w:r>
              <w:rPr>
                <w:b w:val="false"/>
                <w:bCs w:val="false"/>
                <w:color w:val="222222"/>
                <w:sz w:val="20"/>
                <w:szCs w:val="20"/>
              </w:rPr>
              <w:t xml:space="preserve">Roll out per-client, off-peak, with the old hand-edited constants kept as a manual fallback until each client's config-driven deploy is verified against production traffic.</w:t>
            </w:r>
          </w:p>
        </w:tc>
      </w:tr>
      <w:tr>
        <w:tc>
          <w:tcPr>
            <w:tcW w:type="dxa" w:w="4900"/>
            <w:shd w:fill="F7F9FA" w:val="clear"/>
            <w:tcMar>
              <w:top w:type="dxa" w:w="100"/>
              <w:left w:type="dxa" w:w="120"/>
              <w:bottom w:type="dxa" w:w="100"/>
              <w:right w:type="dxa" w:w="120"/>
            </w:tcMar>
          </w:tcPr>
          <w:p>
            <w:pPr>
              <w:jc w:val="left"/>
            </w:pPr>
            <w:r>
              <w:rPr>
                <w:b w:val="false"/>
                <w:bCs w:val="false"/>
                <w:color w:val="222222"/>
                <w:sz w:val="20"/>
                <w:szCs w:val="20"/>
              </w:rPr>
              <w:t xml:space="preserve">Scope creep: Phase 3 accretes new features instead of reaching parity + migration.</w:t>
            </w:r>
          </w:p>
        </w:tc>
        <w:tc>
          <w:tcPr>
            <w:tcW w:type="dxa" w:w="5100"/>
            <w:shd w:fill="F7F9FA" w:val="clear"/>
            <w:tcMar>
              <w:top w:type="dxa" w:w="100"/>
              <w:left w:type="dxa" w:w="120"/>
              <w:bottom w:type="dxa" w:w="100"/>
              <w:right w:type="dxa" w:w="120"/>
            </w:tcMar>
          </w:tcPr>
          <w:p>
            <w:pPr>
              <w:jc w:val="left"/>
            </w:pPr>
            <w:r>
              <w:rPr>
                <w:b w:val="false"/>
                <w:bCs w:val="false"/>
                <w:color w:val="222222"/>
                <w:sz w:val="20"/>
                <w:szCs w:val="20"/>
              </w:rPr>
              <w:t xml:space="preserve">Freeze Phase 3 scope at feature parity with the current domain model (Section 6.2) before adding anything new; treat new features as post-migration backlog.</w:t>
            </w:r>
          </w:p>
        </w:tc>
      </w:tr>
      <w:tr>
        <w:tc>
          <w:tcPr>
            <w:tcW w:type="dxa" w:w="4900"/>
            <w:tcMar>
              <w:top w:type="dxa" w:w="100"/>
              <w:left w:type="dxa" w:w="120"/>
              <w:bottom w:type="dxa" w:w="100"/>
              <w:right w:type="dxa" w:w="120"/>
            </w:tcMar>
          </w:tcPr>
          <w:p>
            <w:pPr>
              <w:jc w:val="left"/>
            </w:pPr>
            <w:r>
              <w:rPr>
                <w:b w:val="false"/>
                <w:bCs w:val="false"/>
                <w:color w:val="222222"/>
                <w:sz w:val="20"/>
                <w:szCs w:val="20"/>
              </w:rPr>
              <w:t xml:space="preserve">Data-migration errors (Sheets → Postgres) corrupt a client's registration/allocation history.</w:t>
            </w:r>
          </w:p>
        </w:tc>
        <w:tc>
          <w:tcPr>
            <w:tcW w:type="dxa" w:w="5100"/>
            <w:tcMar>
              <w:top w:type="dxa" w:w="100"/>
              <w:left w:type="dxa" w:w="120"/>
              <w:bottom w:type="dxa" w:w="100"/>
              <w:right w:type="dxa" w:w="120"/>
            </w:tcMar>
          </w:tcPr>
          <w:p>
            <w:pPr>
              <w:jc w:val="left"/>
            </w:pPr>
            <w:r>
              <w:rPr>
                <w:b w:val="false"/>
                <w:bCs w:val="false"/>
                <w:color w:val="222222"/>
                <w:sz w:val="20"/>
                <w:szCs w:val="20"/>
              </w:rPr>
              <w:t xml:space="preserve">Migration tool runs read-only against the source Sheet; validate row counts and spot-check allocation state before cutover; keep the legacy deployment live and read-only as a rollback reference for a defined window after each cutover.</w:t>
            </w:r>
          </w:p>
        </w:tc>
      </w:tr>
      <w:tr>
        <w:tc>
          <w:tcPr>
            <w:tcW w:type="dxa" w:w="4900"/>
            <w:shd w:fill="F7F9FA" w:val="clear"/>
            <w:tcMar>
              <w:top w:type="dxa" w:w="100"/>
              <w:left w:type="dxa" w:w="120"/>
              <w:bottom w:type="dxa" w:w="100"/>
              <w:right w:type="dxa" w:w="120"/>
            </w:tcMar>
          </w:tcPr>
          <w:p>
            <w:pPr>
              <w:jc w:val="left"/>
            </w:pPr>
            <w:r>
              <w:rPr>
                <w:b w:val="false"/>
                <w:bCs w:val="false"/>
                <w:color w:val="222222"/>
                <w:sz w:val="20"/>
                <w:szCs w:val="20"/>
              </w:rPr>
              <w:t xml:space="preserve">Team capacity: this is a multi-month initiative alongside client delivery work.</w:t>
            </w:r>
          </w:p>
        </w:tc>
        <w:tc>
          <w:tcPr>
            <w:tcW w:type="dxa" w:w="5100"/>
            <w:shd w:fill="F7F9FA" w:val="clear"/>
            <w:tcMar>
              <w:top w:type="dxa" w:w="100"/>
              <w:left w:type="dxa" w:w="120"/>
              <w:bottom w:type="dxa" w:w="100"/>
              <w:right w:type="dxa" w:w="120"/>
            </w:tcMar>
          </w:tcPr>
          <w:p>
            <w:pPr>
              <w:jc w:val="left"/>
            </w:pPr>
            <w:r>
              <w:rPr>
                <w:b w:val="false"/>
                <w:bCs w:val="false"/>
                <w:color w:val="222222"/>
                <w:sz w:val="20"/>
                <w:szCs w:val="20"/>
              </w:rPr>
              <w:t xml:space="preserve">Phases 1–2 are scoped to be absorbable alongside normal onboarding work; Phase 3 should be explicitly staffed/timelined before it starts, not squeezed in.</w:t>
            </w:r>
          </w:p>
        </w:tc>
      </w:tr>
      <w:tr>
        <w:tc>
          <w:tcPr>
            <w:tcW w:type="dxa" w:w="4900"/>
            <w:tcMar>
              <w:top w:type="dxa" w:w="100"/>
              <w:left w:type="dxa" w:w="120"/>
              <w:bottom w:type="dxa" w:w="100"/>
              <w:right w:type="dxa" w:w="120"/>
            </w:tcMar>
          </w:tcPr>
          <w:p>
            <w:pPr>
              <w:jc w:val="left"/>
            </w:pPr>
            <w:r>
              <w:rPr>
                <w:b w:val="false"/>
                <w:bCs w:val="false"/>
                <w:color w:val="222222"/>
                <w:sz w:val="20"/>
                <w:szCs w:val="20"/>
              </w:rPr>
              <w:t xml:space="preserve">Vendor lock-in / cost creep from new SaaS dependencies (Stripe, email, hosting, auth).</w:t>
            </w:r>
          </w:p>
        </w:tc>
        <w:tc>
          <w:tcPr>
            <w:tcW w:type="dxa" w:w="5100"/>
            <w:tcMar>
              <w:top w:type="dxa" w:w="100"/>
              <w:left w:type="dxa" w:w="120"/>
              <w:bottom w:type="dxa" w:w="100"/>
              <w:right w:type="dxa" w:w="120"/>
            </w:tcMar>
          </w:tcPr>
          <w:p>
            <w:pPr>
              <w:jc w:val="left"/>
            </w:pPr>
            <w:r>
              <w:rPr>
                <w:b w:val="false"/>
                <w:bCs w:val="false"/>
                <w:color w:val="222222"/>
                <w:sz w:val="20"/>
                <w:szCs w:val="20"/>
              </w:rPr>
              <w:t xml:space="preserve">Standard, replaceable vendors chosen deliberately (Section 6.1); no dependency without a documented alternative.</w:t>
            </w:r>
          </w:p>
        </w:tc>
      </w:tr>
      <w:tr>
        <w:tc>
          <w:tcPr>
            <w:tcW w:type="dxa" w:w="4900"/>
            <w:shd w:fill="F7F9FA" w:val="clear"/>
            <w:tcMar>
              <w:top w:type="dxa" w:w="100"/>
              <w:left w:type="dxa" w:w="120"/>
              <w:bottom w:type="dxa" w:w="100"/>
              <w:right w:type="dxa" w:w="120"/>
            </w:tcMar>
          </w:tcPr>
          <w:p>
            <w:pPr>
              <w:jc w:val="left"/>
            </w:pPr>
            <w:r>
              <w:rPr>
                <w:b w:val="false"/>
                <w:bCs w:val="false"/>
                <w:color w:val="222222"/>
                <w:sz w:val="20"/>
                <w:szCs w:val="20"/>
              </w:rPr>
              <w:t xml:space="preserve">Client-owned hosting exposes proprietary source to the client (Section 5.1).</w:t>
            </w:r>
          </w:p>
        </w:tc>
        <w:tc>
          <w:tcPr>
            <w:tcW w:type="dxa" w:w="5100"/>
            <w:shd w:fill="F7F9FA" w:val="clear"/>
            <w:tcMar>
              <w:top w:type="dxa" w:w="100"/>
              <w:left w:type="dxa" w:w="120"/>
              <w:bottom w:type="dxa" w:w="100"/>
              <w:right w:type="dxa" w:w="120"/>
            </w:tcMar>
          </w:tcPr>
          <w:p>
            <w:pPr>
              <w:jc w:val="left"/>
            </w:pPr>
            <w:r>
              <w:rPr>
                <w:b w:val="false"/>
                <w:bCs w:val="false"/>
                <w:color w:val="222222"/>
                <w:sz w:val="20"/>
                <w:szCs w:val="20"/>
              </w:rPr>
              <w:t xml:space="preserve">Default new onboarding to the decoupled model (Section 5.2); reserve full in-Workspace hosting for clients who contractually require it, backed by the Section 5.3 Library pattern and IP contract terms (Section 5.4).</w:t>
            </w:r>
          </w:p>
        </w:tc>
      </w:tr>
    </w:tbl>
    <w:p>
      <w:pPr>
        <w:pStyle w:val="Heading1"/>
        <w:spacing w:after="200" w:before="400"/>
      </w:pPr>
      <w:r>
        <w:t xml:space="preserve">9. Open Decisions</w:t>
      </w:r>
    </w:p>
    <w:p>
      <w:pPr>
        <w:spacing w:after="160" w:line="276"/>
      </w:pPr>
      <w:r>
        <w:t xml:space="preserve">Before Phase 1 kicks off, the following need an owner's sign-off — they shape scope and estimates above:</w:t>
      </w:r>
    </w:p>
    <w:p>
      <w:pPr>
        <w:pStyle w:val="ListParagraph"/>
        <w:numPr>
          <w:ilvl w:val="0"/>
          <w:numId w:val="1"/>
        </w:numPr>
        <w:spacing w:after="80" w:line="264"/>
      </w:pPr>
      <w:r>
        <w:rPr>
          <w:b/>
          <w:bCs/>
        </w:rPr>
        <w:t xml:space="preserve">Team capacity — </w:t>
      </w:r>
      <w:r>
        <w:t xml:space="preserve">who is actually staffed on Phase 1/2, and at what fraction of their time?</w:t>
      </w:r>
    </w:p>
    <w:p>
      <w:pPr>
        <w:pStyle w:val="ListParagraph"/>
        <w:numPr>
          <w:ilvl w:val="0"/>
          <w:numId w:val="1"/>
        </w:numPr>
        <w:spacing w:after="80" w:line="264"/>
      </w:pPr>
      <w:r>
        <w:rPr>
          <w:b/>
          <w:bCs/>
        </w:rPr>
        <w:t xml:space="preserve">Free-trial track — </w:t>
      </w:r>
      <w:r>
        <w:t xml:space="preserve">should Option A (single shared Apps Script deployment) be built as a deliberately low-stakes demo/trial tier, or skipped entirely?</w:t>
      </w:r>
    </w:p>
    <w:p>
      <w:pPr>
        <w:pStyle w:val="ListParagraph"/>
        <w:numPr>
          <w:ilvl w:val="0"/>
          <w:numId w:val="1"/>
        </w:numPr>
        <w:spacing w:after="80" w:line="264"/>
      </w:pPr>
      <w:r>
        <w:rPr>
          <w:b/>
          <w:bCs/>
        </w:rPr>
        <w:t xml:space="preserve">Phase 3 stack ownership — </w:t>
      </w:r>
      <w:r>
        <w:t xml:space="preserve">in-house build, or bring in outside engineering capacity for the backend/database work?</w:t>
      </w:r>
    </w:p>
    <w:p>
      <w:pPr>
        <w:pStyle w:val="ListParagraph"/>
        <w:numPr>
          <w:ilvl w:val="0"/>
          <w:numId w:val="1"/>
        </w:numPr>
        <w:spacing w:after="80" w:line="264"/>
      </w:pPr>
      <w:r>
        <w:rPr>
          <w:b/>
          <w:bCs/>
        </w:rPr>
        <w:t xml:space="preserve">Migration order — </w:t>
      </w:r>
      <w:r>
        <w:t xml:space="preserve">which existing client is lowest-risk to migrate first in Phase 4, and does any client have contractual data-residency requirements that affect hosting choice?</w:t>
      </w:r>
    </w:p>
    <w:p>
      <w:pPr>
        <w:pStyle w:val="ListParagraph"/>
        <w:numPr>
          <w:ilvl w:val="0"/>
          <w:numId w:val="1"/>
        </w:numPr>
        <w:spacing w:after="80" w:line="264"/>
      </w:pPr>
      <w:r>
        <w:rPr>
          <w:b/>
          <w:bCs/>
        </w:rPr>
        <w:t xml:space="preserve">Pricing/packaging — </w:t>
      </w:r>
      <w:r>
        <w:t xml:space="preserve">are subscription tiers already defined, or does that need to happen before Stripe integration in Phase 3?</w:t>
      </w:r>
    </w:p>
    <w:p>
      <w:pPr>
        <w:pStyle w:val="ListParagraph"/>
        <w:numPr>
          <w:ilvl w:val="0"/>
          <w:numId w:val="1"/>
        </w:numPr>
        <w:spacing w:after="80" w:line="264"/>
      </w:pPr>
      <w:r>
        <w:rPr>
          <w:b/>
          <w:bCs/>
        </w:rPr>
        <w:t xml:space="preserve">Hosting default — </w:t>
      </w:r>
      <w:r>
        <w:t xml:space="preserve">sign off on Section 5.2's decoupled model (agency-owned code, client-owned Sheet, transactional email API) as the new default for onboarding, and confirm which existing client-owned deployments should be re-hosted under it.</w:t>
      </w:r>
    </w:p>
    <w:p>
      <w:pPr>
        <w:spacing w:after="200"/>
      </w:pPr>
    </w:p>
    <w:tbl>
      <w:tblPr>
        <w:tblW w:type="pct" w:w="100%"/>
        <w:tblBorders>
          <w:top w:val="single" w:color="1C7293" w:sz="4"/>
          <w:left w:val="single" w:color="1C7293" w:sz="24"/>
          <w:bottom w:val="single" w:color="1C7293" w:sz="4"/>
          <w:right w:val="single" w:color="1C7293" w:sz="4"/>
          <w:insideH w:val="single" w:color="auto" w:sz="4"/>
          <w:insideV w:val="single" w:color="auto" w:sz="4"/>
        </w:tblBorders>
      </w:tblPr>
      <w:tblGrid>
        <w:gridCol w:w="100"/>
      </w:tblGrid>
      <w:tr>
        <w:tc>
          <w:tcPr>
            <w:shd w:fill="F4F6F8" w:val="clear"/>
            <w:tcMar>
              <w:top w:type="dxa" w:w="160"/>
              <w:left w:type="dxa" w:w="220"/>
              <w:bottom w:type="dxa" w:w="160"/>
              <w:right w:type="dxa" w:w="220"/>
            </w:tcMar>
          </w:tcPr>
          <w:p>
            <w:pPr>
              <w:spacing w:after="60"/>
            </w:pPr>
            <w:r>
              <w:rPr>
                <w:b/>
                <w:bCs/>
                <w:color w:val="1C7293"/>
              </w:rPr>
              <w:t xml:space="preserve">Next step</w:t>
            </w:r>
          </w:p>
          <w:p>
            <w:pPr>
              <w:spacing w:after="0"/>
            </w:pPr>
            <w:r>
              <w:rPr>
                <w:color w:val="333333"/>
              </w:rPr>
              <w:t xml:space="preserve">Confirm Phase 1 scope and staffing, then kick off the config-driven refactor (Section 7, Phase 1) against the current codebase — it's the one piece of this plan that can start immediately without waiting on any of the Phase 3 decisions above.</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Connexa Events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C7293"/>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2026-08-05T21:41:51.402Z</dcterms:created>
  <dcterms:modified xsi:type="dcterms:W3CDTF">2026-08-05T21:41:51.409Z</dcterms:modified>
</cp:coreProperties>
</file>

<file path=docProps/custom.xml><?xml version="1.0" encoding="utf-8"?>
<Properties xmlns="http://schemas.openxmlformats.org/officeDocument/2006/custom-properties" xmlns:vt="http://schemas.openxmlformats.org/officeDocument/2006/docPropsVTypes"/>
</file>